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706120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791845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138430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84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12"/>
        </w:trPr>
        <w:tc>
          <w:tcPr>
            <w:tcW w:w="18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001-33357</w:t>
            </w:r>
          </w:p>
        </w:tc>
      </w:tr>
      <w:tr>
        <w:trPr>
          <w:trHeight w:val="190"/>
        </w:trPr>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109220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PROTALIX BIOTHERAPEUTICS, INC.</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6"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(State or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40" w:type="dxa"/>
            <w:vAlign w:val="bottom"/>
            <w:gridSpan w:val="4"/>
          </w:tcPr>
          <w:p>
            <w:pPr>
              <w:spacing w:after="0"/>
              <w:rPr>
                <w:sz w:val="13"/>
                <w:szCs w:val="13"/>
                <w:color w:val="auto"/>
              </w:rPr>
            </w:pPr>
          </w:p>
        </w:tc>
        <w:tc>
          <w:tcPr>
            <w:tcW w:w="1260" w:type="dxa"/>
            <w:vAlign w:val="bottom"/>
            <w:gridSpan w:val="5"/>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__65-0643773__</w:t>
            </w: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2"/>
            <w:vMerge w:val="continue"/>
          </w:tcPr>
          <w:p>
            <w:pPr>
              <w:spacing w:after="0"/>
              <w:rPr>
                <w:sz w:val="10"/>
                <w:szCs w:val="10"/>
                <w:color w:val="auto"/>
              </w:rPr>
            </w:pPr>
          </w:p>
        </w:tc>
        <w:tc>
          <w:tcPr>
            <w:tcW w:w="452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other jurisdiction</w:t>
            </w:r>
          </w:p>
        </w:tc>
        <w:tc>
          <w:tcPr>
            <w:tcW w:w="1260" w:type="dxa"/>
            <w:vAlign w:val="bottom"/>
            <w:gridSpan w:val="5"/>
          </w:tcPr>
          <w:p>
            <w:pPr>
              <w:jc w:val="center"/>
              <w:ind w:left="109"/>
              <w:spacing w:after="0" w:line="118"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90"/>
        </w:trPr>
        <w:tc>
          <w:tcPr>
            <w:tcW w:w="54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2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5420" w:type="dxa"/>
            <w:vAlign w:val="bottom"/>
            <w:gridSpan w:val="7"/>
          </w:tcPr>
          <w:p>
            <w:pPr>
              <w:jc w:val="center"/>
              <w:ind w:right="2988"/>
              <w:spacing w:after="0"/>
              <w:rPr>
                <w:sz w:val="20"/>
                <w:szCs w:val="20"/>
                <w:color w:val="auto"/>
              </w:rPr>
            </w:pPr>
            <w:r>
              <w:rPr>
                <w:rFonts w:ascii="Times New Roman" w:cs="Times New Roman" w:eastAsia="Times New Roman" w:hAnsi="Times New Roman"/>
                <w:sz w:val="14"/>
                <w:szCs w:val="14"/>
                <w:b w:val="1"/>
                <w:bCs w:val="1"/>
                <w:color w:val="auto"/>
              </w:rPr>
              <w:t>2 University Plaza</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88"/>
              <w:spacing w:after="0" w:line="149" w:lineRule="exact"/>
              <w:rPr>
                <w:sz w:val="20"/>
                <w:szCs w:val="20"/>
                <w:color w:val="auto"/>
              </w:rPr>
            </w:pPr>
            <w:r>
              <w:rPr>
                <w:rFonts w:ascii="Times New Roman" w:cs="Times New Roman" w:eastAsia="Times New Roman" w:hAnsi="Times New Roman"/>
                <w:sz w:val="14"/>
                <w:szCs w:val="14"/>
                <w:b w:val="1"/>
                <w:bCs w:val="1"/>
                <w:color w:val="auto"/>
              </w:rPr>
              <w:t>Suite 100</w:t>
            </w:r>
          </w:p>
        </w:tc>
        <w:tc>
          <w:tcPr>
            <w:tcW w:w="1080" w:type="dxa"/>
            <w:vAlign w:val="bottom"/>
            <w:gridSpan w:val="4"/>
            <w:vMerge w:val="restart"/>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07601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(Address of</w:t>
            </w:r>
          </w:p>
        </w:tc>
        <w:tc>
          <w:tcPr>
            <w:tcW w:w="4720" w:type="dxa"/>
            <w:vAlign w:val="bottom"/>
            <w:gridSpan w:val="6"/>
          </w:tcPr>
          <w:p>
            <w:pPr>
              <w:jc w:val="center"/>
              <w:ind w:right="3668"/>
              <w:spacing w:after="0" w:line="160" w:lineRule="exact"/>
              <w:rPr>
                <w:sz w:val="20"/>
                <w:szCs w:val="20"/>
                <w:color w:val="auto"/>
              </w:rPr>
            </w:pPr>
            <w:r>
              <w:rPr>
                <w:rFonts w:ascii="Times New Roman" w:cs="Times New Roman" w:eastAsia="Times New Roman" w:hAnsi="Times New Roman"/>
                <w:sz w:val="14"/>
                <w:szCs w:val="14"/>
                <w:b w:val="1"/>
                <w:bCs w:val="1"/>
                <w:color w:val="auto"/>
              </w:rPr>
              <w:t>Hackensack, NJ</w:t>
            </w:r>
          </w:p>
        </w:tc>
        <w:tc>
          <w:tcPr>
            <w:tcW w:w="10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vMerge w:val="continue"/>
          </w:tcPr>
          <w:p>
            <w:pPr>
              <w:spacing w:after="0"/>
              <w:rPr>
                <w:sz w:val="15"/>
                <w:szCs w:val="15"/>
                <w:color w:val="auto"/>
              </w:rPr>
            </w:pPr>
          </w:p>
        </w:tc>
        <w:tc>
          <w:tcPr>
            <w:tcW w:w="47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executive offices)</w:t>
            </w:r>
          </w:p>
        </w:tc>
        <w:tc>
          <w:tcPr>
            <w:tcW w:w="1260" w:type="dxa"/>
            <w:vAlign w:val="bottom"/>
            <w:gridSpan w:val="5"/>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88"/>
        </w:trPr>
        <w:tc>
          <w:tcPr>
            <w:tcW w:w="3200" w:type="dxa"/>
            <w:vAlign w:val="bottom"/>
            <w:gridSpan w:val="5"/>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(201)-696-9345</w:t>
            </w:r>
          </w:p>
        </w:tc>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1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67945</wp:posOffset>
            </wp:positionV>
            <wp:extent cx="6292215" cy="23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31140"/>
                    </a:xfrm>
                    <a:prstGeom prst="rect">
                      <a:avLst/>
                    </a:prstGeom>
                    <a:noFill/>
                  </pic:spPr>
                </pic:pic>
              </a:graphicData>
            </a:graphic>
          </wp:anchor>
        </w:drawing>
      </w:r>
    </w:p>
    <w:p>
      <w:pPr>
        <w:spacing w:after="0" w:line="103" w:lineRule="exact"/>
        <w:rPr>
          <w:sz w:val="24"/>
          <w:szCs w:val="24"/>
          <w:color w:val="auto"/>
        </w:rPr>
      </w:pPr>
    </w:p>
    <w:tbl>
      <w:tblPr>
        <w:tblLayout w:type="fixed"/>
        <w:tblInd w:w="600" w:type="dxa"/>
        <w:tblCellMar>
          <w:top w:w="0" w:type="dxa"/>
          <w:left w:w="0" w:type="dxa"/>
          <w:bottom w:w="0" w:type="dxa"/>
          <w:right w:w="0" w:type="dxa"/>
        </w:tblCellMar>
      </w:tblPr>
      <w:tr>
        <w:trPr>
          <w:trHeight w:val="164"/>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8"/>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8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PLX</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NYSE American</w:t>
            </w:r>
          </w:p>
        </w:tc>
      </w:tr>
    </w:tbl>
    <w:p>
      <w:pPr>
        <w:spacing w:after="0" w:line="55" w:lineRule="exact"/>
        <w:rPr>
          <w:sz w:val="24"/>
          <w:szCs w:val="24"/>
          <w:color w:val="auto"/>
        </w:rPr>
      </w:pPr>
    </w:p>
    <w:p>
      <w:pPr>
        <w:ind w:right="42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8" w:lineRule="exact"/>
        <w:rPr>
          <w:sz w:val="24"/>
          <w:szCs w:val="24"/>
          <w:color w:val="auto"/>
        </w:rPr>
      </w:pPr>
    </w:p>
    <w:p>
      <w:pPr>
        <w:ind w:right="2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5"/>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76" w:lineRule="exact"/>
              <w:rPr>
                <w:sz w:val="20"/>
                <w:szCs w:val="20"/>
                <w:color w:val="auto"/>
              </w:rPr>
            </w:pPr>
            <w:r>
              <w:rPr>
                <w:rFonts w:ascii="Arial Unicode MS" w:cs="Arial Unicode MS" w:eastAsia="Arial Unicode MS" w:hAnsi="Arial Unicode MS"/>
                <w:sz w:val="14"/>
                <w:szCs w:val="14"/>
                <w:color w:val="auto"/>
                <w:w w:val="96"/>
              </w:rPr>
              <w:t>☒</w:t>
            </w:r>
          </w:p>
        </w:tc>
      </w:tr>
      <w:tr>
        <w:trPr>
          <w:trHeight w:val="242"/>
        </w:trPr>
        <w:tc>
          <w:tcPr>
            <w:tcW w:w="18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46" w:lineRule="exact"/>
        <w:rPr>
          <w:sz w:val="24"/>
          <w:szCs w:val="24"/>
          <w:color w:val="auto"/>
        </w:rPr>
      </w:pPr>
    </w:p>
    <w:p>
      <w:pPr>
        <w:ind w:right="4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right="236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On August 1, 2025, approximately 79,732,115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50165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92710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1332" w:right="10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40" w:type="dxa"/>
            <w:vAlign w:val="bottom"/>
            <w:gridSpan w:val="13"/>
          </w:tcPr>
          <w:p>
            <w:pPr>
              <w:jc w:val="center"/>
              <w:ind w:right="232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580" w:type="dxa"/>
            <w:vAlign w:val="bottom"/>
          </w:tcPr>
          <w:p>
            <w:pPr>
              <w:spacing w:after="0"/>
              <w:rPr>
                <w:sz w:val="15"/>
                <w:szCs w:val="15"/>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3160" w:type="dxa"/>
            <w:vAlign w:val="bottom"/>
            <w:tcBorders>
              <w:top w:val="single" w:sz="8" w:color="0000EE"/>
            </w:tcBorders>
            <w:gridSpan w:val="6"/>
          </w:tcPr>
          <w:p>
            <w:pPr>
              <w:spacing w:after="0"/>
              <w:rPr>
                <w:sz w:val="21"/>
                <w:szCs w:val="21"/>
                <w:color w:val="auto"/>
              </w:rPr>
            </w:pPr>
          </w:p>
        </w:tc>
        <w:tc>
          <w:tcPr>
            <w:tcW w:w="270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(Unaudited) – As of June 30, 2025 and December 31, 2024</w:t>
            </w:r>
          </w:p>
        </w:tc>
        <w:tc>
          <w:tcPr>
            <w:tcW w:w="1320" w:type="dxa"/>
            <w:vAlign w:val="bottom"/>
            <w:gridSpan w:val="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(Unaudited) – For the Six and Three Months Ended June 30, 2025</w:t>
            </w:r>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 For the Six and Three Months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June 30, 2025 and 2024</w:t>
            </w:r>
          </w:p>
        </w:tc>
        <w:tc>
          <w:tcPr>
            <w:tcW w:w="6340" w:type="dxa"/>
            <w:vAlign w:val="bottom"/>
            <w:gridSpan w:val="1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 For the Six Months Ended June 30, 2025 and 2024</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460" w:type="dxa"/>
            <w:vAlign w:val="bottom"/>
            <w:tcBorders>
              <w:top w:val="single" w:sz="8" w:color="0000EE"/>
            </w:tcBorders>
            <w:gridSpan w:val="7"/>
          </w:tcPr>
          <w:p>
            <w:pPr>
              <w:spacing w:after="0"/>
              <w:rPr>
                <w:sz w:val="17"/>
                <w:szCs w:val="17"/>
                <w:color w:val="auto"/>
              </w:rPr>
            </w:pPr>
          </w:p>
        </w:tc>
        <w:tc>
          <w:tcPr>
            <w:tcW w:w="100" w:type="dxa"/>
            <w:vAlign w:val="bottom"/>
            <w:gridSpan w:val="3"/>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60" w:type="dxa"/>
            <w:vAlign w:val="bottom"/>
            <w:gridSpan w:val="3"/>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100" w:type="dxa"/>
            <w:vAlign w:val="bottom"/>
            <w:gridSpan w:val="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200" w:type="dxa"/>
            <w:vAlign w:val="bottom"/>
            <w:gridSpan w:val="8"/>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20" w:type="dxa"/>
            <w:vAlign w:val="bottom"/>
            <w:gridSpan w:val="11"/>
          </w:tcPr>
          <w:p>
            <w:pPr>
              <w:jc w:val="center"/>
              <w:ind w:right="2860"/>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580" w:type="dxa"/>
            <w:vAlign w:val="bottom"/>
          </w:tcPr>
          <w:p>
            <w:pPr>
              <w:spacing w:after="0"/>
              <w:rPr>
                <w:sz w:val="17"/>
                <w:szCs w:val="17"/>
                <w:color w:val="auto"/>
              </w:rPr>
            </w:pPr>
          </w:p>
        </w:tc>
      </w:tr>
      <w:tr>
        <w:trPr>
          <w:trHeight w:val="25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500" w:type="dxa"/>
            <w:vAlign w:val="bottom"/>
            <w:gridSpan w:val="6"/>
          </w:tcPr>
          <w:p>
            <w:pPr>
              <w:spacing w:after="0"/>
              <w:rPr>
                <w:sz w:val="21"/>
                <w:szCs w:val="21"/>
                <w:color w:val="auto"/>
              </w:rPr>
            </w:pPr>
          </w:p>
        </w:tc>
        <w:tc>
          <w:tcPr>
            <w:tcW w:w="2860" w:type="dxa"/>
            <w:vAlign w:val="bottom"/>
            <w:tcBorders>
              <w:top w:val="single" w:sz="8" w:color="0000EE"/>
            </w:tcBorders>
            <w:gridSpan w:val="4"/>
          </w:tcPr>
          <w:p>
            <w:pPr>
              <w:spacing w:after="0"/>
              <w:rPr>
                <w:sz w:val="21"/>
                <w:szCs w:val="21"/>
                <w:color w:val="auto"/>
              </w:rPr>
            </w:pPr>
          </w:p>
        </w:tc>
        <w:tc>
          <w:tcPr>
            <w:tcW w:w="2860" w:type="dxa"/>
            <w:vAlign w:val="bottom"/>
            <w:gridSpan w:val="7"/>
          </w:tcPr>
          <w:p>
            <w:pPr>
              <w:spacing w:after="0"/>
              <w:rPr>
                <w:sz w:val="21"/>
                <w:szCs w:val="21"/>
                <w:color w:val="auto"/>
              </w:rPr>
            </w:pPr>
          </w:p>
        </w:tc>
        <w:tc>
          <w:tcPr>
            <w:tcW w:w="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35</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35</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220" w:type="dxa"/>
            <w:vAlign w:val="bottom"/>
            <w:gridSpan w:val="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35</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60" w:type="dxa"/>
            <w:vAlign w:val="bottom"/>
            <w:gridSpan w:val="3"/>
          </w:tcPr>
          <w:p>
            <w:pPr>
              <w:spacing w:after="0"/>
              <w:rPr>
                <w:sz w:val="17"/>
                <w:szCs w:val="17"/>
                <w:color w:val="auto"/>
              </w:rPr>
            </w:pPr>
          </w:p>
        </w:tc>
        <w:tc>
          <w:tcPr>
            <w:tcW w:w="23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240" w:type="dxa"/>
            <w:vAlign w:val="bottom"/>
            <w:gridSpan w:val="13"/>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35</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60" w:type="dxa"/>
            <w:vAlign w:val="bottom"/>
            <w:gridSpan w:val="3"/>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6800" w:type="dxa"/>
            <w:vAlign w:val="bottom"/>
            <w:gridSpan w:val="1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35</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60" w:type="dxa"/>
            <w:vAlign w:val="bottom"/>
            <w:gridSpan w:val="3"/>
          </w:tcPr>
          <w:p>
            <w:pPr>
              <w:spacing w:after="0"/>
              <w:rPr>
                <w:sz w:val="17"/>
                <w:szCs w:val="17"/>
                <w:color w:val="auto"/>
              </w:rPr>
            </w:pPr>
          </w:p>
        </w:tc>
        <w:tc>
          <w:tcPr>
            <w:tcW w:w="6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900" w:type="dxa"/>
            <w:vAlign w:val="bottom"/>
            <w:gridSpan w:val="2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35</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Signatures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37</w:t>
            </w:r>
          </w:p>
        </w:tc>
      </w:tr>
      <w:tr>
        <w:trPr>
          <w:trHeight w:val="959"/>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9"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0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2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bank deposits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21,131</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65,485</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78,486</w:t>
            </w:r>
          </w:p>
        </w:tc>
        <w:tc>
          <w:tcPr>
            <w:tcW w:w="2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2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24,091</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49,903</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5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78,486</w:t>
            </w:r>
          </w:p>
        </w:tc>
        <w:tc>
          <w:tcPr>
            <w:tcW w:w="2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7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EXPENSES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INCOME</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FINANCIAL INCOME (EXPENSES), NET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TAXES ON INCOME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TAXES ON INCOME (TAX BENEFIT)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 OF COMMON STOCK:</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b w:val="1"/>
                <w:bCs w:val="1"/>
                <w:color w:val="auto"/>
              </w:rPr>
              <w:t>DILUTED</w:t>
            </w:r>
          </w:p>
        </w:tc>
        <w:tc>
          <w:tcPr>
            <w:tcW w:w="2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(0.04)</w:t>
            </w:r>
          </w:p>
        </w:tc>
        <w:tc>
          <w:tcPr>
            <w:tcW w:w="26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(0.09)</w:t>
            </w:r>
          </w:p>
        </w:tc>
        <w:tc>
          <w:tcPr>
            <w:tcW w:w="24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0.00</w:t>
            </w:r>
          </w:p>
        </w:tc>
        <w:tc>
          <w:tcPr>
            <w:tcW w:w="26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(0.03)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USED IN COMPUTING EARNINGS (LOSS) PER SHARE: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77,651,330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73,172,980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78,663,884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73,308,281</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6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77,651,330</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73,172,980</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81,271,610</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73,308,281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080"/>
          </w:cols>
          <w:pgMar w:left="900" w:top="661" w:right="9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7"/>
                <w:szCs w:val="17"/>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72,952,124</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415,045</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(381,549)</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33,569</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six-month period ended June 30, 2024:</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Initial adoption of ASU 2020-06</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340,550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r>
        <w:trPr>
          <w:trHeight w:val="149"/>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(6,798)</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(6,798)</w:t>
            </w:r>
          </w:p>
        </w:tc>
        <w:tc>
          <w:tcPr>
            <w:tcW w:w="0" w:type="dxa"/>
            <w:vAlign w:val="bottom"/>
          </w:tcPr>
          <w:p>
            <w:pPr>
              <w:spacing w:after="0"/>
              <w:rPr>
                <w:sz w:val="1"/>
                <w:szCs w:val="1"/>
                <w:color w:val="auto"/>
              </w:rPr>
            </w:pPr>
          </w:p>
        </w:tc>
      </w:tr>
      <w:tr>
        <w:trPr>
          <w:trHeight w:val="142"/>
        </w:trPr>
        <w:tc>
          <w:tcPr>
            <w:tcW w:w="48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73,292,674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416,631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(388,123)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28,581</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0" w:type="dxa"/>
            <w:vAlign w:val="bottom"/>
            <w:vMerge w:val="continue"/>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75,850,275</w:t>
            </w:r>
          </w:p>
        </w:tc>
        <w:tc>
          <w:tcPr>
            <w:tcW w:w="180" w:type="dxa"/>
            <w:vAlign w:val="bottom"/>
            <w:vMerge w:val="continue"/>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76</w:t>
            </w:r>
          </w:p>
        </w:tc>
        <w:tc>
          <w:tcPr>
            <w:tcW w:w="18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421,528</w:t>
            </w:r>
          </w:p>
        </w:tc>
        <w:tc>
          <w:tcPr>
            <w:tcW w:w="180" w:type="dxa"/>
            <w:vAlign w:val="bottom"/>
          </w:tcPr>
          <w:p>
            <w:pPr>
              <w:spacing w:after="0"/>
              <w:rPr>
                <w:sz w:val="11"/>
                <w:szCs w:val="11"/>
                <w:color w:val="auto"/>
              </w:rPr>
            </w:pP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(378,393)</w:t>
            </w:r>
          </w:p>
        </w:tc>
        <w:tc>
          <w:tcPr>
            <w:tcW w:w="200" w:type="dxa"/>
            <w:vAlign w:val="bottom"/>
            <w:vMerge w:val="continue"/>
          </w:tcPr>
          <w:p>
            <w:pPr>
              <w:spacing w:after="0"/>
              <w:rPr>
                <w:sz w:val="11"/>
                <w:szCs w:val="11"/>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43,211</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six-month period ended June 30, 2025:</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the Sales Agreement, net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2,775,215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6,809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6,812</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149"/>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 and options</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1,106,625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(3,455)</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(3,455)</w:t>
            </w:r>
          </w:p>
        </w:tc>
        <w:tc>
          <w:tcPr>
            <w:tcW w:w="0" w:type="dxa"/>
            <w:vAlign w:val="bottom"/>
          </w:tcPr>
          <w:p>
            <w:pPr>
              <w:spacing w:after="0"/>
              <w:rPr>
                <w:sz w:val="1"/>
                <w:szCs w:val="1"/>
                <w:color w:val="auto"/>
              </w:rPr>
            </w:pPr>
          </w:p>
        </w:tc>
      </w:tr>
      <w:tr>
        <w:trPr>
          <w:trHeight w:val="142"/>
        </w:trPr>
        <w:tc>
          <w:tcPr>
            <w:tcW w:w="48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79,732,115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431,671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(381,848)</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49,903</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0" w:type="dxa"/>
            <w:vAlign w:val="bottom"/>
            <w:vMerge w:val="continue"/>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73,052,124</w:t>
            </w:r>
          </w:p>
        </w:tc>
        <w:tc>
          <w:tcPr>
            <w:tcW w:w="180" w:type="dxa"/>
            <w:vAlign w:val="bottom"/>
            <w:vMerge w:val="continue"/>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415,633</w:t>
            </w:r>
          </w:p>
        </w:tc>
        <w:tc>
          <w:tcPr>
            <w:tcW w:w="180" w:type="dxa"/>
            <w:vAlign w:val="bottom"/>
          </w:tcPr>
          <w:p>
            <w:pPr>
              <w:spacing w:after="0"/>
              <w:rPr>
                <w:sz w:val="11"/>
                <w:szCs w:val="11"/>
                <w:color w:val="auto"/>
              </w:rPr>
            </w:pP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(385,920)</w:t>
            </w:r>
          </w:p>
        </w:tc>
        <w:tc>
          <w:tcPr>
            <w:tcW w:w="200" w:type="dxa"/>
            <w:vAlign w:val="bottom"/>
            <w:vMerge w:val="continue"/>
          </w:tcPr>
          <w:p>
            <w:pPr>
              <w:spacing w:after="0"/>
              <w:rPr>
                <w:sz w:val="11"/>
                <w:szCs w:val="11"/>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29,786</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June 30, 2024:</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49"/>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240,550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(2,203)</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(2,203)</w:t>
            </w:r>
          </w:p>
        </w:tc>
        <w:tc>
          <w:tcPr>
            <w:tcW w:w="0" w:type="dxa"/>
            <w:vAlign w:val="bottom"/>
          </w:tcPr>
          <w:p>
            <w:pPr>
              <w:spacing w:after="0"/>
              <w:rPr>
                <w:sz w:val="1"/>
                <w:szCs w:val="1"/>
                <w:color w:val="auto"/>
              </w:rPr>
            </w:pPr>
          </w:p>
        </w:tc>
      </w:tr>
      <w:tr>
        <w:trPr>
          <w:trHeight w:val="142"/>
        </w:trPr>
        <w:tc>
          <w:tcPr>
            <w:tcW w:w="48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73,292,674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416,631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(388,123)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28,581</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0" w:type="dxa"/>
            <w:vAlign w:val="bottom"/>
            <w:vMerge w:val="continue"/>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78,133,829</w:t>
            </w:r>
          </w:p>
        </w:tc>
        <w:tc>
          <w:tcPr>
            <w:tcW w:w="180" w:type="dxa"/>
            <w:vAlign w:val="bottom"/>
            <w:vMerge w:val="continue"/>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78</w:t>
            </w:r>
          </w:p>
        </w:tc>
        <w:tc>
          <w:tcPr>
            <w:tcW w:w="18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427,142</w:t>
            </w:r>
          </w:p>
        </w:tc>
        <w:tc>
          <w:tcPr>
            <w:tcW w:w="180" w:type="dxa"/>
            <w:vAlign w:val="bottom"/>
          </w:tcPr>
          <w:p>
            <w:pPr>
              <w:spacing w:after="0"/>
              <w:rPr>
                <w:sz w:val="11"/>
                <w:szCs w:val="11"/>
                <w:color w:val="auto"/>
              </w:rPr>
            </w:pP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(382,012)</w:t>
            </w:r>
          </w:p>
        </w:tc>
        <w:tc>
          <w:tcPr>
            <w:tcW w:w="200" w:type="dxa"/>
            <w:vAlign w:val="bottom"/>
            <w:vMerge w:val="continue"/>
          </w:tcPr>
          <w:p>
            <w:pPr>
              <w:spacing w:after="0"/>
              <w:rPr>
                <w:sz w:val="11"/>
                <w:szCs w:val="11"/>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45,208</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June 30, 2025:</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the Sales Agreement, net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1,450,036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3,951</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49"/>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 and options</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148,250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48"/>
        </w:trPr>
        <w:tc>
          <w:tcPr>
            <w:tcW w:w="48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income for the period</w:t>
            </w:r>
          </w:p>
        </w:tc>
        <w:tc>
          <w:tcPr>
            <w:tcW w:w="8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79,732,115</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431,671</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(381,848)</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49,903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an amount equal to less than $1.</w:t>
      </w:r>
    </w:p>
    <w:p>
      <w:pPr>
        <w:spacing w:after="0" w:line="225"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$0.001 par value; Authorized – as of June 30, 2025 and December 31, 2024 – 185,000,000 shares.</w:t>
      </w:r>
    </w:p>
    <w:p>
      <w:pPr>
        <w:spacing w:after="0" w:line="22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200" w:type="dxa"/>
            <w:vAlign w:val="bottom"/>
          </w:tcPr>
          <w:p>
            <w:pPr>
              <w:spacing w:after="0"/>
              <w:rPr>
                <w:sz w:val="18"/>
                <w:szCs w:val="18"/>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Adjustments required to reconcile net loss to net cash provided by (used in) operating</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expenses (income),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accrued liability for employee rights upon retirement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deferred income tax asset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amounts funded in respect of employee rights upon retirement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in contracts liability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in accounts receivable-trade and other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lease right of use assets,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(decrease) in accounts payable and accruals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 net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the Sales Agreement, net</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200" w:type="dxa"/>
            <w:vAlign w:val="bottom"/>
          </w:tcPr>
          <w:p>
            <w:pPr>
              <w:spacing w:after="0"/>
              <w:rPr>
                <w:sz w:val="18"/>
                <w:szCs w:val="18"/>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 of warrants and options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BEGINNING OF PERIOD</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PERIOD</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SUPPLEMENTARY INFORMATION ON INVESTING AND FINANCING ACTIVITIES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 INVOLVING CASH FLOWS:</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Operating lease right of use assets obtained in exchange for new operating lease liabilities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ON CASH FLOWS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Interest received</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8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88" w:lineRule="exact"/>
        <w:rPr>
          <w:rFonts w:ascii="Times New Roman" w:cs="Times New Roman" w:eastAsia="Times New Roman" w:hAnsi="Times New Roman"/>
          <w:sz w:val="18"/>
          <w:szCs w:val="18"/>
          <w:b w:val="1"/>
          <w:bCs w:val="1"/>
          <w:color w:val="auto"/>
        </w:rPr>
      </w:pPr>
    </w:p>
    <w:p>
      <w:pPr>
        <w:ind w:left="980" w:right="20"/>
        <w:spacing w:after="0" w:line="20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BioTherapeutics, Inc. (collectively with its subsidiary, the “Company”) and its wholly-owned subsidiary, Protalix Ltd., are biopharmaceutical companies focused on the development and commercialization of recombinant therapeutic proteins based on the Company’s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protein expression system (“ProCellEx”). To date, the Company has successfully developed two enzyme replacement therapies (ERTs);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and children four years of age and greater with Gaucher disease.</w:t>
      </w:r>
    </w:p>
    <w:p>
      <w:pPr>
        <w:spacing w:after="0" w:line="175" w:lineRule="exact"/>
        <w:rPr>
          <w:rFonts w:ascii="Times New Roman" w:cs="Times New Roman" w:eastAsia="Times New Roman" w:hAnsi="Times New Roman"/>
          <w:sz w:val="18"/>
          <w:szCs w:val="18"/>
          <w:b w:val="1"/>
          <w:bCs w:val="1"/>
          <w:color w:val="auto"/>
        </w:rPr>
      </w:pPr>
    </w:p>
    <w:p>
      <w:pPr>
        <w:ind w:left="98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Elelyso was first approved by the U.S. Food and Drug Administration (“FDA”) in May 2012 and is now approved for marketing in 23 markets including Brazil, Israel and others. In May 2023, both the European Commission (“EC”) and the FDA announced the approval of Elfabrio, each for adult patients with a confirmed diagnosis of Fabry disease. Both approvals cover the 1 mg/kg every two weeks dosage. Elfabrio, which the Company referred to as PRX-102 during its development stage, has been approved for marketing in the United States, the European Union, Great Britain, Switzerland, Peru, Israel, Russia, Singapore, Australia and Taiwan.</w:t>
      </w:r>
    </w:p>
    <w:p>
      <w:pPr>
        <w:spacing w:after="0" w:line="146" w:lineRule="exact"/>
        <w:rPr>
          <w:rFonts w:ascii="Times New Roman" w:cs="Times New Roman" w:eastAsia="Times New Roman" w:hAnsi="Times New Roman"/>
          <w:sz w:val="18"/>
          <w:szCs w:val="18"/>
          <w:b w:val="1"/>
          <w:bCs w:val="1"/>
          <w:color w:val="auto"/>
        </w:rPr>
      </w:pPr>
    </w:p>
    <w:p>
      <w:pPr>
        <w:ind w:left="98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committed to leveraging its record of success as the Company progresses with the development of treatments for rare and orphan diseases. In addition, the Company continuously works on the further development and enhancement of its ProCellEx technology. Accordingly, the Company is turning its focus to new, early-stage product candidates that treat indications for which there are high unmet needs in terms of efficacy and safety, including renal diseases. Treatments of interest will address both genetic and non-genetic diseases. The Company intends to use its ProCellEx platform and PEGylation capabilities, as well as other modalities such as small molecules and antibodies, to take advantage of highly innovative opportunities. The Company is also exploring novel platform technologies.</w:t>
      </w:r>
    </w:p>
    <w:p>
      <w:pPr>
        <w:spacing w:after="0" w:line="148" w:lineRule="exact"/>
        <w:rPr>
          <w:rFonts w:ascii="Times New Roman" w:cs="Times New Roman" w:eastAsia="Times New Roman" w:hAnsi="Times New Roman"/>
          <w:sz w:val="18"/>
          <w:szCs w:val="18"/>
          <w:b w:val="1"/>
          <w:bCs w:val="1"/>
          <w:color w:val="auto"/>
        </w:rPr>
      </w:pPr>
    </w:p>
    <w:p>
      <w:pPr>
        <w:ind w:left="980" w:right="360"/>
        <w:spacing w:after="0" w:line="33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continuously evaluates potential strategic marketing partnerships as well as collaboration programs with biotechnology and pharmaceutical companies and academic research institutions. Except with respect to Elfabrio and Elelyso, the Company holds the worldwide commercialization rights to its other proprietary development candidates. The Company’s product pipeline currently includes, among other candidates:</w:t>
      </w:r>
    </w:p>
    <w:p>
      <w:pPr>
        <w:spacing w:after="0" w:line="76" w:lineRule="exact"/>
        <w:rPr>
          <w:rFonts w:ascii="Times New Roman" w:cs="Times New Roman" w:eastAsia="Times New Roman" w:hAnsi="Times New Roman"/>
          <w:sz w:val="18"/>
          <w:szCs w:val="18"/>
          <w:b w:val="1"/>
          <w:bCs w:val="1"/>
          <w:color w:val="auto"/>
        </w:rPr>
      </w:pPr>
    </w:p>
    <w:p>
      <w:pPr>
        <w:ind w:left="1660" w:right="380" w:hanging="653"/>
        <w:spacing w:after="0" w:line="282" w:lineRule="auto"/>
        <w:tabs>
          <w:tab w:leader="none" w:pos="1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the Company’s plant cell-expressed recombinant PEGylated uricase (urate oxidase) – a chemically modified enzyme to treat uncontrolled gout; and</w:t>
      </w:r>
    </w:p>
    <w:p>
      <w:pPr>
        <w:spacing w:after="0" w:line="121" w:lineRule="exact"/>
        <w:rPr>
          <w:rFonts w:ascii="Times New Roman" w:cs="Times New Roman" w:eastAsia="Times New Roman" w:hAnsi="Times New Roman"/>
          <w:sz w:val="18"/>
          <w:szCs w:val="18"/>
          <w:color w:val="auto"/>
        </w:rPr>
      </w:pPr>
    </w:p>
    <w:p>
      <w:pPr>
        <w:jc w:val="both"/>
        <w:ind w:left="1660" w:right="20" w:hanging="653"/>
        <w:spacing w:after="0" w:line="312" w:lineRule="auto"/>
        <w:tabs>
          <w:tab w:leader="none" w:pos="16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PRX-119, the Company’s plant cell-expressed PEGylated recombinant human DNase I product candidate for long and customized systemic circulation in the bloodstream for NETs-related diseases (neutrophil extracellular traps).</w:t>
      </w:r>
    </w:p>
    <w:p>
      <w:pPr>
        <w:spacing w:after="0" w:line="113" w:lineRule="exact"/>
        <w:rPr>
          <w:sz w:val="20"/>
          <w:szCs w:val="20"/>
          <w:color w:val="auto"/>
        </w:rPr>
      </w:pPr>
    </w:p>
    <w:p>
      <w:pPr>
        <w:jc w:val="both"/>
        <w:ind w:left="980" w:right="120"/>
        <w:spacing w:after="0" w:line="266"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the Company’s ability to implement the necessary regulatory steps required to obtain such approvals, and demonstrate the safety and efficacy of its product candidates. The Company cannot reasonably predict the outcome of these activities.</w:t>
      </w:r>
    </w:p>
    <w:p>
      <w:pPr>
        <w:spacing w:after="0" w:line="135"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The Company has licensed the rights to commercialize Elelyso worldwide (other than Brazil) to Pfizer Inc. (“Pfizer”), and in Brazil to Fundação Oswaldo Cruz (“Fiocruz”), an arm of the Brazilian Ministry of Health (the “Brazilian MoH”). Elelyso is marketed as BioManguinhos alfataliglicerase in Brazil. The Company has partnered with Chiesi Farmaceutici S.p.A. (“Chiesi”) for the development and commercialization of Elfabrio through two exclusive global licensing and supply agreements. On October 19, 2017, Protalix Ltd., the Company’s wholly-owned subsidiary, entered into an Exclusive License and Supply Agreement with Chiesi (the “Chiesi Ex-US Agreement”) pursuant to which Chiesi was granted an exclusive license for all markets outside of the United States to commercialize Elfabrio. On July 23, 2018, Protalix Ltd. entered into an Exclusive License and Supply Agreement with Chiesi (the “Chiesi US Agreement”), with respect to the commercialization of Elfabrio in the United States.</w:t>
      </w:r>
    </w:p>
    <w:p>
      <w:pPr>
        <w:spacing w:after="0" w:line="148" w:lineRule="exact"/>
        <w:rPr>
          <w:sz w:val="20"/>
          <w:szCs w:val="20"/>
          <w:color w:val="auto"/>
        </w:rPr>
      </w:pPr>
    </w:p>
    <w:p>
      <w:pPr>
        <w:ind w:left="980" w:right="260"/>
        <w:spacing w:after="0" w:line="276" w:lineRule="auto"/>
        <w:rPr>
          <w:sz w:val="20"/>
          <w:szCs w:val="20"/>
          <w:color w:val="auto"/>
        </w:rPr>
      </w:pPr>
      <w:r>
        <w:rPr>
          <w:rFonts w:ascii="Times New Roman" w:cs="Times New Roman" w:eastAsia="Times New Roman" w:hAnsi="Times New Roman"/>
          <w:sz w:val="17"/>
          <w:szCs w:val="17"/>
          <w:color w:val="auto"/>
        </w:rPr>
        <w:t>Since its approval by the FDA, Elelyso has been marketed by Pfizer in accordance with the exclusive license and supply agreement entered into between Protalix Ltd. and Pfizer, which is referred to herein as the Pfizer Agreement. In October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100"/>
        <w:spacing w:after="0" w:line="256" w:lineRule="auto"/>
        <w:rPr>
          <w:sz w:val="20"/>
          <w:szCs w:val="20"/>
          <w:color w:val="auto"/>
        </w:rPr>
      </w:pPr>
      <w:r>
        <w:rPr>
          <w:rFonts w:ascii="Times New Roman" w:cs="Times New Roman" w:eastAsia="Times New Roman" w:hAnsi="Times New Roman"/>
          <w:sz w:val="18"/>
          <w:szCs w:val="18"/>
          <w:color w:val="auto"/>
        </w:rPr>
        <w:t>2015, Protalix Ltd. and Pfizer entered into an amended exclusive license and supply agreement, which is referred to herein as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120" w:lineRule="exact"/>
        <w:rPr>
          <w:sz w:val="20"/>
          <w:szCs w:val="20"/>
          <w:color w:val="auto"/>
        </w:rPr>
      </w:pPr>
    </w:p>
    <w:p>
      <w:pPr>
        <w:ind w:left="980" w:right="80"/>
        <w:spacing w:after="0" w:line="256" w:lineRule="auto"/>
        <w:rPr>
          <w:sz w:val="20"/>
          <w:szCs w:val="20"/>
          <w:color w:val="auto"/>
        </w:rPr>
      </w:pPr>
      <w:r>
        <w:rPr>
          <w:rFonts w:ascii="Times New Roman" w:cs="Times New Roman" w:eastAsia="Times New Roman" w:hAnsi="Times New Roman"/>
          <w:sz w:val="18"/>
          <w:szCs w:val="18"/>
          <w:color w:val="auto"/>
        </w:rPr>
        <w:t>On June 18, 2013, the Company entered into a Supply and Technology Transfer Agreement (the “Brazil Agreement”) with Fiocruz for BioManguinhos alfataliglicerase.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and patients continue to be treated with BioManguinhos alfataliglicerase in Brazil.</w:t>
      </w:r>
    </w:p>
    <w:p>
      <w:pPr>
        <w:spacing w:after="0" w:line="106"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On February 27, 2023, the Company entered into that certain At The Market Offering Agreement (as may be amended from time to time, the “Sales Agreement”) with H.C. Wainwright &amp; Co., LLC, as the Company’s sales agent (the “Agent”). After giving effect to the sales under the Sales Agreement in January 2025, no shares of common stock, par value $0.001 per share (the “Common Stock”) remained available for offer and sale under the Sales Agreement. On March 17, 2025, the Company entered into an amendment to the Sales Agreement pursuant to which the Company increased the aggregate gross sales price of shares of Common Stock available for offer and sale under the Sales Agreement by $20.0 million. As of June 30, 2025, approximately $15.7 million in shares of Common Stock remain available to be sold under the Sales Agreement.</w:t>
      </w:r>
    </w:p>
    <w:p>
      <w:pPr>
        <w:spacing w:after="0" w:line="165" w:lineRule="exact"/>
        <w:rPr>
          <w:sz w:val="20"/>
          <w:szCs w:val="20"/>
          <w:color w:val="auto"/>
        </w:rPr>
      </w:pPr>
    </w:p>
    <w:p>
      <w:pPr>
        <w:ind w:left="980"/>
        <w:spacing w:after="0" w:line="252" w:lineRule="auto"/>
        <w:rPr>
          <w:sz w:val="20"/>
          <w:szCs w:val="20"/>
          <w:color w:val="auto"/>
        </w:rPr>
      </w:pPr>
      <w:r>
        <w:rPr>
          <w:rFonts w:ascii="Times New Roman" w:cs="Times New Roman" w:eastAsia="Times New Roman" w:hAnsi="Times New Roman"/>
          <w:sz w:val="18"/>
          <w:szCs w:val="18"/>
          <w:color w:val="auto"/>
        </w:rPr>
        <w:t>Because the Company’s operations are conducted in the State of Israel, the business and operations may be directly affected by economic, political, geopolitical and military conditions in Israel. In October 2023 Hamas terrorists infiltrated Israel’s southern border from the Gaza Strip and attacked civilian and military targets. The infiltration was accompanied by extensive rocket attacks by Hamas on industrial, civilian and military targets throughout Israel. At the same time, clashes between Israel and Hezbollah in Lebanon increased. In response, Israel’s security cabinet declared war against Hamas and a military campaign against these terrorist organizations commenced in parallel to their continued rocket and terror attacks. Since the outbreak of the war, other regional actors, including Iran, have taken military action against Israel, as discussed above. In June 2025, Israel launched significant aerial attacks on military and related sites in Iran, and the Iranian military responded with missile and drone attacks in Israel, which was followed by strategic bombing by the U.S. Air Force. The U.S. action was followed by a cease fire with Iran which remains in effect as of the date hereof. Although ceasefire negotiations are on-going with Hamas and the level of military activity has decreased in recent months compared to previous levels, it is currently not possible to predict the duration or severity of the ongoing conflict or its effects on the Company’s business, operations and financial conditions. The Company’s facilities are recognized as an “essential enterprise” in Israel which means the Company operates or can be operated for the purposes of state defense or public security or for the maintenance of essential supplies or services, allowing the Company to maintain operations during emergencies. However, the situation could disrupt certain of the Company’s business and operations, among others. The Company has elected to store manufactured drug substance in multiple locations, both within and outside of Israel, to mitigate the risk of loss due to the military operations. As of the issuance of these financial statements, the impact of the war has not had an adverse effect on the Company’s operations.</w:t>
      </w:r>
    </w:p>
    <w:p>
      <w:pPr>
        <w:spacing w:after="0" w:line="150" w:lineRule="exact"/>
        <w:rPr>
          <w:sz w:val="20"/>
          <w:szCs w:val="20"/>
          <w:color w:val="auto"/>
        </w:rPr>
      </w:pPr>
    </w:p>
    <w:p>
      <w:pPr>
        <w:ind w:left="980" w:right="60"/>
        <w:spacing w:after="0" w:line="261" w:lineRule="auto"/>
        <w:rPr>
          <w:sz w:val="20"/>
          <w:szCs w:val="20"/>
          <w:color w:val="auto"/>
        </w:rPr>
      </w:pPr>
      <w:r>
        <w:rPr>
          <w:rFonts w:ascii="Times New Roman" w:cs="Times New Roman" w:eastAsia="Times New Roman" w:hAnsi="Times New Roman"/>
          <w:sz w:val="18"/>
          <w:szCs w:val="18"/>
          <w:color w:val="auto"/>
        </w:rPr>
        <w:t>The Company expects to continue to incur significant expenditures in the near future due to research and developments efforts with respect to its product candidates. The Company believes that its cash and cash equivalents and short-term bank deposits as of June 30, 2025, are sufficient to satisfy the Company’s capital needs for at least 12 months from the date that these financial statements are issued.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20" w:right="19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61" w:lineRule="exact"/>
        <w:rPr>
          <w:rFonts w:ascii="Times New Roman" w:cs="Times New Roman" w:eastAsia="Times New Roman" w:hAnsi="Times New Roman"/>
          <w:sz w:val="18"/>
          <w:szCs w:val="18"/>
          <w:b w:val="1"/>
          <w:bCs w:val="1"/>
          <w:color w:val="auto"/>
        </w:rPr>
      </w:pPr>
    </w:p>
    <w:p>
      <w:pPr>
        <w:ind w:left="98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generally accepted accounting principles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pacing w:after="0" w:line="187" w:lineRule="exact"/>
        <w:rPr>
          <w:rFonts w:ascii="Times New Roman" w:cs="Times New Roman" w:eastAsia="Times New Roman" w:hAnsi="Times New Roman"/>
          <w:sz w:val="18"/>
          <w:szCs w:val="18"/>
          <w:b w:val="1"/>
          <w:bCs w:val="1"/>
          <w:color w:val="auto"/>
        </w:rPr>
      </w:pPr>
    </w:p>
    <w:p>
      <w:pPr>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in the Annual Report on Form 10-K for the year ended December 31, 2024, filed by the Company with the U.S. Securities and Exchange Commission (the “Commission”) on March 17, 2025. The comparative balance sheet at December 31, 2024 has been derived from the audited financial statements at that date. There have been no material changes in our significant accounting policies as described in our consolidated financial statements for the year ended December 31, 2024.</w:t>
      </w:r>
    </w:p>
    <w:p>
      <w:pPr>
        <w:spacing w:after="0" w:line="18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earnings (loss) per share</w:t>
      </w:r>
    </w:p>
    <w:p>
      <w:pPr>
        <w:spacing w:after="0" w:line="229" w:lineRule="exact"/>
        <w:rPr>
          <w:rFonts w:ascii="Times New Roman" w:cs="Times New Roman" w:eastAsia="Times New Roman" w:hAnsi="Times New Roman"/>
          <w:sz w:val="18"/>
          <w:szCs w:val="18"/>
          <w:b w:val="1"/>
          <w:bCs w:val="1"/>
          <w:color w:val="auto"/>
        </w:rPr>
      </w:pPr>
    </w:p>
    <w:p>
      <w:pPr>
        <w:ind w:left="98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(loss) per share is computed by dividing net income (loss) by the weighted average number of shares of Common Stock outstanding for each period.</w:t>
      </w:r>
    </w:p>
    <w:p>
      <w:pPr>
        <w:spacing w:after="0" w:line="121" w:lineRule="exact"/>
        <w:rPr>
          <w:rFonts w:ascii="Times New Roman" w:cs="Times New Roman" w:eastAsia="Times New Roman" w:hAnsi="Times New Roman"/>
          <w:sz w:val="18"/>
          <w:szCs w:val="18"/>
          <w:b w:val="1"/>
          <w:bCs w:val="1"/>
          <w:color w:val="auto"/>
        </w:rPr>
      </w:pPr>
    </w:p>
    <w:p>
      <w:pPr>
        <w:ind w:left="98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Diluted earnings per share is calculated by dividing the net income by the weighted-average number of shares of Common Stock outstanding during each period increased to include the number of additional shares of Common Stock that would have been outstanding if the potentially dilutive shares had been issued.</w:t>
      </w:r>
    </w:p>
    <w:p>
      <w:pPr>
        <w:spacing w:after="0" w:line="148" w:lineRule="exact"/>
        <w:rPr>
          <w:rFonts w:ascii="Times New Roman" w:cs="Times New Roman" w:eastAsia="Times New Roman" w:hAnsi="Times New Roman"/>
          <w:sz w:val="18"/>
          <w:szCs w:val="18"/>
          <w:b w:val="1"/>
          <w:bCs w:val="1"/>
          <w:color w:val="auto"/>
        </w:rPr>
      </w:pPr>
    </w:p>
    <w:p>
      <w:pPr>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computing diluted earnings per share, basic earnings per share are adjusted to take into account the potential dilution that could occur upon: (i) the exercise of options granted under employee stock compensation plans using the treasury stock method; (ii) the exercise of warrants using the treasury stock method; and (iii) the conversion of the convertible notes using the “if-converted” method.</w:t>
      </w:r>
    </w:p>
    <w:p>
      <w:pPr>
        <w:spacing w:after="0" w:line="13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188" w:lineRule="exact"/>
        <w:rPr>
          <w:rFonts w:ascii="Times New Roman" w:cs="Times New Roman" w:eastAsia="Times New Roman" w:hAnsi="Times New Roman"/>
          <w:sz w:val="18"/>
          <w:szCs w:val="18"/>
          <w:b w:val="1"/>
          <w:bCs w:val="1"/>
          <w:color w:val="auto"/>
        </w:rPr>
      </w:pPr>
    </w:p>
    <w:p>
      <w:pPr>
        <w:ind w:left="98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2024, the Company repaid in full all of the outstanding principal and interest payable under its 7.50% Senior Secured Convertible Promissory Notes due 2024 (the “2024 Notes”). The repayment of the convertible notes at maturity was financed entirely with available cash.</w:t>
      </w:r>
    </w:p>
    <w:p>
      <w:pPr>
        <w:spacing w:after="0" w:line="135" w:lineRule="exact"/>
        <w:rPr>
          <w:rFonts w:ascii="Times New Roman" w:cs="Times New Roman" w:eastAsia="Times New Roman" w:hAnsi="Times New Roman"/>
          <w:sz w:val="18"/>
          <w:szCs w:val="18"/>
          <w:b w:val="1"/>
          <w:bCs w:val="1"/>
          <w:color w:val="auto"/>
        </w:rPr>
      </w:pPr>
    </w:p>
    <w:p>
      <w:pPr>
        <w:jc w:val="both"/>
        <w:ind w:left="980" w:right="6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January 1, 2024, the Company’s outstanding 2024 Notes were accounted for as a liability (debt) and equity component (conversion option) as the convertible notes may be settled wholly or partly in cash, at the option of the Company, when converted.</w:t>
      </w:r>
    </w:p>
    <w:p>
      <w:pPr>
        <w:spacing w:after="0" w:line="148" w:lineRule="exact"/>
        <w:rPr>
          <w:rFonts w:ascii="Times New Roman" w:cs="Times New Roman" w:eastAsia="Times New Roman" w:hAnsi="Times New Roman"/>
          <w:sz w:val="18"/>
          <w:szCs w:val="18"/>
          <w:b w:val="1"/>
          <w:bCs w:val="1"/>
          <w:color w:val="auto"/>
        </w:rPr>
      </w:pPr>
    </w:p>
    <w:p>
      <w:pPr>
        <w:ind w:left="980" w:right="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Starting from January 1, 2024, the convertible debt instruments were accounted for as a single liability measured at amortized cost.</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186"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86" w:lineRule="exact"/>
        <w:rPr>
          <w:rFonts w:ascii="Times New Roman" w:cs="Times New Roman" w:eastAsia="Times New Roman" w:hAnsi="Times New Roman"/>
          <w:sz w:val="18"/>
          <w:szCs w:val="18"/>
          <w:b w:val="1"/>
          <w:bCs w:val="1"/>
          <w:color w:val="auto"/>
        </w:rPr>
      </w:pPr>
    </w:p>
    <w:p>
      <w:pPr>
        <w:ind w:left="98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with the option to apply the standard retrospectively. The Company is currently evaluating this guidance to determine the impact it may have on its consolidated financial statements disclosures.</w:t>
      </w:r>
    </w:p>
    <w:p>
      <w:pPr>
        <w:sectPr>
          <w:pgSz w:w="11900" w:h="16838" w:orient="portrait"/>
          <w:cols w:equalWidth="0" w:num="1">
            <w:col w:w="9880"/>
          </w:cols>
          <w:pgMar w:left="980" w:top="661" w:right="103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60"/>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disclosure about the types of costs and expenses included in certain expense captions presented on the income statement. ASU 2024-03 is effective for fiscal years beginning after December 15, 2026, and interim periods within fiscal years beginning after December 15, 2027, with early adoption permitted, and may be applied either prospectively or retrospectively. The Company is currently evaluating this guidance to determine the impact it may have on its consolidated financial statements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INVENTORIES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at June 30, 2025 and December 31, 2024 consisted of the following:</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w:t>
      </w:r>
    </w:p>
    <w:p>
      <w:pPr>
        <w:spacing w:after="0" w:line="189" w:lineRule="exact"/>
        <w:rPr>
          <w:sz w:val="20"/>
          <w:szCs w:val="20"/>
          <w:color w:val="auto"/>
        </w:rPr>
      </w:pPr>
    </w:p>
    <w:p>
      <w:pPr>
        <w:jc w:val="both"/>
        <w:ind w:left="660" w:right="160"/>
        <w:spacing w:after="0" w:line="266" w:lineRule="auto"/>
        <w:rPr>
          <w:sz w:val="20"/>
          <w:szCs w:val="20"/>
          <w:color w:val="auto"/>
        </w:rPr>
      </w:pPr>
      <w:r>
        <w:rPr>
          <w:rFonts w:ascii="Times New Roman" w:cs="Times New Roman" w:eastAsia="Times New Roman" w:hAnsi="Times New Roman"/>
          <w:sz w:val="18"/>
          <w:szCs w:val="18"/>
          <w:color w:val="auto"/>
        </w:rPr>
        <w:t>The Company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49" w:lineRule="exact"/>
        <w:rPr>
          <w:sz w:val="20"/>
          <w:szCs w:val="20"/>
          <w:color w:val="auto"/>
        </w:rPr>
      </w:pPr>
    </w:p>
    <w:p>
      <w:pPr>
        <w:jc w:val="both"/>
        <w:ind w:left="660" w:right="160"/>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21"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198"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21"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21"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fair value of the financial instruments included in the working capital of the Company is identical or close to their carrying value.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STOCK TRANSACTIONS</w:t>
      </w:r>
    </w:p>
    <w:p>
      <w:pPr>
        <w:spacing w:after="0" w:line="189" w:lineRule="exact"/>
        <w:rPr>
          <w:sz w:val="20"/>
          <w:szCs w:val="20"/>
          <w:color w:val="auto"/>
        </w:rPr>
      </w:pPr>
    </w:p>
    <w:p>
      <w:pPr>
        <w:ind w:left="1000" w:right="60" w:hanging="317"/>
        <w:spacing w:after="0" w:line="289" w:lineRule="auto"/>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three months ended March 31, 2025, the Company issued 908,000 shares of Common Stock in connection with the exercise of warrants issued in 2020 generating proceeds equal to approximately $2.1 million from such exercises. The remaining warrants expired on March 11, 2025. Accordingly, </w:t>
      </w:r>
      <w:r>
        <w:rPr>
          <w:rFonts w:ascii="Times New Roman" w:cs="Times New Roman" w:eastAsia="Times New Roman" w:hAnsi="Times New Roman"/>
          <w:sz w:val="17"/>
          <w:szCs w:val="17"/>
          <w:color w:val="212529"/>
        </w:rPr>
        <w:t>as of March 12, 2025, no warrants remained outstanding</w:t>
      </w:r>
      <w:r>
        <w:rPr>
          <w:rFonts w:ascii="Times New Roman" w:cs="Times New Roman" w:eastAsia="Times New Roman" w:hAnsi="Times New Roman"/>
          <w:sz w:val="17"/>
          <w:szCs w:val="17"/>
          <w:color w:val="auto"/>
        </w:rPr>
        <w:t>.</w:t>
      </w:r>
    </w:p>
    <w:p>
      <w:pPr>
        <w:spacing w:after="0" w:line="117" w:lineRule="exact"/>
        <w:rPr>
          <w:rFonts w:ascii="Times New Roman" w:cs="Times New Roman" w:eastAsia="Times New Roman" w:hAnsi="Times New Roman"/>
          <w:sz w:val="17"/>
          <w:szCs w:val="17"/>
          <w:color w:val="auto"/>
        </w:rPr>
      </w:pPr>
    </w:p>
    <w:p>
      <w:pPr>
        <w:jc w:val="both"/>
        <w:ind w:left="1000" w:hanging="317"/>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30, 2025, the Company sold, in the aggregate, 2,775,215 shares of Common Stock under the Sales Agreement. The Company generated gross proceeds equal to approximately $7.0 million in connection with such sales (issuance costs were $0.2 million).</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1000" w:right="60" w:hanging="317"/>
        <w:spacing w:after="0" w:line="289" w:lineRule="auto"/>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six months ended June 30, 2025, the Company issued, in the aggregate, 198,625 shares of Common Stock in connection with the exercise of options to purchase 198,625 shares of Common Stock by certain current and former employees of the Company. The Company received cash proceeds equal to $0.3 million in connection with such exercises.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(LOSS) PER SHARE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and diluted earnings (loss) per share attributable to common stockholders were calculated as follows:</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36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for basic and diluted calculation</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197"/>
        </w:trPr>
        <w:tc>
          <w:tcPr>
            <w:tcW w:w="3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for basic calculation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77,651,330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73,172,980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78,663,884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73,308,281</w:t>
            </w:r>
          </w:p>
        </w:tc>
        <w:tc>
          <w:tcPr>
            <w:tcW w:w="0" w:type="dxa"/>
            <w:vAlign w:val="bottom"/>
          </w:tcPr>
          <w:p>
            <w:pPr>
              <w:spacing w:after="0"/>
              <w:rPr>
                <w:sz w:val="1"/>
                <w:szCs w:val="1"/>
                <w:color w:val="auto"/>
              </w:rPr>
            </w:pPr>
          </w:p>
        </w:tc>
      </w:tr>
      <w:tr>
        <w:trPr>
          <w:trHeight w:val="198"/>
        </w:trPr>
        <w:tc>
          <w:tcPr>
            <w:tcW w:w="3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dilutive effect of stock options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restricted stock</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2,607,726</w:t>
            </w: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77,651,330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73,172,980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81,271,610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73,308,281</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for diluted calculation</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right="360"/>
        <w:spacing w:after="0" w:line="266" w:lineRule="auto"/>
        <w:rPr>
          <w:sz w:val="20"/>
          <w:szCs w:val="20"/>
          <w:color w:val="auto"/>
        </w:rPr>
      </w:pPr>
      <w:r>
        <w:rPr>
          <w:rFonts w:ascii="Times New Roman" w:cs="Times New Roman" w:eastAsia="Times New Roman" w:hAnsi="Times New Roman"/>
          <w:sz w:val="18"/>
          <w:szCs w:val="18"/>
          <w:color w:val="auto"/>
        </w:rPr>
        <w:t>Diluted earnings (loss) per share do not include 12,936,429 shares of Common Stock underlying outstanding stock options, unvested shares of restricted stock and warrants for the six months ended June 30, 2025 because the effect would be anti-dilutive.</w:t>
      </w:r>
    </w:p>
    <w:p>
      <w:pPr>
        <w:spacing w:after="0" w:line="149"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Diluted earnings (loss) per share do not include 2,365,709 shares of Common Stock underlying outstanding stock options for the three months ended June 30, 2025 because the effect would be anti-dilutive.</w:t>
      </w:r>
    </w:p>
    <w:p>
      <w:pPr>
        <w:spacing w:after="0" w:line="121"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Diluted earnings (loss) per share do not include 31,744,960 and 31,791,645 shares of Common Stock underlying outstanding stock options, unvested shares of restricted stock, warrants and the 2024 Notes for the three and six months ended June 30, 2024, respectively, because the effect would be anti-dilutive.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TAXES ON INCOME (TAX BENEFIT)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taxes on income:</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Three Months Ended June 30,</w:t>
            </w:r>
          </w:p>
        </w:tc>
        <w:tc>
          <w:tcPr>
            <w:tcW w:w="0" w:type="dxa"/>
            <w:vAlign w:val="bottom"/>
          </w:tcPr>
          <w:p>
            <w:pPr>
              <w:spacing w:after="0"/>
              <w:rPr>
                <w:sz w:val="1"/>
                <w:szCs w:val="1"/>
                <w:color w:val="auto"/>
              </w:rPr>
            </w:pPr>
          </w:p>
        </w:tc>
      </w:tr>
      <w:tr>
        <w:trPr>
          <w:trHeight w:val="142"/>
        </w:trPr>
        <w:tc>
          <w:tcPr>
            <w:tcW w:w="4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taxes on income</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on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taxes on income (tax benefit)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line="257" w:lineRule="auto"/>
        <w:rPr>
          <w:sz w:val="20"/>
          <w:szCs w:val="20"/>
          <w:color w:val="auto"/>
        </w:rPr>
      </w:pPr>
      <w:r>
        <w:rPr>
          <w:rFonts w:ascii="Times New Roman" w:cs="Times New Roman" w:eastAsia="Times New Roman" w:hAnsi="Times New Roman"/>
          <w:sz w:val="18"/>
          <w:szCs w:val="18"/>
          <w:color w:val="auto"/>
        </w:rPr>
        <w:t>The Company had an effective tax rate of 13% for the six months ended June 30, 2025 compared to an effective tax rate of (3)% for the six months ended June 30, 2024. For the six months ended June 30, 2025, the difference between the Company’s effective tax rate and the U.S. federal statutory rate of 21% was the result of forecasted profits derived primarily from</w:t>
      </w:r>
    </w:p>
    <w:p>
      <w:pPr>
        <w:spacing w:after="0" w:line="1" w:lineRule="exact"/>
        <w:rPr>
          <w:sz w:val="20"/>
          <w:szCs w:val="20"/>
          <w:color w:val="auto"/>
        </w:rPr>
      </w:pPr>
    </w:p>
    <w:p>
      <w:pPr>
        <w:ind w:left="660" w:right="400"/>
        <w:spacing w:after="0" w:line="260" w:lineRule="auto"/>
        <w:rPr>
          <w:sz w:val="20"/>
          <w:szCs w:val="20"/>
          <w:color w:val="auto"/>
        </w:rPr>
      </w:pPr>
      <w:r>
        <w:rPr>
          <w:rFonts w:ascii="Times New Roman" w:cs="Times New Roman" w:eastAsia="Times New Roman" w:hAnsi="Times New Roman"/>
          <w:sz w:val="18"/>
          <w:szCs w:val="18"/>
          <w:color w:val="auto"/>
        </w:rPr>
        <w:t>U.S. taxable GILTI income mainly due to Section 174 of the U.S. Tax Cuts and Jobs Act of 2017 (the “TCJA”), which was enacted in December 2017.</w:t>
      </w:r>
    </w:p>
    <w:p>
      <w:pPr>
        <w:spacing w:after="0" w:line="141"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On July 4, 2025, tax reform legislation was enacted in the United States through the passage of H.R.1, One Big Beautiful Bill Act (“HR1”), which includes significant corporate tax changes, including a restoration of the current deductibility for domestic research expenditures beginning in 2025, with transition options for previously capitalized amounts. The Company continues to evaluate the impact that the new legislation will have on the consolidated financial statements.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SEGMENT INFORMATION</w:t>
      </w:r>
    </w:p>
    <w:p>
      <w:pPr>
        <w:spacing w:after="0" w:line="189" w:lineRule="exact"/>
        <w:rPr>
          <w:sz w:val="20"/>
          <w:szCs w:val="20"/>
          <w:color w:val="auto"/>
        </w:rPr>
      </w:pPr>
    </w:p>
    <w:p>
      <w:pPr>
        <w:ind w:left="1000" w:hanging="317"/>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operates in Israel as a single operating segment. The Company’s President and Chief Executive Officer is the CODM. The CODM makes decisions on resource allocation, assesses performance of the business and monitors budget versus actual results on a consolidated basis.</w:t>
      </w:r>
    </w:p>
    <w:p>
      <w:pPr>
        <w:spacing w:after="0" w:line="14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00" w:type="dxa"/>
            <w:vAlign w:val="bottom"/>
          </w:tcPr>
          <w:p>
            <w:pPr>
              <w:spacing w:after="0"/>
              <w:rPr>
                <w:sz w:val="15"/>
                <w:szCs w:val="15"/>
                <w:color w:val="auto"/>
              </w:rPr>
            </w:pPr>
          </w:p>
        </w:tc>
        <w:tc>
          <w:tcPr>
            <w:tcW w:w="374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Three Months Ended June 30,</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customers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salaries and related expenses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Sub-contractors expense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Taxes on income (tax benefit)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income (loss)</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80" w:right="2320" w:firstLine="219"/>
        <w:spacing w:after="0" w:line="517" w:lineRule="auto"/>
        <w:tabs>
          <w:tab w:leader="none" w:pos="103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included in net income includes raw materials, rent and utilities and others. c. The following table summarizes the Company’s disaggregation of revenues: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Gaucher disease:</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Pfizer (Ireland)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36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Fiocruz (Brazil)</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4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Fabry disease: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 (Italy)</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4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36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50"/>
        </w:trPr>
        <w:tc>
          <w:tcPr>
            <w:tcW w:w="1000" w:type="dxa"/>
            <w:vAlign w:val="bottom"/>
          </w:tcPr>
          <w:p>
            <w:pPr>
              <w:spacing w:after="0"/>
              <w:rPr>
                <w:sz w:val="21"/>
                <w:szCs w:val="21"/>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3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25,435</w:t>
            </w:r>
          </w:p>
        </w:tc>
        <w:tc>
          <w:tcPr>
            <w:tcW w:w="2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16,981</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4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Revenues from license and R&amp;D services</w:t>
            </w:r>
          </w:p>
        </w:tc>
        <w:tc>
          <w:tcPr>
            <w:tcW w:w="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336</w:t>
            </w: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d.  Long lived assets are located in Israel.</w:t>
            </w: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120" w:type="dxa"/>
            <w:vAlign w:val="bottom"/>
            <w:gridSpan w:val="7"/>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98"/>
              </w:rPr>
              <w:t>NOTE 8 – SUPPLEMENTARY FINANCIAL STATEMENT INFORMATION</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0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accruals – other:</w:t>
            </w: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3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vacation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 payable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customer</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suppliers</w:t>
            </w: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900"/>
          </w:cols>
          <w:pgMar w:left="980" w:top="661" w:right="1019" w:bottom="1440" w:gutter="0" w:footer="0" w:header="0"/>
        </w:sect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189"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Since the end of the quarter ended June 30, 2025, the Company collected approximately $1.4 million from sales to Pfizer and approximately $7.8 million from sales to Chiesi.</w:t>
      </w:r>
    </w:p>
    <w:p>
      <w:pPr>
        <w:spacing w:after="0" w:line="162" w:lineRule="exact"/>
        <w:rPr>
          <w:sz w:val="20"/>
          <w:szCs w:val="20"/>
          <w:color w:val="auto"/>
        </w:rPr>
      </w:pPr>
    </w:p>
    <w:p>
      <w:pPr>
        <w:ind w:left="660"/>
        <w:spacing w:after="0" w:line="273" w:lineRule="auto"/>
        <w:rPr>
          <w:sz w:val="20"/>
          <w:szCs w:val="20"/>
          <w:color w:val="auto"/>
        </w:rPr>
      </w:pPr>
      <w:r>
        <w:rPr>
          <w:rFonts w:ascii="Times New Roman" w:cs="Times New Roman" w:eastAsia="Times New Roman" w:hAnsi="Times New Roman"/>
          <w:sz w:val="17"/>
          <w:szCs w:val="17"/>
          <w:color w:val="auto"/>
        </w:rPr>
        <w:t>On July 20, 2025, the Company granted, with the approval of the Company’s compensation committee, 10-year options to purchase 597,990 shares of Common Stock, in the aggregate, to the Company’s incoming Sr. Vice President and Chief Financial Officer under the under the Company’s Amended and Restated 2006 Employee Stock Incentive Plan, as amended (the “Plan”). The options have an exercise price equal to $1.45 per share and vest over a three-year period in 12 equal quarterly increments. Vesting of the options is subject to automatic acceleration in full upon a Corporate Transaction or a Change in Control, as those terms are defined in the Plan, and are subject to certain other terms and conditions. The Company estimated the aggregate fair value of the options on the date of grant using the Black-Scholes option-pricing model to be approximately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RISK FACTORS SUMMARY</w:t>
      </w:r>
    </w:p>
    <w:p>
      <w:pPr>
        <w:spacing w:after="0" w:line="1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2024. Some of the information contained in this discussion and analysis, particularly with respect to our plans and strategy for our business and related financing, includes forward-looking statements within the meanings of Section 27A of the Securities Act of 1933, as amended, or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our subsidiary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 including those set forth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the risks and uncertainties include, but are not limited to, the following:</w:t>
      </w:r>
    </w:p>
    <w:p>
      <w:pPr>
        <w:spacing w:after="0" w:line="177" w:lineRule="exact"/>
        <w:rPr>
          <w:sz w:val="20"/>
          <w:szCs w:val="20"/>
          <w:color w:val="auto"/>
        </w:rPr>
      </w:pPr>
    </w:p>
    <w:p>
      <w:pPr>
        <w:ind w:right="60" w:firstLine="656"/>
        <w:spacing w:after="0" w:line="217"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commercialization of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alfa-iwxj), our approved product for the treatment of adult patients with Fabry disease;</w:t>
      </w:r>
    </w:p>
    <w:p>
      <w:pPr>
        <w:spacing w:after="0" w:line="171" w:lineRule="exact"/>
        <w:rPr>
          <w:rFonts w:ascii="Times New Roman" w:cs="Times New Roman" w:eastAsia="Times New Roman" w:hAnsi="Times New Roman"/>
          <w:sz w:val="18"/>
          <w:szCs w:val="18"/>
          <w:color w:val="auto"/>
        </w:rPr>
      </w:pPr>
    </w:p>
    <w:p>
      <w:pPr>
        <w:ind w:right="4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Elfabrio’s market acceptance, competition, reimbursement and regulatory actions, including as a result of the boxed warning contained in the FDA approval received for the product;</w:t>
      </w:r>
    </w:p>
    <w:p>
      <w:pPr>
        <w:spacing w:after="0" w:line="121" w:lineRule="exact"/>
        <w:rPr>
          <w:rFonts w:ascii="Times New Roman" w:cs="Times New Roman" w:eastAsia="Times New Roman" w:hAnsi="Times New Roman"/>
          <w:sz w:val="18"/>
          <w:szCs w:val="18"/>
          <w:color w:val="auto"/>
        </w:rPr>
      </w:pPr>
    </w:p>
    <w:p>
      <w:pPr>
        <w:ind w:right="20" w:firstLine="656"/>
        <w:spacing w:after="0" w:line="258"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of our operations due to the war declared by Israel’s security cabinet against the Hamas terrorist organization located in the Gaza Strip, the military campaign against the Hezbollah and other terrorist activities and armed conflict, including as a result of the disruption of the operations of certain regulatory authorities and of certain of our suppliers, collaborative partners, licensees, clinical trial sites, distributors and customers, and the risk that the current hostilities will result in a greater regional conflict;</w:t>
      </w:r>
    </w:p>
    <w:p>
      <w:pPr>
        <w:spacing w:after="0" w:line="14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regulatory approval and commercial success of our other product and product candidates, if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expectations with respect to the projected market of our products and product candidates;</w:t>
      </w:r>
    </w:p>
    <w:p>
      <w:pPr>
        <w:spacing w:after="0" w:line="184" w:lineRule="exact"/>
        <w:rPr>
          <w:rFonts w:ascii="Times New Roman" w:cs="Times New Roman" w:eastAsia="Times New Roman" w:hAnsi="Times New Roman"/>
          <w:sz w:val="18"/>
          <w:szCs w:val="18"/>
          <w:color w:val="auto"/>
        </w:rPr>
      </w:pPr>
    </w:p>
    <w:p>
      <w:pPr>
        <w:ind w:right="60" w:firstLine="656"/>
        <w:spacing w:after="0" w:line="258"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inability to monitor patients adequately during or after treatment; and/or lack of sufficient funding to finance our clinical trials;</w:t>
      </w:r>
    </w:p>
    <w:p>
      <w:pPr>
        <w:spacing w:after="0" w:line="142" w:lineRule="exact"/>
        <w:rPr>
          <w:rFonts w:ascii="Times New Roman" w:cs="Times New Roman" w:eastAsia="Times New Roman" w:hAnsi="Times New Roman"/>
          <w:sz w:val="18"/>
          <w:szCs w:val="18"/>
          <w:color w:val="auto"/>
        </w:rPr>
      </w:pPr>
    </w:p>
    <w:p>
      <w:pPr>
        <w:ind w:right="8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approval or potential rejection of any applications we file with the FDA, European Medicines Agency, or EMA, or other health regulatory authorities for our other product candidates, and other risks relating to the review process;</w:t>
      </w:r>
    </w:p>
    <w:p>
      <w:pPr>
        <w:spacing w:after="0" w:line="134" w:lineRule="exact"/>
        <w:rPr>
          <w:rFonts w:ascii="Times New Roman" w:cs="Times New Roman" w:eastAsia="Times New Roman" w:hAnsi="Times New Roman"/>
          <w:sz w:val="18"/>
          <w:szCs w:val="18"/>
          <w:color w:val="auto"/>
        </w:rPr>
      </w:pPr>
    </w:p>
    <w:p>
      <w:pPr>
        <w:ind w:right="480" w:firstLine="656"/>
        <w:spacing w:after="0" w:line="289" w:lineRule="auto"/>
        <w:tabs>
          <w:tab w:leader="none" w:pos="12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global conditions and developments such as new or increased tariffs, new trade restrictions, supply chain challenges, the inflationary environment and tight labor market, and instability in the banking industry, which may adversely impact our business, operations and ability to raise additional financing if and as required and on terms acceptable to us;</w:t>
      </w:r>
    </w:p>
    <w:p>
      <w:pPr>
        <w:spacing w:after="0" w:line="117" w:lineRule="exact"/>
        <w:rPr>
          <w:rFonts w:ascii="Times New Roman" w:cs="Times New Roman" w:eastAsia="Times New Roman" w:hAnsi="Times New Roman"/>
          <w:sz w:val="17"/>
          <w:szCs w:val="17"/>
          <w:color w:val="auto"/>
        </w:rPr>
      </w:pPr>
    </w:p>
    <w:p>
      <w:pPr>
        <w:ind w:right="8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transactions we may effect in the public or private equity or debt markets to raise capital to finance future research and development activities, general and administrative expenses and working capital;</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evaluation and pursuit of strategic partnerships;</w:t>
      </w:r>
    </w:p>
    <w:p>
      <w:pPr>
        <w:sectPr>
          <w:pgSz w:w="11900" w:h="16838" w:orient="portrait"/>
          <w:cols w:equalWidth="0" w:num="1">
            <w:col w:w="9900"/>
          </w:cols>
          <w:pgMar w:left="980" w:top="661" w:right="1019" w:bottom="1440" w:gutter="0" w:footer="0" w:header="0"/>
        </w:sectPr>
      </w:pP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56"/>
        <w:spacing w:after="0" w:line="312" w:lineRule="auto"/>
        <w:tabs>
          <w:tab w:leader="none" w:pos="1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99" w:lineRule="exact"/>
        <w:rPr>
          <w:rFonts w:ascii="Times New Roman" w:cs="Times New Roman" w:eastAsia="Times New Roman" w:hAnsi="Times New Roman"/>
          <w:sz w:val="17"/>
          <w:szCs w:val="17"/>
          <w:color w:val="auto"/>
        </w:rPr>
      </w:pPr>
    </w:p>
    <w:p>
      <w:pPr>
        <w:ind w:firstLine="656"/>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manage our relationship with our collaborators, distributors or partners, including, but not limited to, Pfizer and Chiesi;</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amount and sufficiency of our cash and cash equivalents and short-term bank deposits;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to interim, top-line or preliminary data from clinical trials that we announce or publish;</w:t>
      </w:r>
    </w:p>
    <w:p>
      <w:pPr>
        <w:spacing w:after="0" w:line="184" w:lineRule="exact"/>
        <w:rPr>
          <w:rFonts w:ascii="Times New Roman" w:cs="Times New Roman" w:eastAsia="Times New Roman" w:hAnsi="Times New Roman"/>
          <w:sz w:val="18"/>
          <w:szCs w:val="18"/>
          <w:color w:val="auto"/>
        </w:rPr>
      </w:pPr>
    </w:p>
    <w:p>
      <w:pPr>
        <w:ind w:right="200" w:firstLine="656"/>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compliance Fiocruz with its purchase obligations under the Brazil Agreement, which may have a material adverse effect on us and may also result in the termination of such agreement;</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significant lawsuits, including stockholder litigation, which is common in the life sciences sector;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performance by third-party providers of services and supplies, including without limitation, clinical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services;</w:t>
      </w:r>
    </w:p>
    <w:p>
      <w:pPr>
        <w:spacing w:after="0" w:line="16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and uncertainties in developing drug platforms and products of the type we are developing;</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 of competing therapies and/or technologies by other companies;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of drug products to Pfizer;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 and risks of securing adequate levels of related insurance coverage;</w:t>
      </w:r>
    </w:p>
    <w:p>
      <w:pPr>
        <w:spacing w:after="0" w:line="198" w:lineRule="exact"/>
        <w:rPr>
          <w:rFonts w:ascii="Times New Roman" w:cs="Times New Roman" w:eastAsia="Times New Roman" w:hAnsi="Times New Roman"/>
          <w:sz w:val="18"/>
          <w:szCs w:val="18"/>
          <w:color w:val="auto"/>
        </w:rPr>
      </w:pPr>
    </w:p>
    <w:p>
      <w:pPr>
        <w:ind w:right="100" w:firstLine="656"/>
        <w:spacing w:after="0" w:line="312" w:lineRule="auto"/>
        <w:tabs>
          <w:tab w:leader="none" w:pos="1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infringing a third-party’s patents or other intellectual property rights and the uncertainty of obtaining patents covering our products and processes and successfully enforcing our intellectual property rights against third-parties; and</w:t>
      </w:r>
    </w:p>
    <w:p>
      <w:pPr>
        <w:spacing w:after="0" w:line="9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healthcare laws, rules and regulations in the United States or elsewhere.</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Company Developments</w:t>
      </w:r>
    </w:p>
    <w:p>
      <w:pPr>
        <w:spacing w:after="0" w:line="181" w:lineRule="exact"/>
        <w:rPr>
          <w:sz w:val="20"/>
          <w:szCs w:val="20"/>
          <w:color w:val="auto"/>
        </w:rPr>
      </w:pPr>
    </w:p>
    <w:p>
      <w:pPr>
        <w:ind w:right="40" w:firstLine="656"/>
        <w:spacing w:after="0" w:line="217"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2025, we announced that we had been added to the Russell 3000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Russell 2000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Indexes, effective as of the U.S. market close on June 27, 2025, as part of the 2025 Russell indexes annual reconstitution.</w:t>
      </w:r>
    </w:p>
    <w:p>
      <w:pPr>
        <w:spacing w:after="0" w:line="184" w:lineRule="exact"/>
        <w:rPr>
          <w:rFonts w:ascii="Times New Roman" w:cs="Times New Roman" w:eastAsia="Times New Roman" w:hAnsi="Times New Roman"/>
          <w:sz w:val="18"/>
          <w:szCs w:val="18"/>
          <w:color w:val="auto"/>
        </w:rPr>
      </w:pPr>
    </w:p>
    <w:p>
      <w:pPr>
        <w:jc w:val="both"/>
        <w:ind w:firstLine="656"/>
        <w:spacing w:after="0" w:line="243" w:lineRule="auto"/>
        <w:tabs>
          <w:tab w:leader="none" w:pos="12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 July 21, 2025, we announced the appointment of Gilad Mamlok as our new Senior Vice President and Chief Financial Officer, effective August 24, 2025, succeeding Eyal Rubin. To ensure a seamless transition, Mr. Mamlok has joined the company and is working alongside Mr. Rubin. After his tenure as Chief Financial Officer ends, Mr. Rubin will continue to be available to as necessary until October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89"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color w:val="auto"/>
        </w:rPr>
        <w:t>We are a commercial stage biopharmaceutical company focused on the development, production and commercialization of recombinant therapeutic proteins produced via our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plant cell-based protein expression system. We are the first and only company to gain FDA approval of a protein produced through plant cell-based expression in suspension. Our unique expression system represents a new method for developing recombinant proteins in an industrial-scale manner.</w:t>
      </w:r>
    </w:p>
    <w:p>
      <w:pPr>
        <w:spacing w:after="0" w:line="150" w:lineRule="exact"/>
        <w:rPr>
          <w:sz w:val="20"/>
          <w:szCs w:val="20"/>
          <w:color w:val="auto"/>
        </w:rPr>
      </w:pPr>
    </w:p>
    <w:p>
      <w:pPr>
        <w:spacing w:after="0" w:line="201" w:lineRule="auto"/>
        <w:rPr>
          <w:sz w:val="20"/>
          <w:szCs w:val="20"/>
          <w:color w:val="auto"/>
        </w:rPr>
      </w:pPr>
      <w:r>
        <w:rPr>
          <w:rFonts w:ascii="Times New Roman" w:cs="Times New Roman" w:eastAsia="Times New Roman" w:hAnsi="Times New Roman"/>
          <w:sz w:val="18"/>
          <w:szCs w:val="18"/>
          <w:color w:val="auto"/>
        </w:rPr>
        <w:t>To date, we have successfully developed two commercial products, both of which are enzyme replacement therapies (ERTs):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and children four years of age and greater with Gaucher disease. Elelyso was first</w:t>
      </w: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approved by the FDA in May 2012 and is now approved for marketing in 23 markets including Brazil, Israel and others. Elfabrio, which we referred to as PRX-102 during its development stage, has been approved for marketing in the United States, the European Union, Great Britain, Switzerland, Peru, Israel, Russia, Singapore Australia and Taiwan. We have licensed the rights to commercialize Elelyso worldwide (other than Brazil) to Pfizer, and in Brazil to Fiocruz. Elelyso is marketed as BioManguinhos alfataliglicerase in Brazil. We have partnered with Chiesi for the development and commercialization of Elfabrio.</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partnership with Chiesi is governed by two exclusive global licensing and supply agreements for Elfabrio for the treatment of Fabry disease with Chiesi; the Chiesi Ex-US Agreement and the Chiesi US Agreement, or collectively, the Chiesi Agreements. Under the agreements, we have received certain upfront payments and development cost reimbursements, and remain entitled to potential milestone payments and tiered payments for drug product purchased by Chiesi from Protalix Ltd. See Commercialization of Approved Products-- Elfabrio (pegunigalsidase alfa/PRX-102) – Chiesi Farmaceutici.</w:t>
      </w:r>
    </w:p>
    <w:p>
      <w:pPr>
        <w:spacing w:after="0" w:line="15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Under the terms of our agreements with Chiesi, Chiesi is solely responsible for the global commercialization and medical programs of Elfabrio, including patient acquisition and retention, and distribution of Elfabrio to patients. We are responsible for manufacturing of Elfabrio drug substance and product delivery to Chiesi. Operationally, Chiesi conducts its own internal commercial forecasting to guide inventory needs. To date, since approval in 2023, Chiesi has placed bulk orders for Elfabrio. As a result, the orders we receive from Chiesi may not be timed in relation to Chiesi’s pace of patient acquisition and retention. Our sales of Elfabrio to Chiesi may not reflect patient demand for Elfabrio. In addition, on a period-to-period basis, there may be variations in the orders placed by Chiesi resulting in variability in our period-to-period results as we, in turn, recognize revenues from sales of Elfabrio upon delivery of the drug product to Chiesi. There may be periods during which no orders are placed by Chiesi, whether as a result of inventory de-stocking or other factors. We do not anticipate that these Chiesi ordering patterns will change until the demand characteristics for Elfabrio stabilize, the launch of Elfabrio matures and Elfabrio’s share of the market for Fabry disease treatment grows.</w:t>
      </w:r>
    </w:p>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Amended Pfizer Agreement, we have licensed to Pfizer the global rights to market and sell Elelyso in all markets, excluding Brazil. We sell drug substance to Pfizer for the production of Elelyso, subject to certain terms and conditions and Pfizer retains the revenues generated from such sales. See Commercialization of Approved Products--Elelyso – Pfizer and --Alfataliglicerase – Fundação Oswaldo Cruz (Fiocruz).</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Our sales of Elelyso to Pfizer and Fiocruz are structured in a manner similar to Chiesi. We sell the products at a fixed price directly to Pfizer and Fiocruz who maintain product in inventory, and we recognize revenue from those sales upon delivery. The timing of such sales does not directly reflect patient demand and, on a period-to-period basis, there may be variations in the orders placed by each of Pfizer and Fiocruz resulting in variability in our period-to-period results. There may be periods during which no orders are placed by either Pfizer or Fiocruz, whether as a result of inventory de-stocking or other factors.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Elelyso and Elfabrio, we are developing PEGylated uricase, or PRX-115, for the treatment of uncontrolled gout, Long Acting (LA) DNase I, or PRX-119, for the treatment of NETs-related diseases, and a number of other technologies and preclinical assets. We have completed a phase I First-in-Human clinical trial of PRX-115 and we are currently in the advance stages of preparations for a phase II clinical trial of PRX-115 which we expect to commence in the second half of 2025.</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131445</wp:posOffset>
            </wp:positionV>
            <wp:extent cx="6172200" cy="2726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proprietary ProCellEx platform is being used to manufacture both of our approved and marketed products as well as PRX-115 and PRX-119.</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committed to leveraging our track record of success as we progress with the development of treatments for rare and orphan diseases. In addition, we continuously work on the further development and enhancement of our ProCellEx technology. Accordingly, we are turning our focus to new, early-stage product candidates that treat indications for which there are high unmet needs in terms of efficacy and safety, including renal diseases. Treatments of interest will address both genetic and non-genetic diseases. We intend to use our ProCellEx platform and PEGylation capabilities, as well as other modalities such as small molecules and antibodies, to take advantage of highly innovative opportunities. We are also exploring novel platform technologies.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ProCellEx: Our Proprietary Protein Expression System</w:t>
      </w:r>
    </w:p>
    <w:p>
      <w:pPr>
        <w:spacing w:after="0" w:line="2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ProCellEx is our proprietary platform used to produce and manufacture recombinant proteins through plant cell-based expression in suspension. We are the first and only company to receive FDA approval of a protein produced through plant cell-based expression, and with the approval of Elfabrio, we now produce two commercial proteins through our platform.</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 The system plays an important role in the execution of our corporate strategy as it allows us to develop and produce tailored complex recombinant therapeutic proteins and to genetically engineer and/or chemically modify such proteins pre- and/or post-production. The engineering and modification of the therapeutic proteins have the potential to provide added clinical benefits by improving the biological characteristics (e.g., glycosylation, half-life, immunogenicity).</w:t>
      </w:r>
    </w:p>
    <w:p>
      <w:pPr>
        <w:spacing w:after="0" w:line="14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developed ProCellEx based on our plant cell culture technology for the development, expression and manufacture of recombinant proteins that are the essential foundation of modern biotechnology. We develop new, recombinant therapeutic proteins by using the natural capability of agrobacterium to transfer a DNA fragment into the plant chromosome, allowing the genome of the plant cell to code for specific proteins of interest. The agrobacterium-mediated transformed cells are then able to produce specific proteins, which are extracted and purified and can be used as therapies to treat a variety of diseases.</w:t>
      </w:r>
    </w:p>
    <w:p>
      <w:pPr>
        <w:sectPr>
          <w:pgSz w:w="11900" w:h="16838" w:orient="portrait"/>
          <w:cols w:equalWidth="0" w:num="1">
            <w:col w:w="9880"/>
          </w:cols>
          <w:pgMar w:left="980" w:top="661" w:right="1039" w:bottom="1440" w:gutter="0" w:footer="0" w:header="0"/>
        </w:sectPr>
      </w:pP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ProCellEx technology can be utilized to express complex therapeutic proteins belonging to different drug classes, such as enzymes, hormones, monoclonal antibodies, cytokines and vaccines. The entire protein expression process, from initial nucleotide cloning to large-scale production of the protein product, occurs under Current Good Manufacturing Practice-, or cGMP-, compliant, controlled processes. Our plant cell culture technology uses cells, such as carrot and tobacco (BY-2) cells, which undergo advanced genetic engineering and/or chemical modifications, and are grown on an industrial scale in a disposable, flexible bioreactor system. Our system does not involve mammalian or animal-derived components or transgenic field-grown or whole plants at any point in the production process.</w:t>
      </w:r>
    </w:p>
    <w:p>
      <w:pPr>
        <w:spacing w:after="0" w:line="14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Cell growth, from initiating scale-up steps from a cell-bank through large-scale production takes place in a clean-room environment in flexible, sterile, custom-designed polyethylene bioreactors, and does not require the use of large stainless-steel bioreactors commonly used in mammalian-based systems for recombinant protein production. The ProCellEx reactors are easy to use and maintain, allow for rapid horizontal scale-up and do not involve the risk of mammalian viral contamination. Our bioreactors are well-suited for plant cell growth using a simple, inexpensive, chemically defined growth medium. The reactors, which are custom-designed and optimized for plant cell cultures, require low initial capital investment and are rapidly scalable at a low cost.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continuously work on the further development and enhancement of our ProCellEx technology.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131445</wp:posOffset>
            </wp:positionV>
            <wp:extent cx="5554980" cy="2288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5498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ProCellEx</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Protalix’s Differentiated Plant Cell Protein Expression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78105</wp:posOffset>
            </wp:positionV>
            <wp:extent cx="5554980" cy="2339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5498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Marketed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two commercial products, each of which is an ERT; Elelyso and Elfabrio.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Elelyso for the Treatment of Gaucher Disease</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Elelyso (taliglucerase alfa), our first commercial product, was approved by the FDA in 2012 for injection as an ERT for the long-term treatment of adult patients with a confirmed diagnosis of type 1 Gaucher disease. In August 2014, the FDA approved Elelyso for injection for children four years of age and greater. Elelyso is the first plant cell derived recombinant protein to be approved by the FDA for the treatment of Gaucher disease and is now approved in 23 markets including the United States, Brazil, Israel and others.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w:t>
      </w:r>
    </w:p>
    <w:p>
      <w:pPr>
        <w:spacing w:after="0" w:line="143" w:lineRule="exact"/>
        <w:rPr>
          <w:sz w:val="20"/>
          <w:szCs w:val="20"/>
          <w:color w:val="auto"/>
        </w:rPr>
      </w:pPr>
    </w:p>
    <w:p>
      <w:pPr>
        <w:ind w:right="100"/>
        <w:spacing w:after="0" w:line="201" w:lineRule="auto"/>
        <w:rPr>
          <w:sz w:val="20"/>
          <w:szCs w:val="20"/>
          <w:color w:val="auto"/>
        </w:rPr>
      </w:pPr>
      <w:r>
        <w:rPr>
          <w:rFonts w:ascii="Times New Roman" w:cs="Times New Roman" w:eastAsia="Times New Roman" w:hAnsi="Times New Roman"/>
          <w:sz w:val="18"/>
          <w:szCs w:val="18"/>
          <w:color w:val="auto"/>
        </w:rPr>
        <w:t>The global market for Gaucher disease, that includes Sanofi’s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Shire’s (acquired by Takeda Pharmaceutical Company Limited) Vpriv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Sanofi’s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was $1.7 billion in 2024, is forecasted to be approximately $1.7 billion in 2025 and is forecasted to grow at a compound annual growth rate (CAGR) of approximately -1.66% from 2024-2030.</w:t>
      </w:r>
    </w:p>
    <w:p>
      <w:pPr>
        <w:spacing w:after="0" w:line="171" w:lineRule="exact"/>
        <w:rPr>
          <w:sz w:val="20"/>
          <w:szCs w:val="20"/>
          <w:color w:val="auto"/>
        </w:rPr>
      </w:pPr>
    </w:p>
    <w:p>
      <w:pPr>
        <w:jc w:val="both"/>
        <w:ind w:right="380"/>
        <w:spacing w:after="0" w:line="289" w:lineRule="auto"/>
        <w:rPr>
          <w:sz w:val="20"/>
          <w:szCs w:val="20"/>
          <w:color w:val="auto"/>
        </w:rPr>
      </w:pPr>
      <w:r>
        <w:rPr>
          <w:rFonts w:ascii="Times New Roman" w:cs="Times New Roman" w:eastAsia="Times New Roman" w:hAnsi="Times New Roman"/>
          <w:sz w:val="17"/>
          <w:szCs w:val="17"/>
          <w:color w:val="auto"/>
        </w:rPr>
        <w:t>The current standard of care for Gaucher disease is ERT, which is a medical treatment where recombinant enzymes are injected into patients to replace the lacking or dysfunctional enzyme. In Gaucher disease, recombinant GCD is infused to replace the mutated or deficient natural GCD enzyme. Elelyso is the only alternative ERT treatment of Gaucher disease to Cerezyme and Vpriv.</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Elfabrio for the Treatment of Fabry Disease</w:t>
      </w:r>
    </w:p>
    <w:p>
      <w:pPr>
        <w:spacing w:after="0" w:line="18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Elfabrio, our second commercial product, was approved by the EC for marketing in the EU and by the FDA for marketing in the United States in May 2023 for adult patients with Fabry disease. Both approvals cover the 1 mg/kg every two weeks dosage. According to the EMA, overall, the benefit/risk balance of Elfabrio is positive in the claimed indication (Fabry disease). Similarly, the FDA review team concluded that in the context of Fabry disease as a rare, serious disease with limited therapeutic options that may not be suitable to all individual patients, the benefit-risk of Elfabrio is favorable for the treatment of adults with confirmed Fabry disease. The FDA noted its determination that substantial evidence of effectiveness for Elfabrio in Fabry patients was established with one adequate and well-controlled study, our phase I/II clinical trial of Fabry disease, with confirmatory evidence provided by the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study. The FDA review team also concluded that the</w:t>
      </w:r>
      <w:r>
        <w:rPr>
          <w:rFonts w:ascii="Times New Roman" w:cs="Times New Roman" w:eastAsia="Times New Roman" w:hAnsi="Times New Roman"/>
          <w:sz w:val="18"/>
          <w:szCs w:val="18"/>
          <w:i w:val="1"/>
          <w:iCs w:val="1"/>
          <w:color w:val="auto"/>
        </w:rPr>
        <w:t xml:space="preserve"> BALANCE </w:t>
      </w:r>
      <w:r>
        <w:rPr>
          <w:rFonts w:ascii="Times New Roman" w:cs="Times New Roman" w:eastAsia="Times New Roman" w:hAnsi="Times New Roman"/>
          <w:sz w:val="18"/>
          <w:szCs w:val="18"/>
          <w:color w:val="auto"/>
        </w:rPr>
        <w:t>study met its primary efficacy endpoint, which assessed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annualized rate of change in eGFR (estimated glomerular filtration rate) over 104 weeks. However, the FDA also determined that the results from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did not support a non-inferiority claim to the comparator product due to the lack of data to support the non-inferiority margin.</w:t>
      </w:r>
    </w:p>
    <w:p>
      <w:pPr>
        <w:spacing w:after="0" w:line="14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Since the approvals by the FDA and the EMA, Elfabrio has been approved for marketing in Great Britain, Switzerland, Peru, Israel, Russia, Singapore Australia and Taiwan for long-term enzyme replacement therapy in adult patients with a confirmed diagnosis of Fabry disease.</w:t>
      </w:r>
    </w:p>
    <w:p>
      <w:pPr>
        <w:spacing w:after="0" w:line="149"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8"/>
          <w:szCs w:val="18"/>
          <w:color w:val="auto"/>
        </w:rPr>
        <w:t>Fabry disease is a serious life-threatening rare genetic disorder. Fabry patients lack or have low levels of α-galactosidase-A resulting in the progressive accumulation of abnormal deposits of a fatty substance called globotriaosylceramide, or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in blood vessel walls throughout their body. The ultimate consequences of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xml:space="preserve"> deposition range from episodes of pain and impaired peripheral sensation to end-organ failure, particularly of the kidneys, but also of the heart and the cerebrovascular system. Fabry disease occurs in one person per 40,000 to 60,000 males.</w:t>
      </w:r>
    </w:p>
    <w:p>
      <w:pPr>
        <w:spacing w:after="0" w:line="15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standard of care for Fabry disease is ERT. Currently, the marketed ERTs for Fabry disease are agalsidase alfa and agalsidase beta, and now Elfabrio. Through an ERT, the missing α-galactosidase-A is replaced with a recombinant form of the protein via intravenous, or IV, infusion once every two weeks. Fabry disease, if left untreated, will progress from a less severe condition to a more serious one. It can have a significant impact on quality of life due to presence of serious, chronic and debilitating complications, including cardiovascular and renal complications, and comorbid conditions such as pain can have a significant impact on the psychological well-being of Fabry patients and their social functioning. Fabry disease involves substantial reduction in life expectancy. Causes of death are most often cardiovascular disease and, to a lesser extent, cerebrovascular disease and renal disease. The life expectancy of Fabry patients is significantly shorter compared to the general population. Untreated male Fabry patients may experience shortened lifespans to approximately 50 years, and 70 years for untreated female patients with Fabry disease. This represents a 20- and 10-year reduction of their respective lifespans.</w:t>
      </w:r>
    </w:p>
    <w:p>
      <w:pPr>
        <w:spacing w:after="0" w:line="146" w:lineRule="exact"/>
        <w:rPr>
          <w:sz w:val="20"/>
          <w:szCs w:val="20"/>
          <w:color w:val="auto"/>
        </w:rPr>
      </w:pPr>
    </w:p>
    <w:p>
      <w:pPr>
        <w:ind w:right="100"/>
        <w:spacing w:after="0" w:line="201" w:lineRule="auto"/>
        <w:rPr>
          <w:sz w:val="20"/>
          <w:szCs w:val="20"/>
          <w:color w:val="auto"/>
        </w:rPr>
      </w:pPr>
      <w:r>
        <w:rPr>
          <w:rFonts w:ascii="Times New Roman" w:cs="Times New Roman" w:eastAsia="Times New Roman" w:hAnsi="Times New Roman"/>
          <w:sz w:val="18"/>
          <w:szCs w:val="18"/>
          <w:color w:val="auto"/>
        </w:rPr>
        <w:t>The global market for Fabry disease, that includes agalsidase beta, Sanofi’s Fabrazyme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agalsidase alfa, Shire’s Replagal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Amicus Therapeutics’ Galafold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is forecasted to be approximately $2.3 billion in 2025 and is forecasted to grow at a CAGR of 7.39% from 2024-2030 reaching approximately $3.2 billion in annual sales in 2030.</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Regulatory Background of Elfabrio</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9, 2022, we, together with Chiesi, resubmitted to the FDA a BLA for PRX-102, the name we assigned to Elfabrio internally prior to its approvals, for the potential treatment of adult patients with Fabry disease. The initial BLA for PRX-102 was submitted to the FDA in May 2020. However, in April 2021, the FDA issued a CRL in response thereto. No concerns relating to the potential safety or efficacy of PRX-102 in the submitted data package were raised in the CRL. The FDA noted in the CRL that an inspection of our manufacturing facility in Carmiel, Israel, including the FDA’s subsequent assessment of any related FDA findings, was required before the FDA can approve a new drug. Due to travel restrictions during the COVID-19 pandemic, the FDA was unable to conduct the required pre-approval inspection during the review cycle. In addition to the foregoing, the FDA noted that agalsidase beta had recently been converted to full approval, a change in regulatory circumstances which had to be addressed in the resubmitted BLA for PRX-102.</w:t>
      </w:r>
    </w:p>
    <w:p>
      <w:pPr>
        <w:spacing w:after="0" w:line="1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PRX-102 MAA was submitted to the EMA in February 2022 after a meeting we held, together with Chiesi, with the Rapporteur and Co-Rapporteur of the EMA regarding PRX-102. In February 2023, we, together with Chiesi, announced that the EMA’s Committee for Medicinal Products for Human Use (CHMP) had adopted a positive opinion, recommending marketing authorization for PRX-102. As disclosed above, Elfabrio was subsequently approved by the EC for marketing in the EU and in the United States in May 2023 for adult patients with Fabry disease. Both approvals cover the 1 mg/kg every two weeks dosage. Elfabrio was approved by the FDA with a boxed warning for hypersensitivity reactions/anaphylaxis, consistent with ERT class labeling, and warnings/precautions providing guidance on the signs and symptoms of hypersensitivity and infusion-associated reactions seen in the clinical studies as well as treatments to manage such events should they occur. The warnings/precautions for membranoproliferative glomerulonephritis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w:t>
      </w:r>
    </w:p>
    <w:p>
      <w:pPr>
        <w:spacing w:after="0" w:line="16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December 2024, the EMA validated Chiesi’s Variation Submission for PRX-102. The Variation Submission seeks to add an additional dose and dosing regimen, 2 mg/kg body weight administered every four weeks in adult patients with Fabry disease, to the current Elfabrio label.</w:t>
      </w:r>
    </w:p>
    <w:p>
      <w:pPr>
        <w:sectPr>
          <w:pgSz w:w="11900" w:h="16838" w:orient="portrait"/>
          <w:cols w:equalWidth="0" w:num="1">
            <w:col w:w="9900"/>
          </w:cols>
          <w:pgMar w:left="980" w:top="661" w:right="1019" w:bottom="1440" w:gutter="0" w:footer="0" w:header="0"/>
        </w:sectPr>
      </w:pP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Key Trials and Design</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PRX-102 clinical development program was designed to show that PRX-102 has a potential clinical benefit in all adult Fabry patient populations when compared to the then marketed Fabry disease enzymes, agalsidase beta and agalsidase alfa. In preclinical studies, PRX-102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anti-drug antibodies, or ADAs.</w:t>
      </w:r>
    </w:p>
    <w:p>
      <w:pPr>
        <w:spacing w:after="0" w:line="1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The phase III clinical program included three individual studies;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and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 the phase III clinical program overall, two potential dosing regimens for PRX-102 were analyzed; 1 mg/kg every two weeks, with the potential for improved efficacy and safety offering a potential alternative to existing enzyme replacement therapies, and 2 mg/kg every four weeks. The phase III program was preceded by the phase I/II clinical trial, a dose range finding study in ERT-naïve adult patients with Fabry disease.</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Phase III BALANCE Study</w:t>
      </w:r>
    </w:p>
    <w:p>
      <w:pPr>
        <w:spacing w:after="0" w:line="18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(PB-102-F20, NCT02795676) was a pivotal 24-month, randomized, double blind, active control study of PRX-102 in adult Fabry patients with deteriorating renal function designed to evaluate the safety and efficacy of 1 mg/kg of PRX-102 administered every two weeks compared to agalsidase beta. The Clinical Study Report for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completed in July 2022, demonstrated a favorable tolerability profile. A total of 78 patients who were previously treated with agalsidase beta for at least one year with an eGFR slope at screening worse than -2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were enrolled in the study. Patients were randomized on a 2:1 ratio for switching to PRX-102 or continuing on agalsidase beta. A total of 77 patients were treated; 52 with PRX-102 and 25 with agalsidase beta. Approximately 40% of the enrolled patients were female.</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Forty-seven (90.4%) patients in the PRX-102 arm experienced at least one treatment-emergent adverse event (TEAE) compared to 24 (96.0%) in the agalsidase beta arm. The number of events adjusted to 100 years of exposure is 572.36 events for the PRX-102 arm and 816.85 events for the agalsidase beta arm.</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TEAEs were reported for 21 (40.4%) patients in the PRX-102 arm compared to 11 (44.0%) in the agalsidase beta arm. The number of treatment-related events adjusted to 100 years of exposure is 42.85 events for the PRX-102 arm and 152.91 events for the agalsidase beta arm.</w:t>
      </w:r>
    </w:p>
    <w:p>
      <w:pPr>
        <w:spacing w:after="0" w:line="1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Usage of infusion pre-medication was tapered down during the study, if possible, for all patients. At baseline, 21 (40.4%) patients in the PRX-102 arm used infusion premedication compared to 16 (64.0%) in the agalsidase beta arm. At the end of the study, only three out of 47 (6.4%) patients in the PRX-102 arm used infusion premedication compared to three out of 24 (12.5%) in the agalsidase beta arm. Even with this reduction in use of premedication, there were fewer reported infusion-related reactions with PRX-102: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(21.2%) patients in the PRX-102 arm experienced a total of 13 events compared to six (24.0%) patients experiencing a total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events in the agalsidase beta arm. The number of infusion-related reactions adjusted to 100 infusions is 0.5 for the PRX-102 arm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for agalsidase beta arm.</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Assessment of immunogenicity, that is, the existence and development of anti PRX-102 antibodies or anti-agalsidase beta antibodies, in the study indicated that for the PRX-102 arm, 18 (34.6%) patients were ADA positive at baseline, of which 17 (94.4%) had neutralizing antibody activity. For the agalsidase beta arm, eight (32.0%) patients were ADA positive at baseline, of which seven (87.5%) had neutralizing antibody activity. Only a small number of patients showed treatment-emergent ADA. At the end of the two-year study, 11 (23.4%) patients that received PRX-102 were ADA positive, of which seven (63.6%) had neutralizing antibody activity, while in the agalsidase beta arm six (26.1%) were ADA-positive and all six (100%) had neutralizing antibody activity. There was little change in the percentage of patients who were ADA positive, with a trend of reduction observed in the PRX-102 arm and stability in the agalsidase beta arm. The proportion of patients with neutralizing ADA decreased in the PRX-102 arm while it remained stable in the agalsidase beta arm.</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Out of the 78 randomized patients, six patients discontinued the study: out of the five (9.4%) from the PRX-102 arm, one patient withdrew consent prior to the first infusion, two discontinued due to personal reasons, and two due to adverse events (one due to an unrelated adverse event and one due to a treatment related adverse event); one (4%) patient from the agalsidase beta arm discontinued for personal reasons. There were no deaths in this study.</w:t>
      </w:r>
    </w:p>
    <w:p>
      <w:pPr>
        <w:spacing w:after="0" w:line="13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Considering that in the trial patients in the PRX-102 arm were exposed for the first time to the novel enzyme, tolerability data appear favorable for PRX-102 and in-line with what was observed in the previous clinical studies of PRX-102.</w:t>
      </w:r>
    </w:p>
    <w:p>
      <w:pPr>
        <w:sectPr>
          <w:pgSz w:w="11900" w:h="16838" w:orient="portrait"/>
          <w:cols w:equalWidth="0" w:num="1">
            <w:col w:w="9920"/>
          </w:cols>
          <w:pgMar w:left="980" w:top="661" w:right="99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results of the direct, blinded comparison of PRX-102 to agalsidase beta, for the primary efficacy renal endpoints (i.e., eGFR change, eGFR slope) and for the main secondary endpoints (e.g., urine protein to creatinine ratio [UPCR] LVMI, MSSI, BPI) strongly suggest comparability in treatment effects between the two treatments.</w:t>
      </w:r>
    </w:p>
    <w:p>
      <w:pPr>
        <w:spacing w:after="0" w:line="1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At the same time, a potentially favorable safety profile was identified based on lower rates of IRR, lower ADA positivity, and less premedication use in the PRX-102 arm compared to agalsidase beta. Overall, a positive benefit-risk balance was confirmed.</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Phase III BRIDGE Study</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(PB-102-F30, NCT03018730) was a 12-month open-label, single arm switch-over study evaluating the safety and efficacy of PRX-102, 1 mg/kg infused every two weeks, in up to 22 Fabry patients previously treated with agalsidase alfa for at least two years and on a stable dose for at least six months. In the study, patients were screened and evaluated over three months while continuing agalsidase alfa treatment.</w:t>
      </w:r>
    </w:p>
    <w:p>
      <w:pPr>
        <w:spacing w:after="0" w:line="139" w:lineRule="exact"/>
        <w:rPr>
          <w:sz w:val="20"/>
          <w:szCs w:val="20"/>
          <w:color w:val="auto"/>
        </w:rPr>
      </w:pPr>
    </w:p>
    <w:p>
      <w:pPr>
        <w:ind w:right="40"/>
        <w:spacing w:after="0" w:line="206" w:lineRule="auto"/>
        <w:rPr>
          <w:sz w:val="20"/>
          <w:szCs w:val="20"/>
          <w:color w:val="auto"/>
        </w:rPr>
      </w:pPr>
      <w:r>
        <w:rPr>
          <w:rFonts w:ascii="Times New Roman" w:cs="Times New Roman" w:eastAsia="Times New Roman" w:hAnsi="Times New Roman"/>
          <w:sz w:val="18"/>
          <w:szCs w:val="18"/>
          <w:color w:val="auto"/>
        </w:rPr>
        <w:t xml:space="preserve">Final results of the data generated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showed substantial improvement in renal function as measured by mean annualized eGFR slope in both male and female patients. Twenty of 22 patients completed the 12-month treatment duration. In the study, the mean annualized eGFR slope of the study participants improved from -5.90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while on agalsidase alfa to -1.19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on PRX-102 in all patients. Male patients improved from -6.36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to</w:t>
      </w:r>
    </w:p>
    <w:p>
      <w:pPr>
        <w:spacing w:after="0" w:line="3"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18"/>
          <w:szCs w:val="18"/>
          <w:color w:val="auto"/>
        </w:rPr>
        <w:t>-1.73mL/min/1.73m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and female patients improved from -5.03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to -0.21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Following the switch to PRX-102, there was a decrease in patients with progressing or fast progressing kidney disease which is consistent with the therapeutic goals for Fabry disease, as identified by Christoph Wanner, et. al., in 2019, and most patients achieved a stable status post-switch.</w:t>
      </w:r>
    </w:p>
    <w:p>
      <w:pPr>
        <w:spacing w:after="0" w:line="17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PRX-102 was well-tolerated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with all adverse events being transient in nature without sequelae. The majority of TEAEs were mild or moderate in severity, with two patients (9.1%) withdrawing from the therapy due to hypersensitivity reaction that was resolved. The most common moderate TEAEs were nasopharyngitis, headache and dyspnea. An immunogenicity assessment indicated that four out of 20 patients (20%) developed persistent ADAs over the course of the study, of which two had neutralizing activity.</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Phase III BRIGHT Study</w:t>
      </w:r>
    </w:p>
    <w:p>
      <w:pPr>
        <w:spacing w:after="0" w:line="18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(PB-102-F50, NCT03180840) was a multicenter, multinational open-label, switch-over study designed to evaluate the safety, efficacy and pharmacokinetics of treatment with 2 mg/kg of PRX-102 administered every four weeks for 52 weeks (a total of 14 infusions). The 2 mg/kg every four weeks dosage has not been approved by the EMA, FDA or any other jurisdiction.</w:t>
      </w:r>
    </w:p>
    <w:p>
      <w:pPr>
        <w:spacing w:after="0" w:line="14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Enrollment in the study included 30 adult patients (24 males and 6 females) with mean (SD) age of 40.5 (11.3) years, ranging from 19 to 58 years previously treated with a commercially available ERT (agalsidase beta or agalsidase alfa)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two weeks to 2 mg/kg of PRX-102 every four weeks for 12 months. Patients participating in the study were evaluated, among other disease parameters, to determine if their kidney disease had not further deteriorated while being treated with the four-week dosing regimen as measured by eGFR and for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as a Fabry biomarker, as well as other parameters. In addition, participating patients were evaluated to assess the safety and tolerability of PRX-102.</w:t>
      </w:r>
    </w:p>
    <w:p>
      <w:pPr>
        <w:spacing w:after="0" w:line="15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 xml:space="preserve">The final results from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indicate that 2 mg/kg of PRX-102 administered by intravenous infusion every four weeks was well tolerated, and Fabry disease assessed by eGFR slope and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was stable throughout PRX-102 treatment in adult Fabry patients. None of the patients without ADAs at screening developed treatment-induced ADAs following the switch to PRX-102 treatment.</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30 patients received at least one dose of PRX-102, and 29 patients completed the one-year study. Of these 29 patients, 28 received the intended regimen of 2 mg/kg every four weeks throughout the entire study, while one patient was switched to 1 mg/kg PRX-102 every two weeks per protocol at the 11th infusion. One patient withdrew from the study after the first infusion due to a traffic accident.</w:t>
      </w:r>
    </w:p>
    <w:p>
      <w:pPr>
        <w:spacing w:after="0" w:line="14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Overall, 33 of 183 total TEAEs reported in nine (30.0%) of the patients were considered treatment related; all were mild or moderate in severity and the majority were resolved at the end of the study. There were no serious or severe treatment-related TEAEs and no TEAEs led to death or study withdrawal. Of the treatment-related TEAEs, 27 were infusion-related reactions (IRRs) and the remainder were single events of diarrhea, erythema, fatigue, influenza-like illness, increases urine protein/creatinine ratio, and urine positive for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white blood cells. The 27 IRRs were reported in five (16.7%) patients, all male. All IRRs occurred during the infusion or within two hours post-infusion; no events were recorded between two and 24 hours post-infusion.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Study outcome measures show that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concentrations remained stable during the study with a mean change (±SE) of</w:t>
      </w:r>
    </w:p>
    <w:p>
      <w:pPr>
        <w:spacing w:after="0" w:line="44"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3.01 nM (0.94) from baseline (19.36 nM ±3.35) to Week 52 (22.23 ±3.60 nM). Mean absolute eGFR values were stable during the 52-week treatment period, with a mean change from baseline of -1.27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(1.39). Mean (SE) eGFR slope, at the end of the study, for the overall population, was -2.92 (1.05)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indicating stability.</w:t>
      </w:r>
    </w:p>
    <w:p>
      <w:pPr>
        <w:spacing w:after="0" w:line="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study suggests that Fabry patients who are currently receiving ERT every two weeks may be successfully transitioned to PRX-102 2 mg/kg every four weeks as an effective and tolerable alternative treatment option.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Phase I/II Study</w:t>
      </w:r>
    </w:p>
    <w:p>
      <w:pPr>
        <w:spacing w:after="0" w:line="20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phase I/II clinical trial of PRX-102 (NCT01678898) was a worldwide, multi-center, open-label, dose ranging study designed to evaluate the safety, tolerability, pharmacokinetics, immunogenicity and efficacy parameters of PRX-102 in adult patients with Fabry disease. It was completed in 2015.</w:t>
      </w:r>
    </w:p>
    <w:p>
      <w:pPr>
        <w:spacing w:after="0" w:line="135" w:lineRule="exact"/>
        <w:rPr>
          <w:sz w:val="20"/>
          <w:szCs w:val="20"/>
          <w:color w:val="auto"/>
        </w:rPr>
      </w:pPr>
    </w:p>
    <w:p>
      <w:pPr>
        <w:ind w:right="80"/>
        <w:spacing w:after="0" w:line="210" w:lineRule="auto"/>
        <w:rPr>
          <w:sz w:val="20"/>
          <w:szCs w:val="20"/>
          <w:color w:val="auto"/>
        </w:rPr>
      </w:pPr>
      <w:r>
        <w:rPr>
          <w:rFonts w:ascii="Times New Roman" w:cs="Times New Roman" w:eastAsia="Times New Roman" w:hAnsi="Times New Roman"/>
          <w:sz w:val="18"/>
          <w:szCs w:val="18"/>
          <w:color w:val="auto"/>
        </w:rPr>
        <w:t>Sixteen adult, naïve Fabry patients (9 male and 7 female) completed the phase I/II study, each in one of three dosing groups, 0.2 mg/kg, 1 mg/kg and 2 mg/kg. Each patient received IV infusions of PRX-102 every two weeks for 12 weeks, with efficacy follow-up after six-month and twelve-month periods. The overall results demonstrate that PRX-102 reaches the affected tissue and reduces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burden and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 the circulation. A high correlation was found between the two Fabry disease biomarkers, reduction of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and the reduction of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over six months of treatment.</w:t>
      </w:r>
    </w:p>
    <w:p>
      <w:pPr>
        <w:spacing w:after="0" w:line="1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5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Results show that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4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Extension Studies</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Two long-term open-label extension studies were available for patients who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studies, and the extension of the phase I/II study. Overall, 126 patients who participated in our PRX-102 clinical program initially opted, with the advice of the treating physician, to enroll in one of the extension studies: 97 patients in the 1 mg/kg every two weeks extension study (PB-102-F60, NCT03566017) (10 patients who completed an extension study from the phase I/II study, 18 patients who completed the </w:t>
      </w:r>
      <w:r>
        <w:rPr>
          <w:rFonts w:ascii="Times New Roman" w:cs="Times New Roman" w:eastAsia="Times New Roman" w:hAnsi="Times New Roman"/>
          <w:sz w:val="18"/>
          <w:szCs w:val="18"/>
          <w:i w:val="1"/>
          <w:iCs w:val="1"/>
          <w:color w:val="auto"/>
        </w:rPr>
        <w:t xml:space="preserve">BRIDGE </w:t>
      </w:r>
      <w:r>
        <w:rPr>
          <w:rFonts w:ascii="Times New Roman" w:cs="Times New Roman" w:eastAsia="Times New Roman" w:hAnsi="Times New Roman"/>
          <w:sz w:val="18"/>
          <w:szCs w:val="18"/>
          <w:color w:val="auto"/>
        </w:rPr>
        <w:t>study; 69 patients who completed the</w:t>
      </w:r>
      <w:r>
        <w:rPr>
          <w:rFonts w:ascii="Times New Roman" w:cs="Times New Roman" w:eastAsia="Times New Roman" w:hAnsi="Times New Roman"/>
          <w:sz w:val="18"/>
          <w:szCs w:val="18"/>
          <w:i w:val="1"/>
          <w:iCs w:val="1"/>
          <w:color w:val="auto"/>
        </w:rPr>
        <w:t xml:space="preserve"> BALANCE </w:t>
      </w:r>
      <w:r>
        <w:rPr>
          <w:rFonts w:ascii="Times New Roman" w:cs="Times New Roman" w:eastAsia="Times New Roman" w:hAnsi="Times New Roman"/>
          <w:sz w:val="18"/>
          <w:szCs w:val="18"/>
          <w:color w:val="auto"/>
        </w:rPr>
        <w:t>study), and 29 patients who completed the</w:t>
      </w:r>
      <w:r>
        <w:rPr>
          <w:rFonts w:ascii="Times New Roman" w:cs="Times New Roman" w:eastAsia="Times New Roman" w:hAnsi="Times New Roman"/>
          <w:sz w:val="18"/>
          <w:szCs w:val="18"/>
          <w:i w:val="1"/>
          <w:iCs w:val="1"/>
          <w:color w:val="auto"/>
        </w:rPr>
        <w:t xml:space="preserve"> BRIGHT </w:t>
      </w:r>
      <w:r>
        <w:rPr>
          <w:rFonts w:ascii="Times New Roman" w:cs="Times New Roman" w:eastAsia="Times New Roman" w:hAnsi="Times New Roman"/>
          <w:sz w:val="18"/>
          <w:szCs w:val="18"/>
          <w:color w:val="auto"/>
        </w:rPr>
        <w:t>study in</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2 mg/kg every four weeks extension study (PB-102-F51, NCT03614234). Two of the patients in the 2 mg/kg every four weeks extension study were treated with 1 mg/kg every two weeks.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After the approval of Elfabrio in the US and the EU, sponsorship and administration of the extension studies was transferred to Chiesi. Over time, and as Elfabrio is approved for marketing in different jurisdictions, patients switch-out of the open-label extension studies. Most of them have transferred to a commercial setting; others withdraw for other reasons. Accordingly, the 1 mg/kg every two weeks dosage extension study is now closed as most patients have transferred to commercial or expanded access programs. In addition, most of the patients that enrolled in the 2 mg/kg every four weeks dosage extension study are now being treated with Elfabrio on a commercial basis.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Pediatric FLY Study</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Chiesi is sponsoring, with our collaborative efforts, a clinical trial entitled “Multi-Centre, Open-label Trial to Assess the Safety, Pharmacodynamics, Efficacy and Pharmacokinetics of pegunigalsidase alfa in Patients From 2 Years to Less Than 18 Years of Age With Confirmed Fabry Disease” (NCT06328608). Recruitment has commenced. The design of the study is based on the Initial Pediatric Study Plan (iPSP) agreed to with the FDA and the paediatric investigation plan (PIP) for Elfabrio, which has been accepted, as amended, by the Paediatric Committee (PDCO) of the EMA.</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Japanese RISE Study</w:t>
      </w:r>
    </w:p>
    <w:p>
      <w:pPr>
        <w:spacing w:after="0" w:line="20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Chiesi is currently recruiting patients for its clinical trial entitled “A Multicenter Open-Label Study to Evaluate the Safety, Pharmacokinetics, Pharmacodynamics, and Efficacy of Pegunigalsidase Alfa (PRX-102) in Japanese Patients With Fabry Disease,” or the </w:t>
      </w:r>
      <w:r>
        <w:rPr>
          <w:rFonts w:ascii="Times New Roman" w:cs="Times New Roman" w:eastAsia="Times New Roman" w:hAnsi="Times New Roman"/>
          <w:sz w:val="18"/>
          <w:szCs w:val="18"/>
          <w:i w:val="1"/>
          <w:iCs w:val="1"/>
          <w:color w:val="auto"/>
        </w:rPr>
        <w:t>RISE</w:t>
      </w:r>
      <w:r>
        <w:rPr>
          <w:rFonts w:ascii="Times New Roman" w:cs="Times New Roman" w:eastAsia="Times New Roman" w:hAnsi="Times New Roman"/>
          <w:sz w:val="18"/>
          <w:szCs w:val="18"/>
          <w:color w:val="auto"/>
        </w:rPr>
        <w:t xml:space="preserve"> study (NCT05710692). The aim of the </w:t>
      </w:r>
      <w:r>
        <w:rPr>
          <w:rFonts w:ascii="Times New Roman" w:cs="Times New Roman" w:eastAsia="Times New Roman" w:hAnsi="Times New Roman"/>
          <w:sz w:val="18"/>
          <w:szCs w:val="18"/>
          <w:i w:val="1"/>
          <w:iCs w:val="1"/>
          <w:color w:val="auto"/>
        </w:rPr>
        <w:t>RISE</w:t>
      </w:r>
      <w:r>
        <w:rPr>
          <w:rFonts w:ascii="Times New Roman" w:cs="Times New Roman" w:eastAsia="Times New Roman" w:hAnsi="Times New Roman"/>
          <w:sz w:val="18"/>
          <w:szCs w:val="18"/>
          <w:color w:val="auto"/>
        </w:rPr>
        <w:t xml:space="preserve"> study is to evaluate the safety and efficacy of pegunigalsidase alfa in Japanese patients (adults and adolescents) affected by Fabry disease. It is planned that a total of approximately 18-20 male and female Fabry disease patients between the ages of 13 and 60 years will be enrolled in the study which is being conducted in Japan. The study involves both the 1 mg/kg every two weeks and the 2 mg/kg every four weeks dosages.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Approved Products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Elelyso – Pfizer</w:t>
      </w:r>
    </w:p>
    <w:p>
      <w:pPr>
        <w:spacing w:after="0" w:line="20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licensed to Pfizer the global rights to market and sell Elelyso in all markets, excluding Brazil, pursuant to the Amended Pfizer Agreement. For the first 10-year period after the execution of the Amended Pfizer Agreement, we have agreed to sell drug substance to Pfizer for the production of Elelyso for a fixed cost, subject to certain terms and conditions,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 Any failure to comply with our supply commitments may subject us to substantial financial penalties. The Amended Pfizer Agreement includes customary provisions regarding cooperation for regulatory matters, patent enforcement, termination, indemnification and insurance requirements. We retain distribution rights to taliglucerase alfa in Brazil.</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Alfataliglicerase – Fundação Oswaldo Cruz (Fiocruz)</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Elelyso, marketed as BioManguinhos alfataliglicerase in Brazil, is commercialized in Brazil through the Brazil Agreement with Fiocruz, which became effective in January 2014. Gaucher patients in Brazil are entitled to receive ERT paid for by the Brazilian MoH. The Brazilian MoH clinical treatment guidelines (PCDT) state that BioManguinhos alfataliglicerase is the therapy of choice for newly diagnosed patients. BioManguinhos alfataliglicerase is currently estimated to be used by approximately 25% of Gaucher patients in Brazil.</w:t>
      </w:r>
    </w:p>
    <w:p>
      <w:pPr>
        <w:spacing w:after="0" w:line="156"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The Brazil Agreement provides for a staged technology transfer which is intended to transfer to Fiocruz the capacity and skills required for the Brazilian government to construct its own manufacturing facility, at its sole expense, and to produce a sustainable, high-quality, and cost-effective supply of BioManguinhos alfataliglicerase. Fiocruz has not satisfied certain purchase commitments under the Brazil Agreement. We have continued to sell BioManguinhos alfataliglicerase for a fixed price through purchase orders. We, on a continuous basis, discuss with Fiocruz potential steps to maximize sales of BioManguinhos alfataliglicerase sales to the Brazilian MoH.</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Elfabrio (pegunigalsidase alfa/PRX-102) – Chiesi Farmaceutici</w:t>
      </w:r>
    </w:p>
    <w:p>
      <w:pPr>
        <w:spacing w:after="0" w:line="187" w:lineRule="exact"/>
        <w:rPr>
          <w:sz w:val="20"/>
          <w:szCs w:val="20"/>
          <w:color w:val="auto"/>
        </w:rPr>
      </w:pPr>
    </w:p>
    <w:p>
      <w:pPr>
        <w:jc w:val="center"/>
        <w:ind w:right="300"/>
        <w:spacing w:after="0" w:line="266" w:lineRule="auto"/>
        <w:rPr>
          <w:sz w:val="20"/>
          <w:szCs w:val="20"/>
          <w:color w:val="auto"/>
        </w:rPr>
      </w:pPr>
      <w:r>
        <w:rPr>
          <w:rFonts w:ascii="Times New Roman" w:cs="Times New Roman" w:eastAsia="Times New Roman" w:hAnsi="Times New Roman"/>
          <w:sz w:val="18"/>
          <w:szCs w:val="18"/>
          <w:color w:val="auto"/>
        </w:rPr>
        <w:t>Under the Chiesi Agreements, Protalix Ltd. has received $50.0 million in upfront payments and development cost reimbursements of $45 million, and is entitled to more than $1.0 billion in potential milestone payments and tiered payments for drug product purchased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from Protalix Ltd. equal to 15% - 35% (ex-US) and 15% - 40% (US), depending on the amount of annual net sales in the applicable territories.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Under the Chiesi Ex-US Agreement, we granted to Chiesi an exclusive license for all markets outside of the United States to commercialize PRX-102.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the aggregate,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of 15% to 35% of the net sales of the drug product in each applicable territory as consideration for the supply of PRX-102.</w:t>
      </w:r>
    </w:p>
    <w:p>
      <w:pPr>
        <w:spacing w:after="0" w:line="16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exclusive license to develop and commercialize PRX-102 in the United States were granted to Chiesi under the Chiesi US Agreement. Protalix Ltd. received an upfront, non-refundable, non-creditable payment of $25.0 million from Chiesi and was entitled to additional payments of up to a maximum of $20.0 million to cover development costs for PRX-102, capped at $7.5 million per year. Protalix Ltd. is also eligible to receive additional payments of up to a maximum of $760.0 million, in the aggregate, in regulatory and commercial milestone payments. Chiesi agreed to make tiered payments of 15% to 40% of the net sales of the drug product in as consideration for product supply.</w:t>
      </w:r>
    </w:p>
    <w:p>
      <w:pPr>
        <w:spacing w:after="0" w:line="14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May 13, 2021, we signed a binding term sheet with Chiesi amending the Chiesi Agreements in order to provide our company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received the payment in June 2021. We also agreed to negotiate certain manufacturing related matters.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29, 2022, we entered into a Fill/Finish Agreement, or the F/F Agreement, and a Letter Agreement, or the Letter Agreement, in each case with Chiesi. Under the F/F Agreement, we agreed to supply Chiesi with drug substance for PRX-102 and, following relevant technology and technical information transfer activities, Chiesi has agreed, among other things, to provide us with commercial fill/finish services for PRX-102, including to support the anticipated global launch of PRX-102. The Letter Agreement changed the obligations of both us and Chiesi under the Chiesi Agreements with respect to, among other things, the evaluation, selection and establishment of an initial alternate source of commercial fill/finish services for PRX-102. In addition, the Letter Agreement amended certain provisions of the Chiesi Agreements to reflect the appointment of Chiesi as a supplier to our company of commercial fill/finish services and the potential establishment of an initial alternate source of commercial fill/finish services. Subsequently, in November 2024, we amended the agreement to provide that a different Chiesi facility may act as a secondary supplier of such services and that the F/F Agreement shall have an initial term of 10 years, unless terminated earlier in accordance with the terms of the F/F Agreement. Prior to expiration of the initial term, the term may be extended by mutual agreement for an additional period of seven years upon mutual written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 Pipeline</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corporate strategy includes development of treatments for rare and orphan diseases. To execute on the strategy, we are turning our focus to new, early-stage product candidates that treat indications for which there are high unmet needs in terms of efficacy and safety, including renal diseases. Treatments of interest will address both genetic and non-genetic diseases. We intend to use our ProCellEx platform and PEGylation capabilities, as well as other modalities such as small molecules and antibodies, to take advantage of highly innovative opportunities. Our current pipeline of product candidates includes PEGylated uricase for the treatment of uncontrolled gout, Long Acting (LA) DNase I for the treatment of NETs and other technologies and preclinical assets.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PEGylated Uricase (PRX-115)</w:t>
      </w:r>
    </w:p>
    <w:p>
      <w:pPr>
        <w:spacing w:after="0" w:line="20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PRX-115 is our recombinant PEGylated uricase (urate oxidase) – a chemically modified enzyme under development for the potential treatment of patients with uncontrolled gout. The uricase enzyme, which does not exist naturally in humans, converts urate to allantoin, which is easily eliminated through urine. This recombinant enzyme, expressed via our ProCellEx system, is designed to lower urate levels and improve clinical manifestation of the disease while having low immunogenicity and increased half-life of the drug in the blood. Pre-clinical data demonstrates long half-life, reduced immunogenic risk and high specific activity supports the potential of PRX-115 to be a safe and effective treatment for patients with gout. One-month multiple dosing toxicity studies in two animal species and a six-month multiple dosing toxicity study in one animal species were conducted to support single- and multiple-dose studies in humans.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 xml:space="preserve">We have completed a phase I clinical trial of PRX-115 for the potential treatment of uncontrolled gout entitled “A Double-blind, Placebo-controlled, Single Ascending Dose Study to Evaluate the Safety, Tolerability, Pharmacokinetics, and Pharmacodynamics Properties of PRX-115 in Adult Volunteers With Elevated Uric Acid Levels” (NCT05745727), or the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The study was conducted at New Zealand Clinical Research (NZCR) under the New Zealand Medicines and Medical Devices Safety Authority (MedSafe) and the Health and Disability Ethics Committee (HDEC) guidelines. The completed study included eight sequential dosing cohorts, each composed of eight subjects (six active and two placebo), a 3:1 ratio. Subjects in each cohort, males and females aged 18 through 65, received a single dose of PRX-115 and were analyzed for safety, pharmacokinetics (PK) and pharmacodynamics (PD) (concentrations of plasma urate) for 85 days. Overall, 64 randomized subjects were enrolled across the eight cohorts; 48 subjects were treated with PRX–115 and 16 subjects were treated with placebo.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Key results from the full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are as follows:</w:t>
      </w:r>
    </w:p>
    <w:p>
      <w:pPr>
        <w:spacing w:after="0" w:line="200" w:lineRule="exact"/>
        <w:rPr>
          <w:sz w:val="20"/>
          <w:szCs w:val="20"/>
          <w:color w:val="auto"/>
        </w:rPr>
      </w:pPr>
    </w:p>
    <w:p>
      <w:pPr>
        <w:ind w:right="100" w:firstLine="656"/>
        <w:spacing w:after="0" w:line="282"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PRX-115 increased in a dose-dependent manner. Detectable PRX-115 levels were observed in plasma for up to 12 weeks from subjects in cohorts 6, 7, and 8. See Figure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131445</wp:posOffset>
            </wp:positionV>
            <wp:extent cx="4749165" cy="2948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4916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firstLine="656"/>
        <w:spacing w:after="0" w:line="266"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tested doses, a single dose of PRX-115 rapidly reduced plasma urate levels. The effect and duration of response were found to be dose dependent. Following a single dose, mean plasma urate levels remained below 6.0 mg/dL for up to 12 weeks at the highest doses. See Figure 2.</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131445</wp:posOffset>
            </wp:positionV>
            <wp:extent cx="4749165" cy="3180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49165"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randomized participants completed the study. PRX-115 was found to be well-tolerated. See Figure 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3. Overall Summary of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131445</wp:posOffset>
            </wp:positionV>
            <wp:extent cx="4749165" cy="1551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4916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subjects reporting at least one adverse event.</w:t>
      </w:r>
    </w:p>
    <w:p>
      <w:pPr>
        <w:spacing w:after="0" w:line="1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Only 25% of the subjects treated with PRX-115 in the study (12/48) having reported study drug-related adverse events. The majority of such adverse events were mild to moderate and transient in nature. One subject experienced an anaphylactic reaction in cohort 2 immediately following the commencement of the infusion (6 minutes) and, accordingly, was exposed to approximately 5% of the applicable PRX-115 dose. The reaction resolved completely and the subject continued in the study for follow-up safety assessments. Premedication with anti-histamines and steroids were administered to all subjects following the anaphylaxis event. No other subjects experienced a similar reaction and no other serious adverse events were reported in the study. No related adverse events were reported for subjects treated in cohorts 6 and 7, and only for one patient per cohort in cohorts 4, 5 and 8.</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results suggest that PRX-115 has the potential to be a promising treatment option for patients with gout. The results demonstrate that PRX-115 may offer an effective urate-lowering treatment with an added benefit of a potentially wide dosing interval, which may enhance patient compliance and treatment flexibility. Further studies are needed to confirm the long-term safety and efficacy of PRX-115 in the gout patient population.</w:t>
      </w:r>
    </w:p>
    <w:p>
      <w:pPr>
        <w:sectPr>
          <w:pgSz w:w="11900" w:h="16838" w:orient="portrait"/>
          <w:cols w:equalWidth="0" w:num="1">
            <w:col w:w="9920"/>
          </w:cols>
          <w:pgMar w:left="980" w:top="661" w:right="999"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initiated preparations for a phase II clinical trial of PRX-115, and we expect to commence the study in the second half of 2025.</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Gout is the most common inflammatory arthritis, affecting an estimated 14.9 million adults in the United States alone. Based on market research we have commissioned, we estimate that approximately 25% of the gout population in the US and Western Europe do not have their gout controlled. Some of those patients cannot be treated with existing therapies; others stop treatment with existing therapies due to adverse events. In addition, such research shows that there are gout patients treated with existing therapies that continue to suffer from tophi despite having reached urate target levels. The risk of gout increases with age, and is more common in males. Gout results from sustained elevation of serum urate levels (hyperuricaemia). Urate levels may increase due to diet, genetic predisposition and environmental factors leading to the deposition of monosodium urate crystals and/or tophi in joints, tendons and other tissues, which triggers recurrent episodes of pronounced acute inflammation, known as gout flares. Gout leads to substantial morbidity, severe pain, reduced quality of life, decreased physical function, increased healthcare costs, and lost economic productivity. Furthermore, gout is strongly associated with a number of comorbidities, including hypertension, cardiovascular disease, renal impairment, diabetes, obesity, hyperlipidaemia and frequently occurs in a combination known as the metabolic syndrome.</w:t>
      </w:r>
    </w:p>
    <w:p>
      <w:pPr>
        <w:spacing w:after="0" w:line="16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Uncontrolled gout is when serum urate (sUA) levels are above the maximum medically appropriate level (6.8 mg/dL), as well as tophi formation and/or flares that cannot be treated with available urate lowering therapies. Currently available ULTs can be effective in treating gout. However, factors such as low adherence, under dosing, disease progression that causes high patient burden or patients that are not suitable for available therapy, require new, effective and safe therapies to treat these underserved uncontrolled gout patients.</w:t>
      </w:r>
    </w:p>
    <w:p>
      <w:pPr>
        <w:spacing w:after="0" w:line="116"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18"/>
          <w:szCs w:val="18"/>
          <w:color w:val="auto"/>
        </w:rPr>
        <w:t>To date, two variants of recombinant uricases are approved for marketing: (i) Krystexxa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(pegloticase) for treatment of chronic gout refractory to conventional therapy (gout patients who have contraindication/failure of other lowering urate treatments) and (ii) Elitek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indicated for the treatment of tumor lysis syndrome but not gout. Both have a black box warning for anaphylaxis and other major side-effects. The FDA label of Krystexxa was amended in 2022 to include co-treatment of methotrexate to prolong efficacy and increases tolerability in patients with refractory gout. Krystexxa is no longer marketed in the European Union. The EC withdrew the marketing authorization for Krystexxa in 2016 at the request of the marketing authorization holder which notified the EC of its decision not to market the product in the European Union for commercial reasons. We believe that new effective, safe therapies are needed to treat severe gout, chronic refractory and uncontrolled gout, regardless of treatment history.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PRX-119</w:t>
      </w:r>
    </w:p>
    <w:p>
      <w:pPr>
        <w:spacing w:after="0" w:line="20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PRX-119 is our plant cell-expressed PEGylated recombinant human DNase I product candidate which we are designing to have an elongated half-life in the circulation for the potential treatment of NETs-related diseases. NETs, or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 NETs toxicity. Our proprietary modified DNase I, which we have designed for long and customized systemic circulation in the bloodstream, may potentially enable effective treatment for these conditions.</w:t>
      </w:r>
    </w:p>
    <w:p>
      <w:pPr>
        <w:spacing w:after="0" w:line="1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administration of PRX-119 resulted in a decrease in circulating of DNA levels and significantly enhanced the survival of mice in both a CLP-induced sepsis model and an ARDS model.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key element of our overall strategy is to establish a broad portfolio of patents to protect our proprietary technology, proprietary product and product candidates and their methods of use. As of June 30, 2025, we hold a broad portfolio of 16 patent families consisting of approximately 68 patents in Europe, the United States, Israel and additional countries worldwide, as well as approximately 42 pending patent applications.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continuously work on the further development of our ProCellEx plant cell expression technology and bioreactor system.</w:t>
      </w:r>
    </w:p>
    <w:p>
      <w:pPr>
        <w:spacing w:after="0" w:line="18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Consistent with our corporate strategy, we are focusing on new, early-stage product candidates that treat indications for which there are high unmet needs in terms of efficacy and safety, including renal diseases. Treatments of interest will address both genetic and non-genetic diseases. We intend to use our ProCellEx platform and PEGylation capabilities, as well as other modalities such as small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461" w:lineRule="auto"/>
        <w:rPr>
          <w:sz w:val="20"/>
          <w:szCs w:val="20"/>
          <w:color w:val="auto"/>
        </w:rPr>
      </w:pPr>
      <w:r>
        <w:rPr>
          <w:rFonts w:ascii="Times New Roman" w:cs="Times New Roman" w:eastAsia="Times New Roman" w:hAnsi="Times New Roman"/>
          <w:sz w:val="18"/>
          <w:szCs w:val="18"/>
          <w:color w:val="auto"/>
        </w:rPr>
        <w:t xml:space="preserve">molecules and oligonucleotides, to take advantage of highly innovative opportunities. We are also exploring novel platform technologies. </w:t>
      </w:r>
      <w:r>
        <w:rPr>
          <w:rFonts w:ascii="Times New Roman" w:cs="Times New Roman" w:eastAsia="Times New Roman" w:hAnsi="Times New Roman"/>
          <w:sz w:val="18"/>
          <w:szCs w:val="18"/>
          <w:b w:val="1"/>
          <w:bCs w:val="1"/>
          <w:color w:val="auto"/>
        </w:rPr>
        <w:t>Critical Accounting Policies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appearing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There have been no material changes to our critical accounting policies since we filed our Annual Report on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2024.</w:t>
      </w:r>
    </w:p>
    <w:p>
      <w:pPr>
        <w:spacing w:after="0" w:line="16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compared to the three months ended June 30, 2024</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18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recorded revenues from selling goods of $15.4 million during the three months ended June 30, 2025, an increase of $2.1 million, or 16%, compared to revenues of $13.3 million for the three months ended June 30, 2024. The increase resulted primarily from an increase of $8.0 million in sales to Chiesi, partially offset by a decrease of $4.7 million in sales to Fiocruz (Brazil) and of $1.2 million in sales to Pfizer.</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revenues from license and R&amp;D services of $0.2 million for the three months ended June 30, 2025, and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Revenues from license and R&amp;D services are comprised primarily of revenues we recognized in connection with the Chiesi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We expect to generate minimal revenues from license and R&amp;D services other than potential regulatory milestone payments.</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Cost of goods sold was $5.9 million for the three months ended June 30, 2025, a decrease of $3.6 million, or 38%, from cost of goods sold of $9.5 million for the three months ended June 30, 2024. The decrease in cost of goods sold was primarily the result of the decrease in sales to Pfizer and Fiocruz (Brazil) partially offset by the increase in sales to Chiesi.</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2025, our total research and development expenses were approximately $6.0 million comprised of approximately $3.0 million in subcontractor-related expenses, approximately $2.0 million of salary and related expenses, approximately $0.2 million of materials-related expenses and approximately $0.8 million of other expenses. For the three months ended June 30, 2024, our total research and development expenses were approximately $3.0 million comprised of approximately $1.6 million of salary and related expenses, approximately $0.5 million in subcontractor-related expenses, approximately $0.2 million of materials-related expenses and approximately $0.7 million of other expenses.</w:t>
      </w:r>
    </w:p>
    <w:p>
      <w:pPr>
        <w:spacing w:after="0" w:line="160" w:lineRule="exact"/>
        <w:rPr>
          <w:sz w:val="20"/>
          <w:szCs w:val="20"/>
          <w:color w:val="auto"/>
        </w:rPr>
      </w:pPr>
    </w:p>
    <w:p>
      <w:pPr>
        <w:jc w:val="both"/>
        <w:ind w:right="980"/>
        <w:spacing w:after="0" w:line="266" w:lineRule="auto"/>
        <w:rPr>
          <w:sz w:val="20"/>
          <w:szCs w:val="20"/>
          <w:color w:val="auto"/>
        </w:rPr>
      </w:pPr>
      <w:r>
        <w:rPr>
          <w:rFonts w:ascii="Times New Roman" w:cs="Times New Roman" w:eastAsia="Times New Roman" w:hAnsi="Times New Roman"/>
          <w:sz w:val="18"/>
          <w:szCs w:val="18"/>
          <w:color w:val="auto"/>
        </w:rPr>
        <w:t xml:space="preserve">Total increase in research and developments expenses for the three months ended June 30, 2025 was $3.0 million, or 100%, compared to research and developments expenses of $3.0 million for the three months ended June 30, 2024. The increase in research and development expenses resulted primarily from </w:t>
      </w:r>
      <w:r>
        <w:rPr>
          <w:rFonts w:ascii="Times New Roman" w:cs="Times New Roman" w:eastAsia="Times New Roman" w:hAnsi="Times New Roman"/>
          <w:sz w:val="18"/>
          <w:szCs w:val="18"/>
          <w:color w:val="212529"/>
        </w:rPr>
        <w:t>preparations for the planned phase II clinical trial of PRX-115.</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12529"/>
        </w:rPr>
        <w:t>We expect to continue to incur significant, increasing research and development expenses as we enter into a more advanced stage of preclinical and clinical trials for certain of our product candidates.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$2.6 million for the three months ended June 30, 2025, a decrease of $0.9 million, or 26%, compared to $3.5 million for the three months ended June 30, 2024. The decrease resulted primarily from a decrease of $0.6 million in salary and related expenses and a decrease of $0.3 million in selling expenses.</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Financial Income (Expenses), Net</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Financial expenses, net was $0.5 million for the three months ended June 30, 2025, compared to financial income, net of $0.2 million for the three months ended June 30, 2024. The increase in financial expenses, net resulted primarily from exchange rate costs and lower interest income on bank deposits partially offset by lower notes interest expenses due to the September 2024 repayment in full of all the outstanding principal and interest payable under the 2024 Notes.</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Taxes on Income (Tax Benefit)</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recorded tax expenses of approximately $0.5 million for the three months ended June 30, 2025, compared to a tax benefit of approximately $(0.1) million for the three months ended June 30, 2024. The tax expenses or benefit resulted primarily from taxes on income mainly derived from GILTI income mainly in respect of Section 174 of the TCJA. Effective in 2022, Section 174 of the TCJA requires all U.S. companies, for tax purposes, to capitalize and subsequently amortize R&amp;D expenses that fall within the scope of Section 174 over five years for research activities conducted in the United States and over 15 years for research activities conducted outside of the United States, rather than deducting such costs in the current year. On July 4, 2025, tax reform legislation was enacted in the United States through the passage of HR1 which includes significant corporate tax changes, including a restoration of the current deductibility for domestic research expenditures beginning in 2025, with transition options for previously capitalized amounts. We continue to evaluate the impact that the new legislation will have on the consolidated financial statements.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to the six months ended June 30, 2024</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recorded revenues from selling goods of $25.4 million during the six months ended June 30, 2025, an increase of $8.4 million, or 49%, compared to revenues of $17.0 million for the six months ended June 30, 2024. The increase resulted primarily from an increase of $8.1 million in sales to Chiesi and of $4.6 million in sales to Pfizer, partially offset by a decrease of $4.3 million in sales to Fiocruz (Brazil).</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revenues from license and R&amp;D services of $0.3 million for the six months ended June 30, 2025, an increase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or 50%, compared to revenues from license and R&amp;D services of $0.2 million for the six months ended June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Revenues from license and R&amp;D services are comprised primarily of revenues we recognized in connection with the Chiesi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We expect to generate minimal revenues from license and R&amp;D services other than potential regulatory milestone payments.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Cost of goods sold was $14.1 million for the six months ended June 30, 2025, an increase of $2.0 million, or 17%, from cost of goods sold of $12.1 million for the six months ended June 30, 2024. The increase in cost of goods sold was primarily the result of an increase in sales to Chiesi and Pfizer partially offset by a decrease in sales to Fiocruz (Brazil).</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2025, our total research and development expenses were approximately $9.5 million comprised of approximately $3.9 million of salary and related expenses, approximately $3.8 million in subcontractor-related expenses, approximately $0.4 million of materials-related expenses and approximately $1.4 million of other expenses. For the six months ended June 30, 2024, our total research and development expenses were approximately $5.8 million comprised of approximately $3.2 million of salary and related expenses, approximately $1.0 million of subcontractor-related expenses, approximately $0.3 million of materials-related expenses and approximately $1.3 million of other expenses.</w:t>
      </w:r>
    </w:p>
    <w:p>
      <w:pPr>
        <w:spacing w:after="0" w:line="14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 xml:space="preserve">Total increase in research and developments expenses for the six months ended June 30, 2025 was $3.7 million, or 64%, compared to research and developments expenses of $5.8 million for the six months ended June 30, 2024. The increase in research and development expenses resulted primarily from </w:t>
      </w:r>
      <w:r>
        <w:rPr>
          <w:rFonts w:ascii="Times New Roman" w:cs="Times New Roman" w:eastAsia="Times New Roman" w:hAnsi="Times New Roman"/>
          <w:sz w:val="18"/>
          <w:szCs w:val="18"/>
          <w:color w:val="212529"/>
        </w:rPr>
        <w:t>preparations for the planned phase II clinical trial of PRX-115.</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12529"/>
        </w:rPr>
        <w:t>We expect to continue to incur significant, increasing research and development expenses as we enter into a more advanced stage of preclinical and clinical trials for certain of our product candidates.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$5.2 million for the six months ended June 30, 2025, a decrease of $1.4 million, or 21%, compared to $6.6 million for the six months ended June 30, 2024. The decrease resulted primarily from a decrease of $0.9 million in salary and related expenses and a decrease of $0.5 million in selling expenses.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Financial Income (Expenses), Net</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Financial expenses, net was $0.1 million for the six months ended June 30, 2025, compared to financial income, net of $0.3 million for the six months ended June 30, 2024. The decrease resulted primarily from exchange rate costs and lower interest income on bank deposits partially offset by lower notes interest expenses due to the September 2024 repayment in full of all the outstanding principal and interest payable under the 2024 Notes.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Taxes on Income (Tax Benefit)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recorded tax expenses of approximately $0.4 million for the six months ended June 30, 2025, compared to a tax benefit of approximately $(0.2) million for the six months ended June 30, 2024. The tax expenses or benefit resulted primarily from taxes on income mainly derived from GILTI income mainly in respect of Section 174 of the TCJA. Effective in 2022, Section 174 of the TCJA requires all U.S. companies, for tax purposes, to capitalize and subsequently amortize R&amp;D expenses that fall within the scope of Section 174 over five years for research activities conducted in the United States and over 15 years for research activities conducted outside of the United States, rather than deducting such costs in the current year. On July 4, 2025, tax reform legislation was enacted in the United States through the passage of HR1 which includes significant corporate tax changes, including a restoration of the current deductibility for domestic research expenditures beginning in 2025, with transition options for previously capitalized amounts. We continue to evaluate the impact that the new legislation will have on the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 xml:space="preserve">Our sources of liquidity include our cash balances and short-term bank deposits. At June 30, 2025, we had $33.4 million in cash and cash equivalents and short term bank deposits. </w:t>
      </w:r>
      <w:r>
        <w:rPr>
          <w:rFonts w:ascii="Times New Roman" w:cs="Times New Roman" w:eastAsia="Times New Roman" w:hAnsi="Times New Roman"/>
          <w:sz w:val="17"/>
          <w:szCs w:val="17"/>
          <w:color w:val="212529"/>
        </w:rPr>
        <w:t>In September 2024, we satisfied the outstanding principal and accrued interest under the 2024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Notes with a cash payment of approximately $21.2 million which was available primarily from the withdrawal of short term deposits. </w:t>
      </w:r>
      <w:r>
        <w:rPr>
          <w:rFonts w:ascii="Times New Roman" w:cs="Times New Roman" w:eastAsia="Times New Roman" w:hAnsi="Times New Roman"/>
          <w:sz w:val="17"/>
          <w:szCs w:val="17"/>
          <w:color w:val="000000"/>
        </w:rPr>
        <w:t>We</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have primarily financed our operations through sales proceeds, equity and debt financings, business collaborations, and grants funding.</w:t>
      </w:r>
    </w:p>
    <w:p>
      <w:pPr>
        <w:spacing w:after="0" w:line="12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six-month period ended June 30, 2025, we sold, in the aggregate, 2,775,215 shares of Common Stock under the Sales Agreement generating gross proceeds equal to approximately $7.0 million. In March 2025, we amended the Sales Agreement to provide for the offer and sale of up to an additional $20.0 million in shares of Common Stock. As of June 30, 2025, approximately $15.7 million in shares of Common Stock remain available to be sold under the Sales Agreement.</w:t>
      </w:r>
    </w:p>
    <w:p>
      <w:pPr>
        <w:spacing w:after="0" w:line="13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believe that our cash and cash equivalents and short-term bank deposits are sufficient to satisfy our capital needs for at least 12 months from the date this report is issued.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operations was $10.3 million for the six months ended June 30, 2025. The net loss for the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of $3.5 million was increased by a $6.9 million increase in accounts receivable-trade and other assets, a $1.9 million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accruals, and was offset by a $1.0 million in share-based compensation and $0.7 million in depreciation. Net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in investing activities for the six months ended June 30, 2025 was $0.8 million and consisted primarily of the purchase of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equipment. Net cash provided by financing activities for the six months ended June 30, 2025 was $9.2 million and consisted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 million proceeds from issuance of Common Stock under the Sales Agreement, net and $2.4 million from the exercise of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options.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12529"/>
        </w:rPr>
        <w:t>Net cash provided by operations was $0.6 million for the six months ended June 30, 2024. The net loss for the six months ended June 30, 2024 of $6.8 million was increased by a $1.7 million increase in inventories, a $5.3 million increase in accounts receivable-trade and other assets and $1.0 million of financial income, net, and was offset by a $12.7 million increase in contracts liability and $2.0 million in share-based compensation. Net cash used in investing activities for the six months ended June 30, 2024 was $0.8 million and consisted primarily of the purchase of property and equipment.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research and development expenditures which have not been offset by revenues. We have not generated significant revenues from sales of Elelyso, and commercial sales of Elfabrio only commenced in the middle of 2023. We have generated operating losses from our continuing operations since our inception although the revenues generated in the years ended December 31, 2023 and 2024 exceeded our expenditures for the same periods.</w:t>
      </w:r>
    </w:p>
    <w:p>
      <w:pPr>
        <w:spacing w:after="0" w:line="13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212529"/>
        </w:rPr>
        <w:t xml:space="preserve">As the 2024 Notes were paid in full during the </w:t>
      </w:r>
      <w:r>
        <w:rPr>
          <w:rFonts w:ascii="Times New Roman" w:cs="Times New Roman" w:eastAsia="Times New Roman" w:hAnsi="Times New Roman"/>
          <w:sz w:val="18"/>
          <w:szCs w:val="18"/>
          <w:color w:val="000000"/>
        </w:rPr>
        <w:t>year ended December 31,</w:t>
      </w:r>
      <w:r>
        <w:rPr>
          <w:rFonts w:ascii="Times New Roman" w:cs="Times New Roman" w:eastAsia="Times New Roman" w:hAnsi="Times New Roman"/>
          <w:sz w:val="18"/>
          <w:szCs w:val="18"/>
          <w:color w:val="212529"/>
        </w:rPr>
        <w:t xml:space="preserve"> 2024, we are no longer subject to the financial limitations related to such notes.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we increase our research and developments efforts with respect to our current and future product candidates, we expect to continue to incur significant expenditures. We cannot anticipate the costs or the timing of the occurrence of such costs. Although we expect the revenues generated from the sales of Elfabrio and Elelyso will increase, such revenues may not be sufficient to fund the expenditures. To the extent we need to obtain additional financing in excess of such anticipated revenues, it may be difficult for us to do so given the volatility of the price of our Common Stock. Our material cash needs for the next 24 months will include, among other expenses,</w:t>
      </w:r>
    </w:p>
    <w:p>
      <w:pPr>
        <w:spacing w:after="0" w:line="3" w:lineRule="exact"/>
        <w:rPr>
          <w:sz w:val="20"/>
          <w:szCs w:val="20"/>
          <w:color w:val="auto"/>
        </w:rPr>
      </w:pPr>
    </w:p>
    <w:p>
      <w:pPr>
        <w:ind w:left="220" w:hanging="212"/>
        <w:spacing w:after="0"/>
        <w:tabs>
          <w:tab w:leader="none" w:pos="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preclinical and clinical trials, (ii) employee salaries, (iii) payments for rent and operation of our manufacturing facilities,</w:t>
      </w:r>
    </w:p>
    <w:p>
      <w:pPr>
        <w:spacing w:after="0" w:line="9" w:lineRule="exact"/>
        <w:rPr>
          <w:rFonts w:ascii="Times New Roman" w:cs="Times New Roman" w:eastAsia="Times New Roman" w:hAnsi="Times New Roman"/>
          <w:sz w:val="18"/>
          <w:szCs w:val="18"/>
          <w:color w:val="auto"/>
        </w:rPr>
      </w:pPr>
    </w:p>
    <w:p>
      <w:pPr>
        <w:ind w:firstLine="8"/>
        <w:spacing w:after="0" w:line="255" w:lineRule="auto"/>
        <w:tabs>
          <w:tab w:leader="none" w:pos="3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to our consultants and legal advisors, patent advisors and fees for service providers in connection with our research and development efforts and (v) tax payments. We believe that the funds currently available to us are sufficient to satisfy our capital needs for at least 12 months </w:t>
      </w:r>
      <w:r>
        <w:rPr>
          <w:rFonts w:ascii="Times New Roman" w:cs="Times New Roman" w:eastAsia="Times New Roman" w:hAnsi="Times New Roman"/>
          <w:sz w:val="18"/>
          <w:szCs w:val="18"/>
          <w:color w:val="212529"/>
        </w:rPr>
        <w:t>from the date this report is issued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99" w:lineRule="exact"/>
        <w:rPr>
          <w:sz w:val="20"/>
          <w:szCs w:val="20"/>
          <w:color w:val="auto"/>
        </w:rPr>
      </w:pPr>
    </w:p>
    <w:p>
      <w:pPr>
        <w:ind w:left="1000" w:right="34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cost of discovery and preclinical development and laboratory testing and clinical trials for our product candidates;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progress in commercializing Elfabrio;</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commercializing BioManguinhos alfataliglicerase in Brazil;</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1000" w:right="74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and other intellectual property rights; and</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 claims.</w:t>
      </w:r>
    </w:p>
    <w:p>
      <w:pPr>
        <w:spacing w:after="0" w:line="18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expect to finance our future cash needs through sales of Elfabrio and Elelyso, corporate collaborations, licensing or similar arrangements, public or private equity offerings and/or debt financings. We currently do not have any commitments for future external funding, except with respect to the milestone payments that may become payable under the Chiesi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Currency Fluctuations</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Currency fluctuations could affect us through increased or decreased acquisition costs for certain goods and services and salaries expenses. We do not believe currency fluctuations have had a material effect on our results of operations during the three and six months ended June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 as of each of June 30, 2025 and December 31, 2024.</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660"/>
        <w:spacing w:after="0" w:line="464"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Currency Exchange Risk</w:t>
      </w:r>
    </w:p>
    <w:p>
      <w:pPr>
        <w:ind w:right="200"/>
        <w:spacing w:after="0" w:line="256" w:lineRule="auto"/>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Most of our revenues and more than 50% of our expenses and capital expenditures are and were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Approximately 44%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2"/>
        </w:trPr>
        <w:tc>
          <w:tcPr>
            <w:tcW w:w="3840" w:type="dxa"/>
            <w:vAlign w:val="bottom"/>
          </w:tcPr>
          <w:p>
            <w:pPr>
              <w:spacing w:after="0"/>
              <w:rPr>
                <w:sz w:val="12"/>
                <w:szCs w:val="12"/>
                <w:color w:val="auto"/>
              </w:rPr>
            </w:pPr>
          </w:p>
        </w:tc>
        <w:tc>
          <w:tcPr>
            <w:tcW w:w="1360" w:type="dxa"/>
            <w:vAlign w:val="bottom"/>
            <w:tcBorders>
              <w:top w:val="single" w:sz="8" w:color="auto"/>
              <w:bottom w:val="single" w:sz="8" w:color="auto"/>
            </w:tcBorders>
            <w:gridSpan w:val="3"/>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1360" w:type="dxa"/>
            <w:vAlign w:val="bottom"/>
            <w:tcBorders>
              <w:top w:val="single" w:sz="8" w:color="auto"/>
              <w:bottom w:val="single" w:sz="8" w:color="auto"/>
            </w:tcBorders>
            <w:gridSpan w:val="3"/>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CCEEFF"/>
            </w:tcBorders>
          </w:tcPr>
          <w:p>
            <w:pPr>
              <w:spacing w:after="0"/>
              <w:rPr>
                <w:sz w:val="12"/>
                <w:szCs w:val="12"/>
                <w:color w:val="auto"/>
              </w:rPr>
            </w:pP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 for period</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3.581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3.597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3.700</w:t>
            </w:r>
          </w:p>
        </w:tc>
        <w:tc>
          <w:tcPr>
            <w:tcW w:w="200" w:type="dxa"/>
            <w:vAlign w:val="bottom"/>
            <w:shd w:val="clear" w:color="auto" w:fill="CCEEFF"/>
          </w:tcPr>
          <w:p>
            <w:pPr>
              <w:spacing w:after="0"/>
              <w:rPr>
                <w:sz w:val="18"/>
                <w:szCs w:val="18"/>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Rate at period-end</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3.372</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3.372</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6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3.647</w:t>
            </w:r>
          </w:p>
        </w:tc>
        <w:tc>
          <w:tcPr>
            <w:tcW w:w="200" w:type="dxa"/>
            <w:vAlign w:val="bottom"/>
          </w:tcPr>
          <w:p>
            <w:pPr>
              <w:spacing w:after="0"/>
              <w:rPr>
                <w:sz w:val="20"/>
                <w:szCs w:val="20"/>
                <w:color w:val="auto"/>
              </w:rPr>
            </w:pPr>
          </w:p>
        </w:tc>
      </w:tr>
    </w:tbl>
    <w:p>
      <w:pPr>
        <w:spacing w:after="0" w:line="1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5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June 30, 2025 that have materially affected, or that are reasonably likely to materially affect, our internal control over financial reporting.</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involved in any material legal proceedings.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none of our directors or officers adopted or terminated a Rule 10b5-1 trading arrangement or non-Rule 10b5-1 trading arrangement (as such terms are defined in Item 408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60" w:type="dxa"/>
            <w:vAlign w:val="bottom"/>
            <w:gridSpan w:val="3"/>
          </w:tcPr>
          <w:p>
            <w:pPr>
              <w:jc w:val="center"/>
              <w:ind w:right="551"/>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00" w:type="dxa"/>
            <w:vAlign w:val="bottom"/>
            <w:gridSpan w:val="18"/>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Filed or Furnished</w:t>
            </w:r>
          </w:p>
        </w:tc>
        <w:tc>
          <w:tcPr>
            <w:tcW w:w="0" w:type="dxa"/>
            <w:vAlign w:val="bottom"/>
          </w:tcPr>
          <w:p>
            <w:pPr>
              <w:spacing w:after="0"/>
              <w:rPr>
                <w:sz w:val="1"/>
                <w:szCs w:val="1"/>
                <w:color w:val="auto"/>
              </w:rPr>
            </w:pPr>
          </w:p>
        </w:tc>
      </w:tr>
      <w:tr>
        <w:trPr>
          <w:trHeight w:val="190"/>
        </w:trPr>
        <w:tc>
          <w:tcPr>
            <w:tcW w:w="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18"/>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24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660" w:type="dxa"/>
            <w:vAlign w:val="bottom"/>
            <w:gridSpan w:val="21"/>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Certificate of Incorporation of the Company</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2016</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5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Amendment to Certificate of Incorporation of the</w:t>
              </w:r>
            </w:hyperlink>
          </w:p>
        </w:tc>
        <w:tc>
          <w:tcPr>
            <w:tcW w:w="80" w:type="dxa"/>
            <w:vAlign w:val="bottom"/>
            <w:gridSpan w:val="2"/>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Def 14A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21"/>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Company</w:t>
              </w:r>
            </w:hyperlink>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6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Second Amendment to Certificate of</w:t>
              </w:r>
            </w:hyperlink>
          </w:p>
        </w:tc>
        <w:tc>
          <w:tcPr>
            <w:tcW w:w="1000" w:type="dxa"/>
            <w:vAlign w:val="bottom"/>
            <w:gridSpan w:val="14"/>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Def 14A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17, 2018</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21"/>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Incorporation of the Company</w:t>
              </w:r>
            </w:hyperlink>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5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Third Amendment to Certificate of Incorporation</w:t>
              </w:r>
            </w:hyperlink>
          </w:p>
        </w:tc>
        <w:tc>
          <w:tcPr>
            <w:tcW w:w="100" w:type="dxa"/>
            <w:vAlign w:val="bottom"/>
            <w:gridSpan w:val="3"/>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2019</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21"/>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of the Company</w:t>
              </w:r>
            </w:hyperlink>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660" w:type="dxa"/>
            <w:vAlign w:val="bottom"/>
            <w:gridSpan w:val="21"/>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Fourth Amendment to Certificate of Incorporation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15, 2022</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of the Company</w:t>
              </w:r>
            </w:hyperlink>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35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Fifth Amendment to Certificate of Incorporation</w:t>
              </w:r>
            </w:hyperlink>
          </w:p>
        </w:tc>
        <w:tc>
          <w:tcPr>
            <w:tcW w:w="160" w:type="dxa"/>
            <w:vAlign w:val="bottom"/>
            <w:gridSpan w:val="5"/>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7, 2023</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21"/>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of the Company</w:t>
              </w:r>
            </w:hyperlink>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33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Second Amended and Restated Bylaws of the</w:t>
              </w:r>
            </w:hyperlink>
          </w:p>
        </w:tc>
        <w:tc>
          <w:tcPr>
            <w:tcW w:w="360" w:type="dxa"/>
            <w:vAlign w:val="bottom"/>
            <w:gridSpan w:val="8"/>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2025</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21"/>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Company</w:t>
              </w:r>
            </w:hyperlink>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2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Form of Restricted Stock Agreement/Notice</w:t>
              </w:r>
            </w:hyperlink>
          </w:p>
        </w:tc>
        <w:tc>
          <w:tcPr>
            <w:tcW w:w="460" w:type="dxa"/>
            <w:vAlign w:val="bottom"/>
            <w:gridSpan w:val="12"/>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18, 2012</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Description of Capital Stock</w:t>
              </w:r>
            </w:hyperlink>
          </w:p>
        </w:tc>
        <w:tc>
          <w:tcPr>
            <w:tcW w:w="1600" w:type="dxa"/>
            <w:vAlign w:val="bottom"/>
            <w:gridSpan w:val="16"/>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10-K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14, 2024</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660" w:type="dxa"/>
            <w:vAlign w:val="bottom"/>
            <w:gridSpan w:val="21"/>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Stock Option Agreement (Executives)</w:t>
              </w:r>
            </w:hyperlink>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10-Q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2020</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24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Form of Stock Option Agreement (Standard)</w:t>
              </w:r>
            </w:hyperlink>
          </w:p>
        </w:tc>
        <w:tc>
          <w:tcPr>
            <w:tcW w:w="140" w:type="dxa"/>
            <w:vAlign w:val="bottom"/>
            <w:tcBorders>
              <w:top w:val="single" w:sz="8" w:color="0000EE"/>
            </w:tcBorders>
            <w:gridSpan w:val="4"/>
          </w:tcPr>
          <w:p>
            <w:pPr>
              <w:spacing w:after="0"/>
              <w:rPr>
                <w:sz w:val="21"/>
                <w:szCs w:val="21"/>
                <w:color w:val="auto"/>
              </w:rPr>
            </w:pPr>
          </w:p>
        </w:tc>
        <w:tc>
          <w:tcPr>
            <w:tcW w:w="280" w:type="dxa"/>
            <w:vAlign w:val="bottom"/>
            <w:gridSpan w:val="6"/>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2020</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2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Employment Agreement With Gilad Mamlok</w:t>
              </w:r>
            </w:hyperlink>
          </w:p>
        </w:tc>
        <w:tc>
          <w:tcPr>
            <w:tcW w:w="380" w:type="dxa"/>
            <w:vAlign w:val="bottom"/>
            <w:gridSpan w:val="9"/>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21, 2025</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21"/>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dated June 13, 2025</w:t>
              </w:r>
            </w:hyperlink>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6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w:t>
            </w: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40" w:type="dxa"/>
            <w:vAlign w:val="bottom"/>
          </w:tcPr>
          <w:p>
            <w:pPr>
              <w:jc w:val="center"/>
              <w:ind w:left="2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Rules 13a-14(a) and 15d-14(a) as adopted</w:t>
            </w:r>
          </w:p>
        </w:tc>
        <w:tc>
          <w:tcPr>
            <w:tcW w:w="320" w:type="dxa"/>
            <w:vAlign w:val="bottom"/>
            <w:tcBorders>
              <w:top w:val="single" w:sz="8" w:color="0000EE"/>
            </w:tcBorders>
            <w:gridSpan w:val="7"/>
          </w:tcPr>
          <w:p>
            <w:pPr>
              <w:spacing w:after="0"/>
              <w:rPr>
                <w:sz w:val="17"/>
                <w:szCs w:val="17"/>
                <w:color w:val="auto"/>
              </w:rPr>
            </w:pPr>
          </w:p>
        </w:tc>
        <w:tc>
          <w:tcPr>
            <w:tcW w:w="12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w:t>
            </w: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3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30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1">
            <w:col w:w="9820"/>
          </w:cols>
          <w:pgMar w:left="980" w:top="661" w:right="109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67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540" w:type="dxa"/>
            <w:vAlign w:val="bottom"/>
          </w:tcPr>
          <w:p>
            <w:pPr>
              <w:spacing w:after="0"/>
              <w:rPr>
                <w:sz w:val="17"/>
                <w:szCs w:val="17"/>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73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5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w:t>
            </w:r>
          </w:p>
        </w:tc>
        <w:tc>
          <w:tcPr>
            <w:tcW w:w="2440" w:type="dxa"/>
            <w:vAlign w:val="bottom"/>
          </w:tcPr>
          <w:p>
            <w:pPr>
              <w:spacing w:after="0"/>
              <w:rPr>
                <w:sz w:val="24"/>
                <w:szCs w:val="24"/>
                <w:color w:val="auto"/>
              </w:rPr>
            </w:pP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40" w:type="dxa"/>
            <w:vAlign w:val="bottom"/>
          </w:tcPr>
          <w:p>
            <w:pPr>
              <w:spacing w:after="0"/>
              <w:rPr>
                <w:sz w:val="17"/>
                <w:szCs w:val="17"/>
                <w:color w:val="auto"/>
              </w:rPr>
            </w:pPr>
          </w:p>
        </w:tc>
        <w:tc>
          <w:tcPr>
            <w:tcW w:w="32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Rules 13a-14(a) and 15d-14(a) as adopted</w:t>
            </w:r>
          </w:p>
        </w:tc>
        <w:tc>
          <w:tcPr>
            <w:tcW w:w="2720" w:type="dxa"/>
            <w:vAlign w:val="bottom"/>
            <w:gridSpan w:val="5"/>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5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w:t>
            </w:r>
          </w:p>
        </w:tc>
        <w:tc>
          <w:tcPr>
            <w:tcW w:w="25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3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580" w:type="dxa"/>
            <w:vAlign w:val="bottom"/>
            <w:gridSpan w:val="4"/>
          </w:tcPr>
          <w:p>
            <w:pPr>
              <w:spacing w:after="0"/>
              <w:rPr>
                <w:sz w:val="17"/>
                <w:szCs w:val="17"/>
                <w:color w:val="auto"/>
              </w:rPr>
            </w:pPr>
          </w:p>
        </w:tc>
        <w:tc>
          <w:tcPr>
            <w:tcW w:w="25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25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w:t>
            </w:r>
          </w:p>
        </w:tc>
        <w:tc>
          <w:tcPr>
            <w:tcW w:w="580" w:type="dxa"/>
            <w:vAlign w:val="bottom"/>
            <w:tcBorders>
              <w:top w:val="single" w:sz="8" w:color="0000EE"/>
            </w:tcBorders>
            <w:gridSpan w:val="4"/>
          </w:tcPr>
          <w:p>
            <w:pPr>
              <w:spacing w:after="0"/>
              <w:rPr>
                <w:sz w:val="17"/>
                <w:szCs w:val="17"/>
                <w:color w:val="auto"/>
              </w:rPr>
            </w:pPr>
          </w:p>
        </w:tc>
        <w:tc>
          <w:tcPr>
            <w:tcW w:w="2480" w:type="dxa"/>
            <w:vAlign w:val="bottom"/>
            <w:gridSpan w:val="2"/>
          </w:tcPr>
          <w:p>
            <w:pPr>
              <w:spacing w:after="0"/>
              <w:rPr>
                <w:sz w:val="17"/>
                <w:szCs w:val="17"/>
                <w:color w:val="auto"/>
              </w:rPr>
            </w:pPr>
          </w:p>
        </w:tc>
        <w:tc>
          <w:tcPr>
            <w:tcW w:w="254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25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w:t>
            </w:r>
          </w:p>
        </w:tc>
        <w:tc>
          <w:tcPr>
            <w:tcW w:w="2480" w:type="dxa"/>
            <w:vAlign w:val="bottom"/>
            <w:gridSpan w:val="2"/>
          </w:tcPr>
          <w:p>
            <w:pPr>
              <w:spacing w:after="0"/>
              <w:rPr>
                <w:sz w:val="17"/>
                <w:szCs w:val="17"/>
                <w:color w:val="auto"/>
              </w:rPr>
            </w:pPr>
          </w:p>
        </w:tc>
        <w:tc>
          <w:tcPr>
            <w:tcW w:w="25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7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XBRL Instance Document - </w:t>
            </w:r>
            <w:r>
              <w:rPr>
                <w:rFonts w:ascii="Times New Roman" w:cs="Times New Roman" w:eastAsia="Times New Roman" w:hAnsi="Times New Roman"/>
                <w:sz w:val="18"/>
                <w:szCs w:val="18"/>
                <w:color w:val="333333"/>
              </w:rPr>
              <w:t>the instance</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40" w:type="dxa"/>
            <w:vAlign w:val="bottom"/>
          </w:tcPr>
          <w:p>
            <w:pPr>
              <w:spacing w:after="0"/>
              <w:rPr>
                <w:sz w:val="18"/>
                <w:szCs w:val="18"/>
                <w:color w:val="auto"/>
              </w:rPr>
            </w:pP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333333"/>
              </w:rPr>
              <w:t>document does not appear in the Interactive Data</w:t>
            </w:r>
          </w:p>
        </w:tc>
        <w:tc>
          <w:tcPr>
            <w:tcW w:w="25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333333"/>
              </w:rPr>
              <w:t>File because its XBRL tags are embedded within</w:t>
            </w:r>
          </w:p>
        </w:tc>
        <w:tc>
          <w:tcPr>
            <w:tcW w:w="254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333333"/>
              </w:rPr>
              <w:t>the Inline XBRL document</w:t>
            </w:r>
          </w:p>
        </w:tc>
        <w:tc>
          <w:tcPr>
            <w:tcW w:w="254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254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54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54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54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540" w:type="dxa"/>
            <w:vAlign w:val="bottom"/>
          </w:tcPr>
          <w:p>
            <w:pPr>
              <w:spacing w:after="0"/>
              <w:rPr>
                <w:sz w:val="20"/>
                <w:szCs w:val="20"/>
                <w:color w:val="auto"/>
              </w:rPr>
            </w:pPr>
          </w:p>
        </w:tc>
      </w:tr>
    </w:tbl>
    <w:p>
      <w:pPr>
        <w:spacing w:after="0" w:line="36" w:lineRule="exact"/>
        <w:rPr>
          <w:sz w:val="20"/>
          <w:szCs w:val="20"/>
          <w:color w:val="auto"/>
        </w:rPr>
      </w:pPr>
    </w:p>
    <w:p>
      <w:pPr>
        <w:ind w:left="840" w:right="5460" w:hanging="833"/>
        <w:spacing w:after="0" w:line="266"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84" w:lineRule="exact"/>
        <w:rPr>
          <w:sz w:val="20"/>
          <w:szCs w:val="20"/>
          <w:color w:val="auto"/>
        </w:rPr>
      </w:pPr>
    </w:p>
    <w:p>
      <w:pPr>
        <w:ind w:left="320" w:hanging="313"/>
        <w:spacing w:after="0"/>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or compensation plans or arrangements in which directors or executive officers are eligible to participate.</w:t>
      </w:r>
    </w:p>
    <w:p>
      <w:pPr>
        <w:spacing w:after="0" w:line="317" w:lineRule="exact"/>
        <w:rPr>
          <w:rFonts w:ascii="Times New Roman" w:cs="Times New Roman" w:eastAsia="Times New Roman" w:hAnsi="Times New Roman"/>
          <w:sz w:val="17"/>
          <w:szCs w:val="17"/>
          <w:color w:val="auto"/>
        </w:rPr>
      </w:pPr>
    </w:p>
    <w:p>
      <w:pPr>
        <w:ind w:left="4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980" w:top="648" w:right="1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46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PROTALIX BIOTHERAPEUTICS, INC.</w:t>
            </w:r>
          </w:p>
        </w:tc>
      </w:tr>
      <w:tr>
        <w:trPr>
          <w:trHeight w:val="234"/>
        </w:trPr>
        <w:tc>
          <w:tcPr>
            <w:tcW w:w="3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(Registrant)</w:t>
            </w:r>
          </w:p>
        </w:tc>
      </w:tr>
      <w:tr>
        <w:trPr>
          <w:trHeight w:val="50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66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Dror Bashan</w:t>
            </w:r>
          </w:p>
        </w:tc>
      </w:tr>
      <w:tr>
        <w:trPr>
          <w:trHeight w:val="191"/>
        </w:trPr>
        <w:tc>
          <w:tcPr>
            <w:tcW w:w="3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Dror Bashan</w:t>
            </w:r>
          </w:p>
        </w:tc>
      </w:tr>
      <w:tr>
        <w:trPr>
          <w:trHeight w:val="216"/>
        </w:trPr>
        <w:tc>
          <w:tcPr>
            <w:tcW w:w="3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66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Eyal Rubin</w:t>
            </w:r>
          </w:p>
        </w:tc>
      </w:tr>
      <w:tr>
        <w:trPr>
          <w:trHeight w:val="27"/>
        </w:trPr>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191"/>
        </w:trPr>
        <w:tc>
          <w:tcPr>
            <w:tcW w:w="3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Eyal Rubin</w:t>
            </w:r>
          </w:p>
        </w:tc>
      </w:tr>
      <w:tr>
        <w:trPr>
          <w:trHeight w:val="216"/>
        </w:trPr>
        <w:tc>
          <w:tcPr>
            <w:tcW w:w="3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 Treasurer and</w:t>
            </w:r>
          </w:p>
        </w:tc>
      </w:tr>
      <w:tr>
        <w:trPr>
          <w:trHeight w:val="216"/>
        </w:trPr>
        <w:tc>
          <w:tcPr>
            <w:tcW w:w="3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234"/>
        </w:trPr>
        <w:tc>
          <w:tcPr>
            <w:tcW w:w="3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Dror Bashan, certify that:</w:t>
      </w:r>
    </w:p>
    <w:p>
      <w:pPr>
        <w:spacing w:after="0" w:line="18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660" w:right="5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Eyal Rubin, certify that:</w:t>
      </w:r>
    </w:p>
    <w:p>
      <w:pPr>
        <w:spacing w:after="0" w:line="185"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&amp;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June 30, 2025 as filed with the Securities and Exchange Commission (the “Report”), I, Dror Bashan, President and Chief Executive Officer of the Company, hereby certify as of the date hereof, solely for the purposes of Title 18, Chapter 63, Section 1350 of the United States Code, that to the best of my knowledge:</w:t>
      </w:r>
    </w:p>
    <w:p>
      <w:pPr>
        <w:spacing w:after="0" w:line="139" w:lineRule="exact"/>
        <w:rPr>
          <w:sz w:val="20"/>
          <w:szCs w:val="20"/>
          <w:color w:val="auto"/>
        </w:rPr>
      </w:pPr>
    </w:p>
    <w:p>
      <w:pPr>
        <w:ind w:left="1300" w:right="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June 30, 2025 as filed with the Securities and Exchange Commission (the “Report”), I, Eyal Rubin, Senior Vice President and Chief Financial Officer of the Company, hereby certify as of the date hereof, solely for the purposes of Title 18, Chapter 63, Section 1350 of the United States Code, that to the best of my knowledge:</w:t>
      </w:r>
    </w:p>
    <w:p>
      <w:pPr>
        <w:spacing w:after="0" w:line="139" w:lineRule="exact"/>
        <w:rPr>
          <w:sz w:val="20"/>
          <w:szCs w:val="20"/>
          <w:color w:val="auto"/>
        </w:rPr>
      </w:pPr>
    </w:p>
    <w:p>
      <w:pPr>
        <w:ind w:left="1300" w:right="30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Letter"/>
      <w:start w:val="1"/>
    </w:lvl>
    <w:lvl w:ilvl="1">
      <w:lvlJc w:val="left"/>
      <w:lvlText w:val="(%2)"/>
      <w:numFmt w:val="decimal"/>
      <w:start w:val="1"/>
    </w:lvl>
  </w:abstractNum>
  <w:abstractNum w:abstractNumId="4">
    <w:nsid w:val="7FDCC233"/>
    <w:multiLevelType w:val="hybridMultilevel"/>
    <w:lvl w:ilvl="0">
      <w:lvlJc w:val="left"/>
      <w:lvlText w:val="%1."/>
      <w:numFmt w:val="lowerLetter"/>
      <w:start w:val="2"/>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lowerLetter"/>
      <w:start w:val="3"/>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lowerLetter"/>
      <w:start w:val="1"/>
    </w:lvl>
    <w:lvl w:ilvl="1">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Roman"/>
      <w:start w:val="1"/>
    </w:lvl>
  </w:abstractNum>
  <w:abstractNum w:abstractNumId="16">
    <w:nsid w:val="436C6125"/>
    <w:multiLevelType w:val="hybridMultilevel"/>
    <w:lvl w:ilvl="0">
      <w:lvlJc w:val="left"/>
      <w:lvlText w:val="(%1)"/>
      <w:numFmt w:val="lowerRoman"/>
      <w:start w:val="4"/>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04"/>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57" Type="http://schemas.openxmlformats.org/officeDocument/2006/relationships/hyperlink" Target="https://www.sec.gov/Archives/edgar/data/1006281/000114420416092335/v435826_ex3-1.htm" TargetMode="External"/><Relationship Id="rId58" Type="http://schemas.openxmlformats.org/officeDocument/2006/relationships/hyperlink" Target="https://www.sec.gov/Archives/edgar/data/1006281/000114420416111273/v443094_def14a.htm" TargetMode="External"/><Relationship Id="rId59" Type="http://schemas.openxmlformats.org/officeDocument/2006/relationships/hyperlink" Target="https://www.sec.gov/Archives/edgar/data/1006281/000114420418054229/tv504383-def14a.htm" TargetMode="External"/><Relationship Id="rId60" Type="http://schemas.openxmlformats.org/officeDocument/2006/relationships/hyperlink" Target="https://www.sec.gov/Archives/edgar/data/1006281/000110465919074602/tm1926620d1_ex3-1.htm" TargetMode="External"/><Relationship Id="rId61" Type="http://schemas.openxmlformats.org/officeDocument/2006/relationships/hyperlink" Target="https://www.sec.gov/Archives/edgar/data/1006281/000155837022013560/plx-20220630xex3d5.htm" TargetMode="External"/><Relationship Id="rId62" Type="http://schemas.openxmlformats.org/officeDocument/2006/relationships/hyperlink" Target="https://www.sec.gov/Archives/edgar/data/1006281/000155837023013483/plx-20230630xex3d6.htm" TargetMode="External"/><Relationship Id="rId63" Type="http://schemas.openxmlformats.org/officeDocument/2006/relationships/hyperlink" Target="https://www.sec.gov/Archives/edgar/data/1006281/000155837025007063/plx-20250331xex3d7.htm" TargetMode="External"/><Relationship Id="rId64" Type="http://schemas.openxmlformats.org/officeDocument/2006/relationships/hyperlink" Target="https://www.sec.gov/Archives/edgar/data/1006281/000114420412040015/v318898_ex4-1.htm" TargetMode="External"/><Relationship Id="rId65" Type="http://schemas.openxmlformats.org/officeDocument/2006/relationships/hyperlink" Target="https://www.sec.gov/Archives/edgar/data/1006281/000155837024003161/plx-20231231xex4d7.htm" TargetMode="External"/><Relationship Id="rId66" Type="http://schemas.openxmlformats.org/officeDocument/2006/relationships/hyperlink" Target="https://www.sec.gov/Archives/edgar/data/1006281/000110465920092375/plx-20200630xex4d8.htm" TargetMode="External"/><Relationship Id="rId67" Type="http://schemas.openxmlformats.org/officeDocument/2006/relationships/hyperlink" Target="https://www.sec.gov/Archives/edgar/data/1006281/000110465920092375/plx-20200630xex4d9.htm" TargetMode="External"/><Relationship Id="rId68" Type="http://schemas.openxmlformats.org/officeDocument/2006/relationships/hyperlink" Target="https://www.sec.gov/Archives/edgar/data/1006281/000155837025009308/plx-20250613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2025-08-14T06:09:09Z</dcterms:created>
  <dcterms:modified xsi:type="dcterms:W3CDTF">2025-08-14T06:09:09Z</dcterms:modified>
</cp:coreProperties>
</file>