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1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54" w:lineRule="exact"/>
        <w:rPr>
          <w:sz w:val="24"/>
          <w:szCs w:val="24"/>
          <w:color w:val="auto"/>
        </w:rPr>
      </w:pPr>
    </w:p>
    <w:p>
      <w:pPr>
        <w:ind w:right="4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ind w:right="236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August 12, 2022, approximately 49,753,409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49530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92075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2"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June 30, 2022 and December 31, 2021</w:t>
            </w:r>
          </w:p>
        </w:tc>
        <w:tc>
          <w:tcPr>
            <w:tcW w:w="132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 For the Six and Three Months Ended June 30, 2022</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1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(Capital Deficiency) (Unaudited) – For the</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Six and Three Months Ended June 30, 2022 and 2021</w:t>
            </w:r>
          </w:p>
        </w:tc>
        <w:tc>
          <w:tcPr>
            <w:tcW w:w="200" w:type="dxa"/>
            <w:vAlign w:val="bottom"/>
            <w:gridSpan w:val="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Six Months ended June 30, 2022 and 2021</w:t>
            </w:r>
          </w:p>
        </w:tc>
        <w:tc>
          <w:tcPr>
            <w:tcW w:w="120" w:type="dxa"/>
            <w:vAlign w:val="bottom"/>
            <w:gridSpan w:val="2"/>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56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5"/>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90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08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49,700</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NET OF CAPITAL DEFICIENCY</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 liability</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Contracts liability</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70,529</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DEFICIENCY</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(9,889)</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net of capital deficiency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ind w:left="1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840" w:right="24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OPERATIONS </w:t>
      </w:r>
      <w:r>
        <w:rPr>
          <w:rFonts w:ascii="Times New Roman" w:cs="Times New Roman" w:eastAsia="Times New Roman" w:hAnsi="Times New Roman"/>
          <w:sz w:val="18"/>
          <w:szCs w:val="18"/>
          <w:color w:val="auto"/>
        </w:rPr>
        <w:t>(U.S. dollars in thousands, except share and per share data)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12,410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3,382</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9,993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5,371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17,747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8,753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GOODS SOLD (1)</w:t>
            </w:r>
          </w:p>
        </w:tc>
        <w:tc>
          <w:tcPr>
            <w:tcW w:w="12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(10,121)</w:t>
            </w: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(9,498)</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(4,087)</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RESEARCH AND DEVELOPMENT EXPENSES (2)</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(16,346)</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(14,811)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(7,579)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SELLING, GENERAL AND ADMINISTRATIVE EXPENSES (3)</w:t>
            </w:r>
          </w:p>
        </w:tc>
        <w:tc>
          <w:tcPr>
            <w:tcW w:w="12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(5,765)</w:t>
            </w: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(6,309)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(2,611)</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(12,871)</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(5,524)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EXPENSES</w:t>
            </w: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INCOME</w:t>
            </w: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813</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(3,896)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 FOR THE PERIOD</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(7,620)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(16,716)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(5,334)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LOSS PER SHARE OF COMMON STOCK – BASIC AND DILUTED</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(0.16)</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(0.39)</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(0.11)</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46,589,976</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42,744,426</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47,327,952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45,436,907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5100" w:type="dxa"/>
            <w:vAlign w:val="bottom"/>
            <w:tcBorders>
              <w:bottom w:val="single" w:sz="8" w:color="CCEEFF"/>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USED IN COMPUTING LOSS PER SHARE – BASIC AND DILUTED</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100" w:type="dxa"/>
            <w:vAlign w:val="bottom"/>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b w:val="1"/>
                <w:bCs w:val="1"/>
                <w:color w:val="auto"/>
              </w:rPr>
              <w:t>(1) Includes share-based compensation</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152</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(2) Includes share-based compensation</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(3) Includes share-based compensation</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CHANGES IN STOCKHOLDERS’ EQUITY (CAPITAL DEFICIENCY) </w:t>
      </w:r>
      <w:r>
        <w:rPr>
          <w:rFonts w:ascii="Times New Roman" w:cs="Times New Roman" w:eastAsia="Times New Roman" w:hAnsi="Times New Roman"/>
          <w:sz w:val="18"/>
          <w:szCs w:val="18"/>
          <w:color w:val="auto"/>
        </w:rPr>
        <w:t>(U.S. dollars in thousands, except share data)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34,765,280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320,280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(347,352)</w:t>
            </w:r>
          </w:p>
        </w:tc>
        <w:tc>
          <w:tcPr>
            <w:tcW w:w="18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six-month period ended June 30, 2021:</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8,749,999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1,867,552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173,816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(16,716)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45,556,647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367,863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(364,068)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45,556,647</w:t>
            </w: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46</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368,852</w:t>
            </w:r>
          </w:p>
        </w:tc>
        <w:tc>
          <w:tcPr>
            <w:tcW w:w="180" w:type="dxa"/>
            <w:vAlign w:val="bottom"/>
          </w:tcPr>
          <w:p>
            <w:pPr>
              <w:spacing w:after="0"/>
              <w:rPr>
                <w:sz w:val="11"/>
                <w:szCs w:val="11"/>
                <w:color w:val="auto"/>
              </w:rPr>
            </w:pP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(374,934)</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(6,036)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six-month period ended June 30, 2022:</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2,395,823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759,482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48,712,952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372,616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(382,554)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45,382,831</w:t>
            </w: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46</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367,285</w:t>
            </w:r>
          </w:p>
        </w:tc>
        <w:tc>
          <w:tcPr>
            <w:tcW w:w="180" w:type="dxa"/>
            <w:vAlign w:val="bottom"/>
          </w:tcPr>
          <w:p>
            <w:pPr>
              <w:spacing w:after="0"/>
              <w:rPr>
                <w:sz w:val="11"/>
                <w:szCs w:val="11"/>
                <w:color w:val="auto"/>
              </w:rPr>
            </w:pP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(352,827)</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14,504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June 30, 2021:</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173,816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(11,241)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45,556,647</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w:t>
            </w: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367,863</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(364,068)</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46,316,129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369,688</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(377,220)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(7,486)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June 30, 2022:</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2,395,823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(5,334)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48,712,952</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372,616</w:t>
            </w: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(382,554)</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(9,889)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less than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Common stock, $0.001 par value; Authorized – as of June 30, 2022 and 2021 - 120,000,000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0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income, net (mainly exchange differences)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(gain) on amounts funded in respect of employee rights upon retirement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(decrease) in contracts liability (including non-current portion)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 and other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right of use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accounts payable and accruals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 other long term liabilities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short-term deposits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restricted deposit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Amounts paid (funded) in respect of employee rights upon retirement, net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promissory note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 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2"/>
                <w:szCs w:val="12"/>
                <w:color w:val="auto"/>
              </w:rPr>
            </w:pPr>
          </w:p>
        </w:tc>
        <w:tc>
          <w:tcPr>
            <w:tcW w:w="10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Right of use assets obtained in exchange for new operating lease liabilities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Interest received</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right="60"/>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taliglucerase alfa (marketed under the name BioManguinhos alfataliglicerase in Brazil, Uplyso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certain other Latin American countries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72" w:lineRule="exact"/>
        <w:rPr>
          <w:rFonts w:ascii="Times New Roman" w:cs="Times New Roman" w:eastAsia="Times New Roman" w:hAnsi="Times New Roman"/>
          <w:sz w:val="18"/>
          <w:szCs w:val="18"/>
          <w:b w:val="1"/>
          <w:bCs w:val="1"/>
          <w:color w:val="auto"/>
        </w:rPr>
      </w:pPr>
    </w:p>
    <w:p>
      <w:pPr>
        <w:ind w:left="98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most advanced investigational drug in the Company’s product pipeline is pegunigalsidase alfa, or PRX-102, a therapeutic protein candidate for the treatment of Fabry disease, a rare, genetic lysosomal disorder, which is the subject of a phase III clinical program. The PRX-102 phase III clinical program includes three separate studies, referred to as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the</w:t>
      </w:r>
      <w:r>
        <w:rPr>
          <w:rFonts w:ascii="Times New Roman" w:cs="Times New Roman" w:eastAsia="Times New Roman" w:hAnsi="Times New Roman"/>
          <w:sz w:val="18"/>
          <w:szCs w:val="18"/>
          <w:i w:val="1"/>
          <w:iCs w:val="1"/>
          <w:color w:val="auto"/>
        </w:rPr>
        <w:t xml:space="preserve"> BRIDGE </w:t>
      </w:r>
      <w:r>
        <w:rPr>
          <w:rFonts w:ascii="Times New Roman" w:cs="Times New Roman" w:eastAsia="Times New Roman" w:hAnsi="Times New Roman"/>
          <w:sz w:val="18"/>
          <w:szCs w:val="18"/>
          <w:color w:val="auto"/>
        </w:rPr>
        <w:t>study and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each of which has been completed. The studies were 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evaluate the potential for improved efficacy and better quality of life for adult patients with Fabry disease and to evaluate the safety of the Company’s drug/therapy. In addition, the phase III clinical program includes two extension studies in which subjects that participated in the Company’s phase I/II clinical trials and phase III clinical trials may enroll and continue to be treated with PRX-102.</w:t>
      </w:r>
    </w:p>
    <w:p>
      <w:pPr>
        <w:spacing w:after="0" w:line="151" w:lineRule="exact"/>
        <w:rPr>
          <w:rFonts w:ascii="Times New Roman" w:cs="Times New Roman" w:eastAsia="Times New Roman" w:hAnsi="Times New Roman"/>
          <w:sz w:val="18"/>
          <w:szCs w:val="18"/>
          <w:b w:val="1"/>
          <w:bCs w:val="1"/>
          <w:color w:val="auto"/>
        </w:rPr>
      </w:pPr>
    </w:p>
    <w:p>
      <w:pPr>
        <w:ind w:left="980"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7, 2022, a Marketing Authorization Application (“MAA”) for PRX-102 was submitted to, and subsequently validated by, the European Medicines Agency (“EMA”). The submission was made after the October 8, 2021 meeting the Company held, together with the Company’s development and commercialization partner for PRX-102, Chiesi Farmaceutici S.p.A. (“Chiesi”), with the Rapporteur and Co-Rapporteur of the EMA regarding PRX-102. At the meeting, Chiesi and the Company discussed the scope of the then anticipated MAA submission for the European Union, and the Rapporteur and Co-Rapporteur were generally supportive of the planned MAA submission for PRX-102.</w:t>
      </w:r>
    </w:p>
    <w:p>
      <w:pPr>
        <w:spacing w:after="0" w:line="146" w:lineRule="exact"/>
        <w:rPr>
          <w:rFonts w:ascii="Times New Roman" w:cs="Times New Roman" w:eastAsia="Times New Roman" w:hAnsi="Times New Roman"/>
          <w:sz w:val="18"/>
          <w:szCs w:val="18"/>
          <w:b w:val="1"/>
          <w:bCs w:val="1"/>
          <w:color w:val="auto"/>
        </w:rPr>
      </w:pPr>
    </w:p>
    <w:p>
      <w:pPr>
        <w:ind w:left="98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28, 2021, the Company, together with Chiesi, announced the receipt of a Complete Response Letter (CRL) from the U.S. Food and Drug Administration (the “FDA”) regarding the biologics license application (“BLA”) for PRX-102 for the treatment of adult patients with Fabry disease. The PRX-102 BLA was submitted to the FDA on May 27, 2020 under the FDA’s Accelerated Approval pathway, and was subsequently accepted by the FDA and granted Priority Review designation. The CRL did not report any concerns relating to the potential safety or efficacy of PRX-102 in the submitted data package. In the CRL, the FDA noted that an inspection of the Company’s manufacturing facility in Carmiel, Israel, including the FDA’s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the novel coronavirus disease (“COVID-19”), the FDA reviewed records under Section 704(a)(4) of the U.S. Federal Food, Drug, and Cosmetic Act (the “FFDCA”) in lieu of a pre-licensing inspection. In the CRL, the FDA stated that it will communicate remaining issues to the facility in order to seek prompt resolution of any pending items. In addition to the foregoing, in the CRL, the FDA noted that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(agalsidase beta), a therapy used to treat Fabry patients (marketed by Sanofi after the acquisition of Genzyme), was recently converted to full approval and is now an “available therapy,” which must be addressed in the context of any potential resubmission of a BLA for PRX-102.</w:t>
      </w:r>
    </w:p>
    <w:p>
      <w:pPr>
        <w:spacing w:after="0" w:line="175" w:lineRule="exact"/>
        <w:rPr>
          <w:rFonts w:ascii="Times New Roman" w:cs="Times New Roman" w:eastAsia="Times New Roman" w:hAnsi="Times New Roman"/>
          <w:sz w:val="18"/>
          <w:szCs w:val="18"/>
          <w:b w:val="1"/>
          <w:bCs w:val="1"/>
          <w:color w:val="auto"/>
        </w:rPr>
      </w:pPr>
    </w:p>
    <w:p>
      <w:pPr>
        <w:ind w:left="980" w:right="10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planned data package for the BLA resubmission,</w:t>
      </w:r>
    </w:p>
    <w:p>
      <w:pPr>
        <w:spacing w:after="0" w:line="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given the changed regulatory landscape in the United States, will include the final two-year analyses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6" w:lineRule="exact"/>
        <w:rPr>
          <w:sz w:val="20"/>
          <w:szCs w:val="20"/>
          <w:color w:val="auto"/>
        </w:rPr>
      </w:pPr>
    </w:p>
    <w:p>
      <w:pPr>
        <w:ind w:left="980"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The Company intends to continue to work collaboratively with the FDA to resolve the issues noted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CRL and provide a new, alternative drug to Fabry patients.</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to PRX-102, the Company’s product pipeline currently includes, among other candidates:</w:t>
      </w:r>
    </w:p>
    <w:p>
      <w:pPr>
        <w:spacing w:after="0" w:line="198" w:lineRule="exact"/>
        <w:rPr>
          <w:sz w:val="20"/>
          <w:szCs w:val="20"/>
          <w:color w:val="auto"/>
        </w:rPr>
      </w:pPr>
    </w:p>
    <w:p>
      <w:pPr>
        <w:ind w:left="1340" w:right="40" w:hanging="333"/>
        <w:spacing w:after="0" w:line="261"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alidornase alfa, or PRX-110, a proprietary plant cell recombinant human Deoxyribonuclease 1, or DNase, which has successfully completed a phase II efficacy and safety study; the Company is continuing to evaluate potential strategic marketing partnerships and collaboration programs with biotechnology and pharmaceutical companies for this product candidate for various respiratory indications;</w:t>
      </w:r>
    </w:p>
    <w:p>
      <w:pPr>
        <w:spacing w:after="0" w:line="139" w:lineRule="exact"/>
        <w:rPr>
          <w:rFonts w:ascii="Times New Roman" w:cs="Times New Roman" w:eastAsia="Times New Roman" w:hAnsi="Times New Roman"/>
          <w:sz w:val="18"/>
          <w:szCs w:val="18"/>
          <w:color w:val="auto"/>
        </w:rPr>
      </w:pPr>
    </w:p>
    <w:p>
      <w:pPr>
        <w:ind w:left="1340" w:right="20" w:hanging="333"/>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severe gout; and</w:t>
      </w:r>
    </w:p>
    <w:p>
      <w:pPr>
        <w:spacing w:after="0" w:line="121" w:lineRule="exact"/>
        <w:rPr>
          <w:rFonts w:ascii="Times New Roman" w:cs="Times New Roman" w:eastAsia="Times New Roman" w:hAnsi="Times New Roman"/>
          <w:sz w:val="18"/>
          <w:szCs w:val="18"/>
          <w:color w:val="auto"/>
        </w:rPr>
      </w:pPr>
    </w:p>
    <w:p>
      <w:pPr>
        <w:ind w:left="1340" w:right="520" w:hanging="333"/>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the Company’s plant cell-expressed PEGylated recombinant human DNase I product candidate being designed to elongate half-life in the circulation for NETs-related diseases.</w:t>
      </w:r>
    </w:p>
    <w:p>
      <w:pPr>
        <w:spacing w:after="0" w:line="135" w:lineRule="exact"/>
        <w:rPr>
          <w:sz w:val="20"/>
          <w:szCs w:val="20"/>
          <w:color w:val="auto"/>
        </w:rPr>
      </w:pPr>
    </w:p>
    <w:p>
      <w:pPr>
        <w:jc w:val="both"/>
        <w:ind w:left="980" w:right="60"/>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“Sales Agreement”) with</w:t>
      </w:r>
    </w:p>
    <w:p>
      <w:pPr>
        <w:spacing w:after="0" w:line="27" w:lineRule="exact"/>
        <w:rPr>
          <w:sz w:val="20"/>
          <w:szCs w:val="20"/>
          <w:color w:val="auto"/>
        </w:rPr>
      </w:pPr>
    </w:p>
    <w:p>
      <w:pPr>
        <w:ind w:left="980" w:right="140"/>
        <w:spacing w:after="0" w:line="237" w:lineRule="auto"/>
        <w:rPr>
          <w:sz w:val="20"/>
          <w:szCs w:val="20"/>
          <w:color w:val="auto"/>
        </w:rPr>
      </w:pPr>
      <w:r>
        <w:rPr>
          <w:rFonts w:ascii="Times New Roman" w:cs="Times New Roman" w:eastAsia="Times New Roman" w:hAnsi="Times New Roman"/>
          <w:sz w:val="18"/>
          <w:szCs w:val="18"/>
          <w:color w:val="auto"/>
        </w:rPr>
        <w:t>H.C. Wainwright &amp; Co., LLC, as the Company’s sales agent (the “Agent”) which was amended on May 2, 2022. Pursuant to the terms of the Sales Agreement, the Company may sell from time to time through the Agent shares of its common stock, par value $0.001 per share (the “Common Stock”), having an aggregate offering price of up to $20.0 million (the “ATM Shares”). Upon execution of the Sales Agreement, the Company terminated the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it had entered into on October 1, 2020 with BofA Securities, Inc. (“BofA Securities”). During the term of the sales agreement with BofA Securities, the Company sold a total of 3,296,123 shares of Common Stock for total gross proceeds of approximately $13.8 million. As of June 30, 2022, shares of Common Stock for total gross proceeds of approximately $17.2 million remain available to be sold under the Sales Agreement.</w:t>
      </w:r>
    </w:p>
    <w:p>
      <w:pPr>
        <w:spacing w:after="0" w:line="159"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 and Supply Agreement with Chiesi (the “Chiesi US Agreement”) with respect to the commercialization of pegunigalsidase alfa in the United States.</w:t>
      </w:r>
    </w:p>
    <w:p>
      <w:pPr>
        <w:spacing w:after="0" w:line="156" w:lineRule="exact"/>
        <w:rPr>
          <w:sz w:val="20"/>
          <w:szCs w:val="20"/>
          <w:color w:val="auto"/>
        </w:rPr>
      </w:pPr>
    </w:p>
    <w:p>
      <w:pPr>
        <w:ind w:left="980" w:right="60"/>
        <w:spacing w:after="0" w:line="253" w:lineRule="auto"/>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capped at $10.0 million per year, and to receive additional payments of up to $320.0 million, in the aggregate, in regulatory and commercial milestone payments. Under the Chiesi US Agreement, Protalix Ltd. is entitled to payments of up to a maximum of $20.0 million to cover development costs for pegunigalsidase alfa, subject to a maximum of $7.5 million per year, and to receive additional payments of up to a maximum of</w:t>
      </w:r>
    </w:p>
    <w:p>
      <w:pPr>
        <w:spacing w:after="0" w:line="3" w:lineRule="exact"/>
        <w:rPr>
          <w:sz w:val="20"/>
          <w:szCs w:val="20"/>
          <w:color w:val="auto"/>
        </w:rPr>
      </w:pPr>
    </w:p>
    <w:p>
      <w:pPr>
        <w:ind w:left="980" w:right="100"/>
        <w:spacing w:after="0" w:line="260" w:lineRule="auto"/>
        <w:rPr>
          <w:sz w:val="20"/>
          <w:szCs w:val="20"/>
          <w:color w:val="auto"/>
        </w:rPr>
      </w:pPr>
      <w:r>
        <w:rPr>
          <w:rFonts w:ascii="Times New Roman" w:cs="Times New Roman" w:eastAsia="Times New Roman" w:hAnsi="Times New Roman"/>
          <w:sz w:val="18"/>
          <w:szCs w:val="18"/>
          <w:color w:val="auto"/>
        </w:rPr>
        <w:t>$760.0 million, in the aggregate, in regulatory and commercial milestone payments. To date, Protalix Ltd. has received the full amount of development costs to which it is entitled under the Chiesi Agreements.</w:t>
      </w:r>
    </w:p>
    <w:p>
      <w:pPr>
        <w:spacing w:after="0" w:line="100"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120" w:lineRule="exact"/>
        <w:rPr>
          <w:sz w:val="20"/>
          <w:szCs w:val="20"/>
          <w:color w:val="auto"/>
        </w:rPr>
      </w:pPr>
    </w:p>
    <w:p>
      <w:pPr>
        <w:ind w:left="980" w:right="460"/>
        <w:spacing w:after="0" w:line="276" w:lineRule="auto"/>
        <w:rPr>
          <w:sz w:val="20"/>
          <w:szCs w:val="20"/>
          <w:color w:val="auto"/>
        </w:rPr>
      </w:pPr>
      <w:r>
        <w:rPr>
          <w:rFonts w:ascii="Times New Roman" w:cs="Times New Roman" w:eastAsia="Times New Roman" w:hAnsi="Times New Roman"/>
          <w:sz w:val="17"/>
          <w:szCs w:val="17"/>
          <w:color w:val="auto"/>
        </w:rPr>
        <w:t>On May 13, 2021, the Company signed a binding term sheet with Chiesi pursuant to which the Company and Chiesi amended the Chiesi Agreements in order to provide the Company with near-term capital. In accordance with the term</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00"/>
        <w:spacing w:after="0" w:line="261" w:lineRule="auto"/>
        <w:rPr>
          <w:sz w:val="20"/>
          <w:szCs w:val="20"/>
          <w:color w:val="auto"/>
        </w:rPr>
      </w:pPr>
      <w:r>
        <w:rPr>
          <w:rFonts w:ascii="Times New Roman" w:cs="Times New Roman" w:eastAsia="Times New Roman" w:hAnsi="Times New Roman"/>
          <w:sz w:val="18"/>
          <w:szCs w:val="18"/>
          <w:color w:val="auto"/>
        </w:rPr>
        <w:t>sheet, Chiesi made a $10.0 million payment to the Company in the second quarter of 2021 in exchange for a $25.0 million reduction in a longer term regulatory milestone payment in the Chiesi EX-US Agreement. All other regulatory and commercial milestone payments remain unchanged. The Company also agreed to negotiate certain manufacturing related matters.</w:t>
      </w:r>
    </w:p>
    <w:p>
      <w:pPr>
        <w:spacing w:after="0" w:line="112" w:lineRule="exact"/>
        <w:rPr>
          <w:sz w:val="20"/>
          <w:szCs w:val="20"/>
          <w:color w:val="auto"/>
        </w:rPr>
      </w:pPr>
    </w:p>
    <w:p>
      <w:pPr>
        <w:ind w:left="980" w:right="60"/>
        <w:spacing w:after="0" w:line="273" w:lineRule="auto"/>
        <w:rPr>
          <w:sz w:val="20"/>
          <w:szCs w:val="20"/>
          <w:color w:val="auto"/>
        </w:rPr>
      </w:pPr>
      <w:r>
        <w:rPr>
          <w:rFonts w:ascii="Times New Roman" w:cs="Times New Roman" w:eastAsia="Times New Roman" w:hAnsi="Times New Roman"/>
          <w:sz w:val="17"/>
          <w:szCs w:val="17"/>
          <w:color w:val="auto"/>
        </w:rPr>
        <w:t>Since its approval by the FDA, taliglucerase alfa has been marketed by Pfizer Inc. (“Pfizer”) under the initial Exclusive License and Supply Agreement (the “Pfizer Agreement”). In October 2015, Protalix Ltd. and Pfizer entered into an amended exclusive license and supply agreement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90" w:lineRule="exact"/>
        <w:rPr>
          <w:sz w:val="20"/>
          <w:szCs w:val="20"/>
          <w:color w:val="auto"/>
        </w:rPr>
      </w:pPr>
    </w:p>
    <w:p>
      <w:pPr>
        <w:ind w:left="980" w:right="60"/>
        <w:spacing w:after="0" w:line="256"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20"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COVID-19, which was declared by the World Health Organization to be a global pandemic on March 11, 2020, has had numerous adverse effects on the global economy. To date, the Company’s clinical trials have not been adversely affected by COVID-19, although certain practices the Company adopted during the earlier stages of the pandemic in its offices and facilities in an effort to promote social distancing resulted in minor delays in the performance of administrative activities outside of the clinical programs. The Company does not know the length of time that the pandemic and related disruptions will continue, the impact of governmental regulations or easement of regulations in response to the strengthening or weakening of the pandemic, or the degree of overall potentially permanent changes in consumer behavior that may be caused by the pandemic.</w:t>
      </w:r>
    </w:p>
    <w:p>
      <w:pPr>
        <w:spacing w:after="0" w:line="124" w:lineRule="exact"/>
        <w:rPr>
          <w:sz w:val="20"/>
          <w:szCs w:val="20"/>
          <w:color w:val="auto"/>
        </w:rPr>
      </w:pPr>
    </w:p>
    <w:p>
      <w:pPr>
        <w:ind w:left="980" w:right="80"/>
        <w:spacing w:after="0" w:line="261" w:lineRule="auto"/>
        <w:rPr>
          <w:sz w:val="20"/>
          <w:szCs w:val="20"/>
          <w:color w:val="auto"/>
        </w:rPr>
      </w:pPr>
      <w:r>
        <w:rPr>
          <w:rFonts w:ascii="Times New Roman" w:cs="Times New Roman" w:eastAsia="Times New Roman" w:hAnsi="Times New Roman"/>
          <w:sz w:val="18"/>
          <w:szCs w:val="18"/>
          <w:color w:val="auto"/>
        </w:rPr>
        <w:t>The Company believes that its cash and cash equivalents and short-term bank deposits as of June 30, 2022 are sufficient to satisfy the Company’s capital needs for at least 12 months from the date that these financial statements are issued. In addition, under the terms of the Company’s outstanding 7.50% Senior Secured Convertible Notes due 2024 (the “2024 Notes”), the Company is required to maintain a minimum cash balance of at least $7.5 million.</w:t>
      </w:r>
    </w:p>
    <w:p>
      <w:pPr>
        <w:spacing w:after="0" w:line="9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87" w:lineRule="exact"/>
        <w:rPr>
          <w:rFonts w:ascii="Times New Roman" w:cs="Times New Roman" w:eastAsia="Times New Roman" w:hAnsi="Times New Roman"/>
          <w:sz w:val="18"/>
          <w:szCs w:val="18"/>
          <w:b w:val="1"/>
          <w:bCs w:val="1"/>
          <w:color w:val="auto"/>
        </w:rPr>
      </w:pPr>
    </w:p>
    <w:p>
      <w:pPr>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2021, filed by the Company with the U.S. Securities and Exchange Commission (the “Commission”). The comparative balance sheet at December 31, 2021 has been derived from the audited financial statements at that date. There have been no material changes in our significant accounting policies as described in our consolidated financial statements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(“LPS”) are computed by dividing net loss by the weighted average number of shares of Common Stock attributable to common stockholders outstanding for each period. The calculation of diluted LPS does not include 32,960,732 and 32,982,043 shares of Common Stock underlying outstanding options and shares of Common Stock issuable upon conversion of the outstanding 2024 Notes and the exercise of outstanding warrants for the three and six months ended June 30, 2022, respectively, and 25,874,641 and 26,322,164 shares of Common Stock underlying outstanding options and shares of Common Stock issuable upon conversion of the Company’s then outstanding 7.50% Senior Secured Convertible Notes due 2021 (the “2021 Notes”) and the exercise of outstanding warrants for the three and six months ended June 30, 2021, respectively, because their effect would be anti-dilutive.</w:t>
      </w:r>
    </w:p>
    <w:p>
      <w:pPr>
        <w:spacing w:after="0" w:line="18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48" w:lineRule="exact"/>
        <w:rPr>
          <w:rFonts w:ascii="Times New Roman" w:cs="Times New Roman" w:eastAsia="Times New Roman" w:hAnsi="Times New Roman"/>
          <w:sz w:val="18"/>
          <w:szCs w:val="18"/>
          <w:b w:val="1"/>
          <w:bCs w:val="1"/>
          <w:color w:val="auto"/>
        </w:rPr>
      </w:pPr>
    </w:p>
    <w:p>
      <w:pPr>
        <w:ind w:left="98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are recorded in the amount of consideration to which the Company expects to be entitled in exchange for performance obligations upon transfer of control to the customer.</w:t>
      </w:r>
    </w:p>
    <w:p>
      <w:pPr>
        <w:spacing w:after="0" w:line="134"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selling products</w:t>
      </w:r>
    </w:p>
    <w:p>
      <w:pPr>
        <w:spacing w:after="0" w:line="184" w:lineRule="exact"/>
        <w:rPr>
          <w:rFonts w:ascii="Times New Roman" w:cs="Times New Roman" w:eastAsia="Times New Roman" w:hAnsi="Times New Roman"/>
          <w:sz w:val="18"/>
          <w:szCs w:val="18"/>
          <w:color w:val="auto"/>
        </w:rPr>
      </w:pPr>
    </w:p>
    <w:p>
      <w:pPr>
        <w:ind w:left="130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revenues from selling goods at a point in time when control over the product is transferred to customers (upon delivery).</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Chiesi Agreements</w:t>
      </w:r>
    </w:p>
    <w:p>
      <w:pPr>
        <w:spacing w:after="0" w:line="184" w:lineRule="exact"/>
        <w:rPr>
          <w:rFonts w:ascii="Times New Roman" w:cs="Times New Roman" w:eastAsia="Times New Roman" w:hAnsi="Times New Roman"/>
          <w:sz w:val="18"/>
          <w:szCs w:val="18"/>
          <w:color w:val="auto"/>
        </w:rPr>
      </w:pPr>
    </w:p>
    <w:p>
      <w:pPr>
        <w:ind w:left="130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identified two performance obligations in Chiesi agreements as follows: (1) the license and research and development services and (2) the contingent performance obligation regarding future manufacturing.</w:t>
      </w:r>
    </w:p>
    <w:p>
      <w:pPr>
        <w:spacing w:after="0" w:line="134" w:lineRule="exact"/>
        <w:rPr>
          <w:rFonts w:ascii="Times New Roman" w:cs="Times New Roman" w:eastAsia="Times New Roman" w:hAnsi="Times New Roman"/>
          <w:sz w:val="18"/>
          <w:szCs w:val="18"/>
          <w:color w:val="auto"/>
        </w:rPr>
      </w:pPr>
    </w:p>
    <w:p>
      <w:pPr>
        <w:ind w:left="1300" w:right="1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17" w:lineRule="exact"/>
        <w:rPr>
          <w:rFonts w:ascii="Times New Roman" w:cs="Times New Roman" w:eastAsia="Times New Roman" w:hAnsi="Times New Roman"/>
          <w:sz w:val="18"/>
          <w:szCs w:val="18"/>
          <w:color w:val="auto"/>
        </w:rPr>
      </w:pPr>
    </w:p>
    <w:p>
      <w:pPr>
        <w:jc w:val="both"/>
        <w:ind w:left="130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135" w:lineRule="exact"/>
        <w:rPr>
          <w:rFonts w:ascii="Times New Roman" w:cs="Times New Roman" w:eastAsia="Times New Roman" w:hAnsi="Times New Roman"/>
          <w:sz w:val="18"/>
          <w:szCs w:val="18"/>
          <w:color w:val="auto"/>
        </w:rPr>
      </w:pPr>
    </w:p>
    <w:p>
      <w:pPr>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61" w:lineRule="exact"/>
        <w:rPr>
          <w:rFonts w:ascii="Times New Roman" w:cs="Times New Roman" w:eastAsia="Times New Roman" w:hAnsi="Times New Roman"/>
          <w:sz w:val="18"/>
          <w:szCs w:val="18"/>
          <w:color w:val="auto"/>
        </w:rPr>
      </w:pPr>
    </w:p>
    <w:p>
      <w:pPr>
        <w:ind w:left="130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ectPr>
          <w:pgSz w:w="11900" w:h="16838" w:orient="portrait"/>
          <w:cols w:equalWidth="0" w:num="1">
            <w:col w:w="9920"/>
          </w:cols>
          <w:pgMar w:left="980" w:top="661" w:right="99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120" w:right="18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pacing w:after="0" w:line="121"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R&amp;D services</w:t>
      </w:r>
    </w:p>
    <w:p>
      <w:pPr>
        <w:spacing w:after="0" w:line="184" w:lineRule="exact"/>
        <w:rPr>
          <w:rFonts w:ascii="Times New Roman" w:cs="Times New Roman" w:eastAsia="Times New Roman" w:hAnsi="Times New Roman"/>
          <w:sz w:val="18"/>
          <w:szCs w:val="18"/>
          <w:color w:val="auto"/>
        </w:rPr>
      </w:pPr>
    </w:p>
    <w:p>
      <w:pPr>
        <w:ind w:left="130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research and development services is recognized over time using the cost-to-cost method since the customer benefits from the research and development services as the entity performs the service.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NOTE 2</w:t>
            </w:r>
          </w:p>
        </w:tc>
        <w:tc>
          <w:tcPr>
            <w:tcW w:w="6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INVENTORIES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at June 30, 2022 and December 31, 2021 consisted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spacing w:after="0"/>
              <w:rPr>
                <w:sz w:val="24"/>
                <w:szCs w:val="24"/>
                <w:color w:val="auto"/>
              </w:rPr>
            </w:pPr>
          </w:p>
        </w:tc>
        <w:tc>
          <w:tcPr>
            <w:tcW w:w="62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NOTE 3</w:t>
            </w:r>
          </w:p>
        </w:tc>
        <w:tc>
          <w:tcPr>
            <w:tcW w:w="6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FAIR VALUE MEASUREMENT</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vMerge w:val="continue"/>
          </w:tcPr>
          <w:p>
            <w:pPr>
              <w:spacing w:after="0"/>
              <w:rPr>
                <w:sz w:val="24"/>
                <w:szCs w:val="24"/>
                <w:color w:val="auto"/>
              </w:rPr>
            </w:pPr>
          </w:p>
        </w:tc>
        <w:tc>
          <w:tcPr>
            <w:tcW w:w="6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35"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35"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usually identical or close to their carrying value.</w:t>
      </w:r>
    </w:p>
    <w:p>
      <w:pPr>
        <w:spacing w:after="0" w:line="121" w:lineRule="exact"/>
        <w:rPr>
          <w:sz w:val="20"/>
          <w:szCs w:val="20"/>
          <w:color w:val="auto"/>
        </w:rPr>
      </w:pPr>
    </w:p>
    <w:p>
      <w:pPr>
        <w:ind w:left="640" w:right="120"/>
        <w:spacing w:after="0" w:line="282" w:lineRule="auto"/>
        <w:rPr>
          <w:sz w:val="20"/>
          <w:szCs w:val="20"/>
          <w:color w:val="auto"/>
        </w:rPr>
      </w:pPr>
      <w:r>
        <w:rPr>
          <w:rFonts w:ascii="Times New Roman" w:cs="Times New Roman" w:eastAsia="Times New Roman" w:hAnsi="Times New Roman"/>
          <w:sz w:val="18"/>
          <w:szCs w:val="18"/>
          <w:color w:val="auto"/>
        </w:rPr>
        <w:t>As of June 30, 2022, the carrying amounts of short-term deposits approximate their fair values due to the stated interest rates, which approximate market rates.</w:t>
      </w:r>
    </w:p>
    <w:p>
      <w:pPr>
        <w:spacing w:after="0" w:line="3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661" w:right="11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640"/>
        <w:spacing w:after="0" w:line="266" w:lineRule="auto"/>
        <w:rPr>
          <w:sz w:val="20"/>
          <w:szCs w:val="20"/>
          <w:color w:val="auto"/>
        </w:rPr>
      </w:pPr>
      <w:r>
        <w:rPr>
          <w:rFonts w:ascii="Times New Roman" w:cs="Times New Roman" w:eastAsia="Times New Roman" w:hAnsi="Times New Roman"/>
          <w:sz w:val="18"/>
          <w:szCs w:val="18"/>
          <w:color w:val="auto"/>
        </w:rPr>
        <w:t>Based on a Level 3 measurement, as of June 30, 2022, the fair value of the $28.75 million aggregate principal amount of the Company’s outstanding 2024 Notes is approximately $32.3 million. The value of these notes was estimated by implementing the binomial model. The liability component was valued based on the Income Approach. The following parameters were used:</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2024 Notes</w:t>
            </w:r>
          </w:p>
        </w:tc>
        <w:tc>
          <w:tcPr>
            <w:tcW w:w="200" w:type="dxa"/>
            <w:vAlign w:val="bottom"/>
            <w:tcBorders>
              <w:bottom w:val="single" w:sz="8" w:color="CCEEFF"/>
            </w:tcBorders>
          </w:tcPr>
          <w:p>
            <w:pPr>
              <w:spacing w:after="0"/>
              <w:rPr>
                <w:sz w:val="15"/>
                <w:szCs w:val="15"/>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disaggregation of revenues: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9"/>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0" w:type="dxa"/>
            <w:vAlign w:val="bottom"/>
          </w:tcPr>
          <w:p>
            <w:pPr>
              <w:spacing w:after="0"/>
              <w:rPr>
                <w:sz w:val="1"/>
                <w:szCs w:val="1"/>
                <w:color w:val="auto"/>
              </w:rPr>
            </w:pPr>
          </w:p>
        </w:tc>
      </w:tr>
      <w:tr>
        <w:trPr>
          <w:trHeight w:val="197"/>
        </w:trPr>
        <w:tc>
          <w:tcPr>
            <w:tcW w:w="3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5,371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3,184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12,428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SHARE CAPITAL</w:t>
      </w:r>
    </w:p>
    <w:p>
      <w:pPr>
        <w:spacing w:after="0" w:line="198" w:lineRule="exact"/>
        <w:rPr>
          <w:sz w:val="20"/>
          <w:szCs w:val="20"/>
          <w:color w:val="auto"/>
        </w:rPr>
      </w:pPr>
    </w:p>
    <w:p>
      <w:pPr>
        <w:ind w:left="1340" w:hanging="657"/>
        <w:spacing w:after="0"/>
        <w:tabs>
          <w:tab w:leader="none" w:pos="1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Capital</w:t>
      </w:r>
    </w:p>
    <w:p>
      <w:pPr>
        <w:spacing w:after="0" w:line="229" w:lineRule="exact"/>
        <w:rPr>
          <w:sz w:val="20"/>
          <w:szCs w:val="20"/>
          <w:color w:val="auto"/>
        </w:rPr>
      </w:pPr>
    </w:p>
    <w:p>
      <w:pPr>
        <w:ind w:left="1300" w:right="40"/>
        <w:spacing w:after="0" w:line="258" w:lineRule="auto"/>
        <w:rPr>
          <w:sz w:val="20"/>
          <w:szCs w:val="20"/>
          <w:color w:val="auto"/>
        </w:rPr>
      </w:pPr>
      <w:r>
        <w:rPr>
          <w:rFonts w:ascii="Times New Roman" w:cs="Times New Roman" w:eastAsia="Times New Roman" w:hAnsi="Times New Roman"/>
          <w:sz w:val="18"/>
          <w:szCs w:val="18"/>
          <w:color w:val="auto"/>
        </w:rPr>
        <w:t>On June 30, 2022, the Company held its 2022 Annual Meeting of Stockholders (the “Annual Meeting”). At the Annual Meeting, the Company’s stockholders, among other matters, approved an amendment to the Company’s Certificate of Incorporation, as amended, to increase the number of shares of Common Stock authorized for issuance from 120,000,000 to 144,000,000 (the “Charter Amendment”). The Charter Amendment was filed with the Secretary of State of the State of Delaware on August 2, 2022.</w:t>
      </w:r>
    </w:p>
    <w:p>
      <w:pPr>
        <w:spacing w:after="0" w:line="179" w:lineRule="exact"/>
        <w:rPr>
          <w:sz w:val="20"/>
          <w:szCs w:val="20"/>
          <w:color w:val="auto"/>
        </w:rPr>
      </w:pPr>
    </w:p>
    <w:p>
      <w:pPr>
        <w:ind w:left="1340" w:hanging="657"/>
        <w:spacing w:after="0"/>
        <w:tabs>
          <w:tab w:leader="none" w:pos="1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rFonts w:ascii="Times New Roman" w:cs="Times New Roman" w:eastAsia="Times New Roman" w:hAnsi="Times New Roman"/>
          <w:sz w:val="18"/>
          <w:szCs w:val="18"/>
          <w:b w:val="1"/>
          <w:bCs w:val="1"/>
          <w:color w:val="auto"/>
        </w:rPr>
      </w:pPr>
    </w:p>
    <w:p>
      <w:pPr>
        <w:ind w:left="1980" w:right="140" w:hanging="649"/>
        <w:spacing w:after="0" w:line="282" w:lineRule="auto"/>
        <w:tabs>
          <w:tab w:leader="none" w:pos="1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25, 2022, the Company granted, with the approval of the Company’s compensation committee, the following:</w:t>
      </w:r>
    </w:p>
    <w:p>
      <w:pPr>
        <w:spacing w:after="0" w:line="162" w:lineRule="exact"/>
        <w:rPr>
          <w:sz w:val="20"/>
          <w:szCs w:val="20"/>
          <w:color w:val="auto"/>
        </w:rPr>
      </w:pPr>
    </w:p>
    <w:p>
      <w:pPr>
        <w:ind w:left="2520" w:right="120" w:hanging="568"/>
        <w:spacing w:after="0" w:line="261" w:lineRule="auto"/>
        <w:tabs>
          <w:tab w:leader="none" w:pos="2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637,531 shares of restricted Common Stock to its President, Chief Executive Officer under the Company’s Amended and Restated 2006 Employee Stock Incentive Plan, as amended (the “Plan”). The Company estimated the fair value of the restricted stock on the date of grant to be approximately $523,000.</w:t>
      </w:r>
    </w:p>
    <w:p>
      <w:pPr>
        <w:spacing w:after="0" w:line="180" w:lineRule="exact"/>
        <w:rPr>
          <w:sz w:val="20"/>
          <w:szCs w:val="20"/>
          <w:color w:val="auto"/>
        </w:rPr>
      </w:pPr>
    </w:p>
    <w:p>
      <w:pPr>
        <w:ind w:left="2520" w:right="20" w:hanging="568"/>
        <w:spacing w:after="0" w:line="266" w:lineRule="auto"/>
        <w:tabs>
          <w:tab w:leader="none" w:pos="25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121,951 shares of restricted Common Stock to its Sr. Vice President, Chief Financial Officer under the Plan. The Company estimated the fair value of the restricted stock on the date of grant to be approximately $100,000.</w:t>
      </w:r>
    </w:p>
    <w:p>
      <w:pPr>
        <w:spacing w:after="0" w:line="175" w:lineRule="exact"/>
        <w:rPr>
          <w:rFonts w:ascii="Times New Roman" w:cs="Times New Roman" w:eastAsia="Times New Roman" w:hAnsi="Times New Roman"/>
          <w:sz w:val="18"/>
          <w:szCs w:val="18"/>
          <w:color w:val="auto"/>
        </w:rPr>
      </w:pPr>
    </w:p>
    <w:p>
      <w:pPr>
        <w:ind w:left="1960" w:right="80" w:hanging="656"/>
        <w:spacing w:after="0" w:line="254"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2022, the Company granted 10-year options to purchase 40,000 shares of Common Stock to a new director serving on the Company’s Board of Directors under the Plan. The options have an exercise price equal to $1.09 per share and vest over a four-year period in 16 equal quarterly increments. Vesting of the options granted to the director is subject to automatic acceleration in full upon a Corporate Transaction or a Change in Control, as those terms are defined in the Plan, and are subject to certain other terms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1960" w:right="100"/>
        <w:spacing w:after="0" w:line="261" w:lineRule="auto"/>
        <w:rPr>
          <w:sz w:val="20"/>
          <w:szCs w:val="20"/>
          <w:color w:val="auto"/>
        </w:rPr>
      </w:pPr>
      <w:r>
        <w:rPr>
          <w:rFonts w:ascii="Times New Roman" w:cs="Times New Roman" w:eastAsia="Times New Roman" w:hAnsi="Times New Roman"/>
          <w:sz w:val="18"/>
          <w:szCs w:val="18"/>
          <w:color w:val="auto"/>
        </w:rPr>
        <w:t>conditions. The Company estimated the fair value of the options on the date of grant using the Black-Scholes option-pricing model to be approximately $32,000 based on the following weighted average assumptions: share price equal to $1.09; dividend yield of 0% for all years; expected volatility of 85.95%; risk-free interest rate of 3.025%; and expected life of six years.</w:t>
      </w:r>
    </w:p>
    <w:p>
      <w:pPr>
        <w:spacing w:after="0" w:line="180" w:lineRule="exact"/>
        <w:rPr>
          <w:sz w:val="20"/>
          <w:szCs w:val="20"/>
          <w:color w:val="auto"/>
        </w:rPr>
      </w:pPr>
    </w:p>
    <w:p>
      <w:pPr>
        <w:ind w:left="1960" w:right="180" w:hanging="656"/>
        <w:spacing w:after="0" w:line="266"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the Company’s stockholders, among other matters, adopted amendments to the Plan to increase the number of shares of Common Stock available under the Plan from 5,725,171 shares to 8,475,171 shares and to amend certain other terms of the Plan.</w:t>
      </w:r>
    </w:p>
    <w:p>
      <w:pPr>
        <w:spacing w:after="0" w:line="171" w:lineRule="exact"/>
        <w:rPr>
          <w:rFonts w:ascii="Times New Roman" w:cs="Times New Roman" w:eastAsia="Times New Roman" w:hAnsi="Times New Roman"/>
          <w:sz w:val="18"/>
          <w:szCs w:val="18"/>
          <w:color w:val="auto"/>
        </w:rPr>
      </w:pPr>
    </w:p>
    <w:p>
      <w:pPr>
        <w:ind w:left="1340" w:hanging="657"/>
        <w:spacing w:after="0"/>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At-the-Market (ATM) Offering</w:t>
      </w:r>
    </w:p>
    <w:p>
      <w:pPr>
        <w:spacing w:after="0" w:line="229"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2022, the Company sold, in the aggregate, 2,395,823 shares of Common Stock under the Sales Agreement. The Company generated aggregate gross proceeds equal to approximately $2.8 million in connection with such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EVENTS</w:t>
      </w:r>
    </w:p>
    <w:p>
      <w:pPr>
        <w:spacing w:after="0" w:line="229" w:lineRule="exact"/>
        <w:rPr>
          <w:sz w:val="20"/>
          <w:szCs w:val="20"/>
          <w:color w:val="auto"/>
        </w:rPr>
      </w:pPr>
    </w:p>
    <w:p>
      <w:pPr>
        <w:ind w:left="660" w:right="140"/>
        <w:spacing w:after="0" w:line="276" w:lineRule="auto"/>
        <w:rPr>
          <w:sz w:val="20"/>
          <w:szCs w:val="20"/>
          <w:color w:val="auto"/>
        </w:rPr>
      </w:pPr>
      <w:r>
        <w:rPr>
          <w:rFonts w:ascii="Times New Roman" w:cs="Times New Roman" w:eastAsia="Times New Roman" w:hAnsi="Times New Roman"/>
          <w:sz w:val="17"/>
          <w:szCs w:val="17"/>
          <w:color w:val="auto"/>
        </w:rPr>
        <w:t>On August 1, 2022, the Company granted 10-year options to purchase 160,000 shares of Common Stock to a new employee of the Company under the Plan. The options have an exercise price equal to $1.06 per share and vest over a four-year period in</w:t>
      </w:r>
    </w:p>
    <w:p>
      <w:pPr>
        <w:spacing w:after="0" w:line="1" w:lineRule="exact"/>
        <w:rPr>
          <w:sz w:val="20"/>
          <w:szCs w:val="20"/>
          <w:color w:val="auto"/>
        </w:rPr>
      </w:pPr>
    </w:p>
    <w:p>
      <w:pPr>
        <w:jc w:val="both"/>
        <w:ind w:left="660" w:right="20"/>
        <w:spacing w:after="0" w:line="253" w:lineRule="auto"/>
        <w:rPr>
          <w:sz w:val="20"/>
          <w:szCs w:val="20"/>
          <w:color w:val="auto"/>
        </w:rPr>
      </w:pPr>
      <w:r>
        <w:rPr>
          <w:rFonts w:ascii="Times New Roman" w:cs="Times New Roman" w:eastAsia="Times New Roman" w:hAnsi="Times New Roman"/>
          <w:sz w:val="18"/>
          <w:szCs w:val="18"/>
          <w:color w:val="auto"/>
        </w:rPr>
        <w:t>16 equal quarterly increments. The Company estimated the fair value of the options on the date of grant using the Black-Scholes option-pricing model to be approximately $124,000 based on the following weighted average assumptions: share price equal to $1.06; dividend yield of 0% for all years; expected volatility of 85.95%; risk-free interest rate of 2.65%; and expected life of six years.</w:t>
      </w:r>
    </w:p>
    <w:p>
      <w:pPr>
        <w:spacing w:after="0" w:line="148" w:lineRule="exact"/>
        <w:rPr>
          <w:sz w:val="20"/>
          <w:szCs w:val="20"/>
          <w:color w:val="auto"/>
        </w:rPr>
      </w:pPr>
    </w:p>
    <w:p>
      <w:pPr>
        <w:ind w:left="660" w:right="440"/>
        <w:spacing w:after="0" w:line="266" w:lineRule="auto"/>
        <w:rPr>
          <w:sz w:val="20"/>
          <w:szCs w:val="20"/>
          <w:color w:val="auto"/>
        </w:rPr>
      </w:pPr>
      <w:r>
        <w:rPr>
          <w:rFonts w:ascii="Times New Roman" w:cs="Times New Roman" w:eastAsia="Times New Roman" w:hAnsi="Times New Roman"/>
          <w:sz w:val="18"/>
          <w:szCs w:val="18"/>
          <w:color w:val="auto"/>
        </w:rPr>
        <w:t>During July and August 2022, the Company sold, in the aggregate, 1,040,457 shares of Common Stock under the Sales Agreement. The Company generated aggregate gross proceeds equal to approximately $1,152,650 in connection with such sales.</w:t>
      </w:r>
    </w:p>
    <w:p>
      <w:pPr>
        <w:spacing w:after="0" w:line="149" w:lineRule="exact"/>
        <w:rPr>
          <w:sz w:val="20"/>
          <w:szCs w:val="20"/>
          <w:color w:val="auto"/>
        </w:rPr>
      </w:pPr>
    </w:p>
    <w:p>
      <w:pPr>
        <w:ind w:left="660" w:right="440"/>
        <w:spacing w:after="0" w:line="312" w:lineRule="auto"/>
        <w:rPr>
          <w:sz w:val="20"/>
          <w:szCs w:val="20"/>
          <w:color w:val="auto"/>
        </w:rPr>
      </w:pPr>
      <w:r>
        <w:rPr>
          <w:rFonts w:ascii="Times New Roman" w:cs="Times New Roman" w:eastAsia="Times New Roman" w:hAnsi="Times New Roman"/>
          <w:sz w:val="17"/>
          <w:szCs w:val="17"/>
          <w:color w:val="auto"/>
        </w:rPr>
        <w:t>On July 17, 2022, the Company collected approximately $1.1 million from sales to Pfizer. On July 18, 2022, the Company collected approximately $1.1 million from expense reimbursements in connection with its collaboration with Chiesi.</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2021.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8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and progress of the preparation of a BLA resubmission for PRX-102 addressing the CRL;</w:t>
      </w:r>
    </w:p>
    <w:p>
      <w:pPr>
        <w:spacing w:after="0" w:line="198" w:lineRule="exact"/>
        <w:rPr>
          <w:rFonts w:ascii="Times New Roman" w:cs="Times New Roman" w:eastAsia="Times New Roman" w:hAnsi="Times New Roman"/>
          <w:sz w:val="18"/>
          <w:szCs w:val="18"/>
          <w:color w:val="auto"/>
        </w:rPr>
      </w:pPr>
    </w:p>
    <w:p>
      <w:pPr>
        <w:ind w:right="200" w:firstLine="656"/>
        <w:spacing w:after="0" w:line="28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progress and likelihood of final approval by the FDA and the EMA of a resubmitted BLA and of an MAA, respectively, for PRX-102, and, if approved, whether the use of PRX-102 will be commercially successful;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that the FDA, EMA or other applicable health regulatory authorities will approve an alternative dosing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regimen;</w:t>
      </w:r>
    </w:p>
    <w:p>
      <w:pPr>
        <w:spacing w:after="0" w:line="166" w:lineRule="exact"/>
        <w:rPr>
          <w:rFonts w:ascii="Times New Roman" w:cs="Times New Roman" w:eastAsia="Times New Roman" w:hAnsi="Times New Roman"/>
          <w:sz w:val="18"/>
          <w:szCs w:val="18"/>
          <w:color w:val="auto"/>
        </w:rPr>
      </w:pPr>
    </w:p>
    <w:p>
      <w:pPr>
        <w:ind w:right="60" w:firstLine="656"/>
        <w:spacing w:after="0" w:line="258"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w:t>
      </w:r>
    </w:p>
    <w:p>
      <w:pPr>
        <w:spacing w:after="0" w:line="156" w:lineRule="exact"/>
        <w:rPr>
          <w:rFonts w:ascii="Times New Roman" w:cs="Times New Roman" w:eastAsia="Times New Roman" w:hAnsi="Times New Roman"/>
          <w:sz w:val="18"/>
          <w:szCs w:val="18"/>
          <w:color w:val="auto"/>
        </w:rPr>
      </w:pPr>
    </w:p>
    <w:p>
      <w:pPr>
        <w:ind w:right="80" w:firstLine="656"/>
        <w:spacing w:after="0" w:line="28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FDA, EMA, or other foreign regulatory authorities may not accept or approve a marketing application we file for any of our product candidates, and other risks relating to the review process;</w:t>
      </w:r>
    </w:p>
    <w:p>
      <w:pPr>
        <w:spacing w:after="0" w:line="121" w:lineRule="exact"/>
        <w:rPr>
          <w:rFonts w:ascii="Times New Roman" w:cs="Times New Roman" w:eastAsia="Times New Roman" w:hAnsi="Times New Roman"/>
          <w:sz w:val="18"/>
          <w:szCs w:val="18"/>
          <w:color w:val="auto"/>
        </w:rPr>
      </w:pPr>
    </w:p>
    <w:p>
      <w:pPr>
        <w:ind w:right="500" w:firstLine="656"/>
        <w:spacing w:after="0" w:line="28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COVID-19 outbreak and variants which may adversely impact our business, preclinical studies and clinical trials;</w:t>
      </w:r>
    </w:p>
    <w:p>
      <w:pPr>
        <w:spacing w:after="0" w:line="121" w:lineRule="exact"/>
        <w:rPr>
          <w:rFonts w:ascii="Times New Roman" w:cs="Times New Roman" w:eastAsia="Times New Roman" w:hAnsi="Times New Roman"/>
          <w:sz w:val="18"/>
          <w:szCs w:val="18"/>
          <w:color w:val="auto"/>
        </w:rPr>
      </w:pPr>
    </w:p>
    <w:p>
      <w:pPr>
        <w:ind w:right="140" w:firstLine="656"/>
        <w:spacing w:after="0" w:line="28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alternatives;</w:t>
      </w:r>
    </w:p>
    <w:p>
      <w:pPr>
        <w:spacing w:after="0" w:line="184" w:lineRule="exact"/>
        <w:rPr>
          <w:rFonts w:ascii="Times New Roman" w:cs="Times New Roman" w:eastAsia="Times New Roman" w:hAnsi="Times New Roman"/>
          <w:sz w:val="18"/>
          <w:szCs w:val="18"/>
          <w:color w:val="auto"/>
        </w:rPr>
      </w:pPr>
    </w:p>
    <w:p>
      <w:pPr>
        <w:ind w:firstLine="656"/>
        <w:spacing w:after="0" w:line="312" w:lineRule="auto"/>
        <w:tabs>
          <w:tab w:leader="none" w:pos="12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9" w:lineRule="exact"/>
        <w:rPr>
          <w:rFonts w:ascii="Times New Roman" w:cs="Times New Roman" w:eastAsia="Times New Roman" w:hAnsi="Times New Roman"/>
          <w:sz w:val="17"/>
          <w:szCs w:val="17"/>
          <w:color w:val="auto"/>
        </w:rPr>
      </w:pPr>
    </w:p>
    <w:p>
      <w:pPr>
        <w:ind w:right="340" w:firstLine="656"/>
        <w:spacing w:after="0" w:line="28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maintain and manage our relationship with our collaborators, distributors or partners, including, but not limited to, Pfizer and Chiesi;</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and cash equivalents;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firstLine="656"/>
        <w:spacing w:after="0" w:line="282"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make scheduled payments of the principal of, to pay interest on or to refinance our outstanding notes or any other indebtedness;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66" w:lineRule="exact"/>
        <w:rPr>
          <w:rFonts w:ascii="Times New Roman" w:cs="Times New Roman" w:eastAsia="Times New Roman" w:hAnsi="Times New Roman"/>
          <w:sz w:val="18"/>
          <w:szCs w:val="18"/>
          <w:color w:val="auto"/>
        </w:rPr>
      </w:pPr>
    </w:p>
    <w:p>
      <w:pPr>
        <w:ind w:right="460" w:firstLine="656"/>
        <w:spacing w:after="0" w:line="282"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preparation and filing of applications for regulatory approval; the inherent risks and uncertainties in developing drug platforms and products of the type we are developing;</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 and institutions;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product liability and other necessary insurance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w:t>
      </w:r>
    </w:p>
    <w:p>
      <w:pPr>
        <w:spacing w:after="0" w:line="1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 to Pfizer;</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potential commercial value of our product and product candidates;</w:t>
      </w:r>
    </w:p>
    <w:p>
      <w:pPr>
        <w:spacing w:after="0" w:line="184" w:lineRule="exact"/>
        <w:rPr>
          <w:rFonts w:ascii="Times New Roman" w:cs="Times New Roman" w:eastAsia="Times New Roman" w:hAnsi="Times New Roman"/>
          <w:sz w:val="18"/>
          <w:szCs w:val="18"/>
          <w:color w:val="auto"/>
        </w:rPr>
      </w:pPr>
    </w:p>
    <w:p>
      <w:pPr>
        <w:ind w:right="400" w:firstLine="656"/>
        <w:spacing w:after="0" w:line="282"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Fiocruz with its purchase obligations under our supply and technology transfer agreement, which may have a material adverse effect on us and may also result in the termination of such agreement;</w:t>
      </w:r>
    </w:p>
    <w:p>
      <w:pPr>
        <w:spacing w:after="0" w:line="121" w:lineRule="exact"/>
        <w:rPr>
          <w:rFonts w:ascii="Times New Roman" w:cs="Times New Roman" w:eastAsia="Times New Roman" w:hAnsi="Times New Roman"/>
          <w:sz w:val="18"/>
          <w:szCs w:val="18"/>
          <w:color w:val="auto"/>
        </w:rPr>
      </w:pPr>
    </w:p>
    <w:p>
      <w:pPr>
        <w:ind w:right="100" w:firstLine="656"/>
        <w:spacing w:after="0" w:line="282"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4" w:lineRule="exact"/>
        <w:rPr>
          <w:rFonts w:ascii="Times New Roman" w:cs="Times New Roman" w:eastAsia="Times New Roman" w:hAnsi="Times New Roman"/>
          <w:sz w:val="18"/>
          <w:szCs w:val="18"/>
          <w:color w:val="auto"/>
        </w:rPr>
      </w:pPr>
    </w:p>
    <w:p>
      <w:pPr>
        <w:ind w:right="40" w:firstLine="656"/>
        <w:spacing w:after="0" w:line="266"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possible disruption of our operations due to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Company Developments</w:t>
      </w:r>
    </w:p>
    <w:p>
      <w:pPr>
        <w:spacing w:after="0" w:line="202" w:lineRule="exact"/>
        <w:rPr>
          <w:sz w:val="20"/>
          <w:szCs w:val="20"/>
          <w:color w:val="auto"/>
        </w:rPr>
      </w:pPr>
    </w:p>
    <w:p>
      <w:pPr>
        <w:ind w:right="140" w:firstLine="656"/>
        <w:spacing w:after="0" w:line="255" w:lineRule="auto"/>
        <w:tabs>
          <w:tab w:leader="none" w:pos="9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2022, we held our Annual Meeting at which our stockholders: (1) elected the six persons nominated by our Board of Directors to serve as directors of our Company; (2) approved, on a non-binding, advisory basis, the compensation of our named executive officers; (3) adopted the amendments to the Plan to increase the number of shares of common stock available under the plan from 5,725,171 shares to 8,475,171 shares and to amend certain other terms of the Plan; (4) approved the Charter Amendment; and (5) ratified the appointment of Kesselman &amp; Kesselman, Certified Public Accountants (Isr.), a member of PricewaterhouseCoopers International Limited, as our independent registered public accounting firm for the fiscal year ending December 31, 2022. The Charter Amendment was filed with the Secretary of State of the State of Delaware on August 2, 2022.</w:t>
      </w:r>
    </w:p>
    <w:p>
      <w:pPr>
        <w:spacing w:after="0" w:line="148" w:lineRule="exact"/>
        <w:rPr>
          <w:rFonts w:ascii="Times New Roman" w:cs="Times New Roman" w:eastAsia="Times New Roman" w:hAnsi="Times New Roman"/>
          <w:sz w:val="18"/>
          <w:szCs w:val="18"/>
          <w:color w:val="auto"/>
        </w:rPr>
      </w:pPr>
    </w:p>
    <w:p>
      <w:pPr>
        <w:ind w:right="220" w:firstLine="656"/>
        <w:spacing w:after="0" w:line="282" w:lineRule="auto"/>
        <w:tabs>
          <w:tab w:leader="none" w:pos="9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2022, Shmuel “Muli” Ben Zvi, Ph.D. joined our Board of Directors. Dr. Ben Zvi is the new Chairman of the Audit Committee and is also serving on the Compensation Committee.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light of recent developments relating to the COVID-19 pandemic, the focus of healthcare providers and hospitals on fighting the virus, and consistent with the FDA’s updated industry guidance for conducting clinical trials issued on March 18, 2020, we and our contract research organizations have made certain adjustments to the operation of our clinical trials in an effort to ensure the monitoring and safety of patients and minimize risk to trial integrity during the pandemic and generally, and we may need to make adjustments again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 close contact with our principal investigators and clinical sites and our clinical research organizations, which are primarily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in the United States and Europe, and to date, the COVID-19 pandemic has had a minimal effect on the performance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phase III clinical trials of PRX-102 as many of the patients were already treated in home care settings. We were able to complete all three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clinical trials.</w:t>
      </w:r>
    </w:p>
    <w:p>
      <w:pPr>
        <w:sectPr>
          <w:pgSz w:w="11900" w:h="16838" w:orient="portrait"/>
          <w:cols w:equalWidth="0" w:num="1">
            <w:col w:w="9900"/>
          </w:cols>
          <w:pgMar w:left="980" w:top="661" w:right="1019"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will continue to evaluate the impact of the COVID-19 pandemic and its variants on our business as we learn more and the impact of COVID-19 on our industry becomes more clear. We intend to continuously assess the impact of COVID-19 on our extension trials, expected timelines and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202" w:lineRule="exact"/>
        <w:rPr>
          <w:sz w:val="20"/>
          <w:szCs w:val="20"/>
          <w:color w:val="auto"/>
        </w:rPr>
      </w:pPr>
    </w:p>
    <w:p>
      <w:pPr>
        <w:ind w:firstLine="656"/>
        <w:spacing w:after="0" w:line="258" w:lineRule="auto"/>
        <w:tabs>
          <w:tab w:leader="none" w:pos="9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42" w:lineRule="exact"/>
        <w:rPr>
          <w:rFonts w:ascii="Times New Roman" w:cs="Times New Roman" w:eastAsia="Times New Roman" w:hAnsi="Times New Roman"/>
          <w:sz w:val="18"/>
          <w:szCs w:val="18"/>
          <w:color w:val="auto"/>
        </w:rPr>
      </w:pPr>
    </w:p>
    <w:p>
      <w:pPr>
        <w:ind w:right="20" w:firstLine="656"/>
        <w:spacing w:after="0" w:line="261" w:lineRule="auto"/>
        <w:tabs>
          <w:tab w:leader="none" w:pos="9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rFonts w:ascii="Times New Roman" w:cs="Times New Roman" w:eastAsia="Times New Roman" w:hAnsi="Times New Roman"/>
          <w:sz w:val="18"/>
          <w:szCs w:val="18"/>
          <w:color w:val="auto"/>
        </w:rPr>
      </w:pPr>
    </w:p>
    <w:p>
      <w:pPr>
        <w:jc w:val="both"/>
        <w:ind w:right="200" w:firstLine="656"/>
        <w:spacing w:after="0" w:line="261" w:lineRule="auto"/>
        <w:tabs>
          <w:tab w:leader="none" w:pos="9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first and only company to gain FDA approval of a protein produced through plant cell-based expression.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6172200" cy="2623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172200" cy="258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6172200" cy="1329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Pegunigalsidase Alfa (PRX-102) for the Treatment of Fabry Disease</w:t>
      </w:r>
    </w:p>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PRX-102 is our lead product candidate and we expect it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α-galactosidase-A resulting in the progressive accumulation of abnormal deposits of a fatty substance called globotriaosylceramide, 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blood vessel walls throughout their body. The abnormal storage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increases with time. The ultimate consequences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 The global market for Fabry disease was approximately $1.9 billion in 2021, and forecasted to be approximately $2.1 billion in 2022, and is forecasted to grow at a CAGR of approximately 10% from 2020-2027.</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7, 2022, the PRX-102 MAA was submitted to, and subsequently validated by, the EMA. The submission was made after the October 8, 2021 meeting we held, together with Chiesi, with the Rapporteur and Co-Rapporteur of the EMA regarding PRX-102. At the meeting, we and Chiesi discussed the scope of the anticipated MAA submission for the European Union, and the Rapporteur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and Co-Rapporteur were generally supportive of the planned MAA submission. The MAA submission includes a comprehensive set of preclinical, clinical and manufacturing data compiled from our completed and ongoing clinical studies evaluating PRX-102 as a potential treatment of Fabry disease in adults. The submission is supported by the 12–month interim data analysis generated from our phase III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clinical trial of PRX-102, which was released in June 2021. Data generated from the completed phase III</w:t>
      </w:r>
      <w:r>
        <w:rPr>
          <w:rFonts w:ascii="Times New Roman" w:cs="Times New Roman" w:eastAsia="Times New Roman" w:hAnsi="Times New Roman"/>
          <w:sz w:val="18"/>
          <w:szCs w:val="18"/>
          <w:i w:val="1"/>
          <w:iCs w:val="1"/>
          <w:color w:val="auto"/>
        </w:rPr>
        <w:t xml:space="preserve"> BRIDGE </w:t>
      </w:r>
      <w:r>
        <w:rPr>
          <w:rFonts w:ascii="Times New Roman" w:cs="Times New Roman" w:eastAsia="Times New Roman" w:hAnsi="Times New Roman"/>
          <w:sz w:val="18"/>
          <w:szCs w:val="18"/>
          <w:color w:val="auto"/>
        </w:rPr>
        <w:t>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trial, the phase I/II clinical trial in naive or untreated patients, and from the extension studies with 1 mg/kg every two weeks were also included in the filing. In addition, the MAA includes data from the completed 12–month switch–over phase III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clinical trial of adult patients treated with the 2 mg/kg every 4 weeks dosage.</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initial BLA submitted on May 27, 2020 included a comprehensive set of preclinical, clinical and manufacturing data compiled from our completed phase I/II clinical trial of PRX-102, including the related extension study succeeding our phase I/II clinical trial, interim clinical data from our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safety data from our on-going clinical studies of PRX-102 in adult patients receiving 1 mg/kg every other week.</w:t>
      </w:r>
    </w:p>
    <w:p>
      <w:pPr>
        <w:spacing w:after="0" w:line="15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April 28, 2021, we, together with Chiesi, announced the receipt of a CRL from the FDA regarding the BLA. The CRL did not report any concerns relating to the potential safety or efficacy of PRX-102 in the submitted data package. In the CRL, the FDA noted that an inspection of Protalix’s manufacturing facility in Carmiel, Israel, including a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FFDCA in lieu of a pre-licensing inspection. In the CRL, the FDA stated that it will communicate remaining issues to the facility in order to seek prompt resolution of any pending items. In addition to the foregoing, in the CRL, the FDA noted that agalsidase beta, a therapy used to treat Fabry patients, was recently converted to full approval and is now an “available therapy,” which must be addressed in the context of any potential resubmission of a BLA for PRX-102.</w:t>
      </w:r>
    </w:p>
    <w:p>
      <w:pPr>
        <w:spacing w:after="0" w:line="1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 xml:space="preserve">We and Chiesi participated in a Type A (End of Review) meeting with the FDA on September 9, 2021 to discuss the FDA’s requirements for a BLA resubmission. As part of the meeting minutes provided by the FDA, which included the preliminary comments and meeting discussion, the FDA, in principle, agreed that the clinical data package proposed to the FDA for a BLA resubmission has the potential to support a traditional approval of PRX-102 for the treatment of Fabry disease. The planned data package for the BLA resubmission, given the changed regulatory landscape in the United States, will include the final two-year analyses of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We intend to continue to work collaboratively with the FDA resolve the issues noted in the CRL and provide a new, alternative drug to Fabry patients.</w:t>
      </w:r>
    </w:p>
    <w:p>
      <w:pPr>
        <w:spacing w:after="0" w:line="13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2017, the European Commission granted Orphan Drug Designation for PRX-102 for the treatment of Fabry disease. Orphan Drug Designation for PRX-102 qualifies Chiesi for access to a centralized marketing authorization procedure, including applications for inspections and for protocol assistance. If the orphan drug designation is maintained at the time PRX-102 is approved for marketing in the European Union, if at all, we expect that PRX-102 will benefit from 10 years of market exclusivity within the European Union. The market exclusivity will not have any effect on Fabry disease treatments already approved at that time.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clinical development program is designed to show that PRX-102 has a potential clinical benefit in adult Fabry patient populations when compared to currently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 Providing a meaningful improvement in the health and quality of life for Fabry patients being treated with PRX-102 represents a significant potential market opportunity.</w:t>
      </w:r>
    </w:p>
    <w:p>
      <w:pPr>
        <w:spacing w:after="0" w:line="158"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 xml:space="preserve">Our phase III clinical program of PRX-102 for the treatment of Fabry disease includes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and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all of which have been completed. In 2015, we completed a phase I/II clinical trial of PRX-102,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a dose range study in ERT-naïve adult Fabry patients. In the phase III clinical program, we are studying two potential dosing regimens for PRX-102; 1 mg/kg every two weeks, with the potential for improved efficacy and safety, offering an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alternative to existing enzyme replacement therapies, and 2 mg/kg every four weeks, which has the potential to lower treatment burden versus existing treatments and provide a better quality of life for Fabry patients.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Patients that completed the </w:t>
      </w:r>
      <w:r>
        <w:rPr>
          <w:rFonts w:ascii="Times New Roman" w:cs="Times New Roman" w:eastAsia="Times New Roman" w:hAnsi="Times New Roman"/>
          <w:sz w:val="18"/>
          <w:szCs w:val="18"/>
          <w:i w:val="1"/>
          <w:iCs w:val="1"/>
          <w:color w:val="auto"/>
        </w:rPr>
        <w:t>BALANCE, 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were offered the opportunity to continue PRX-102 treatment in one of two long-term open-label extension studies. Currently, 126 subjects that participated in the our PRX-102 clinical program have opted, with the advice of the treating physician, to continue PRX-102 treatment in one of our long-term extension studies; 10 subjects that completed an extension study from the phase I/II clinical trial, 18 subjects that completed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69 subjects that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29 subjects that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Of the 29 subjects that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that enrolled in a long-term extension study, 26 of them are being treated with 2 mg/kg of PRX-102 every 4 weeks, with a total exposure of more than 100 patient years in the aggregate, and two are being treated with 1 mg/kg every two weeks.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2020, we, together with Chiesi, announced an agreement with the FDA for the Initial Pediatric Study Plan (iPSP) for PRX-</w:t>
      </w:r>
    </w:p>
    <w:p>
      <w:pPr>
        <w:spacing w:after="0" w:line="27" w:lineRule="exact"/>
        <w:rPr>
          <w:sz w:val="20"/>
          <w:szCs w:val="20"/>
          <w:color w:val="auto"/>
        </w:rPr>
      </w:pPr>
    </w:p>
    <w:p>
      <w:pPr>
        <w:jc w:val="both"/>
        <w:ind w:right="220" w:firstLine="8"/>
        <w:spacing w:after="0" w:line="255"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BALANCE Study</w:t>
      </w:r>
    </w:p>
    <w:p>
      <w:pPr>
        <w:spacing w:after="0" w:line="18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 xml:space="preserve">The pivotal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a 24-month, randomized, double blind, active control study of PRX-102 in adult Fabry patients with deteriorating renal function that was designed to evaluate the safety and efficacy of 1 mg/kg of PRX-102 administered every two weeks compared to agalsidase beta (Fabrazyme). The study was completed in October 2021, and topline results from the study were announced in April 2022. The clinical study report (CSR) for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since completed and the final analysis confirmed the positive topline results and favorable tolerability profile. A total of 78 patients who were previously treated with agalsidase beta for at least one year with an estimated glomerular filtration rate (eGFR) slope at screening worse than -2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69"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 xml:space="preserve">The primary endpoint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is the comparison in the annualized rate of decline of eGFR slope between the agalsidase beta and PRX-102 treatment arms. eGFR is considered a reliable and accepted test to measure kidney function and stage of kidney disease. Additional parameters evaluated include: cardiac assessment,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(a biomarker for monitoring Fabry patients during therapy), pain, quality of life, immunogenicity, Fabry Clinical Events, pharmacokinetics and other parameters.</w:t>
      </w:r>
    </w:p>
    <w:p>
      <w:pPr>
        <w:spacing w:after="0" w:line="1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As part of the September 2021 Type A End-of-Review meeting, the FDA, in principle, agreed that the proposed analysis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demonstrating non-inferiority to agalsidase beta to be included in the data package for the PRX-102 BLA resubmission has the potential to support the approval of PRX-102 for the treatment of Fabry disease. Given the changed regulatory landscape in the United States with the full approval of agalsidase beta in March 2021 based on clinical endpoints, the primary analysis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changed from superiority to non-inferiority, as demonstrating superiority is no longer required under FDA guidelines. The primary endpoint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compared the eGFR annualized changes (slope) between the two treatment arms in the intent-to-treat (ITT) analysis set (77 patients). The study met its pre-specified primary endpoint and demonstrated that PRX-102 was statistically non-inferior to agalsidase beta.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median (95% confidence interval) of the eGFR slope in the PRX-102 arm was -2.514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(-3.788, -1.240) and</w:t>
      </w:r>
    </w:p>
    <w:p>
      <w:pPr>
        <w:ind w:right="120"/>
        <w:spacing w:after="0" w:line="214" w:lineRule="auto"/>
        <w:rPr>
          <w:sz w:val="20"/>
          <w:szCs w:val="20"/>
          <w:color w:val="auto"/>
        </w:rPr>
      </w:pPr>
      <w:r>
        <w:rPr>
          <w:rFonts w:ascii="Times New Roman" w:cs="Times New Roman" w:eastAsia="Times New Roman" w:hAnsi="Times New Roman"/>
          <w:sz w:val="18"/>
          <w:szCs w:val="18"/>
          <w:color w:val="auto"/>
        </w:rPr>
        <w:t>-2.155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(-3.805, -0.505) in the agalsidase beta arm, demonstrating a large overlap in the confidence intervals of the two arms. The difference in medians (95% confidence interval) is -0.359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(-2.444, 1.726). The prespecified non-inferiority margin was met. Topline results in the PP analysis set (72 patients) are consistent with the ITT results, with difference in medians (95% confidence interval) of -0.118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(-2.450, 2.213).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population (ITT analysis set) was composed of 47 males (61.0%) and 30 females (39.0%), with a mean (range) age of 44.3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(18-60) years. The mean duration of prior treatment with agalsidase beta was approximately six years. At baseline, mean (SD) eGFR was</w:t>
      </w:r>
    </w:p>
    <w:p>
      <w:pPr>
        <w:spacing w:after="0" w:line="184" w:lineRule="auto"/>
        <w:rPr>
          <w:sz w:val="20"/>
          <w:szCs w:val="20"/>
          <w:color w:val="auto"/>
        </w:rPr>
      </w:pPr>
      <w:r>
        <w:rPr>
          <w:rFonts w:ascii="Times New Roman" w:cs="Times New Roman" w:eastAsia="Times New Roman" w:hAnsi="Times New Roman"/>
          <w:sz w:val="17"/>
          <w:szCs w:val="17"/>
          <w:color w:val="auto"/>
        </w:rPr>
        <w:t>73.69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(20.32) and median eGFR was 74.51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mean (SD) eGFR slope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-8.10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(5.92) and median eGFR slope was -7.25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w:t>
      </w:r>
    </w:p>
    <w:p>
      <w:pPr>
        <w:spacing w:after="0" w:line="1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ectPr>
          <w:pgSz w:w="11900" w:h="16838" w:orient="portrait"/>
          <w:cols w:equalWidth="0" w:num="1">
            <w:col w:w="9920"/>
          </w:cols>
          <w:pgMar w:left="980" w:top="661" w:right="9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Treatment-related adverse events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76"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agalsidase beta arm.</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Assessment of anti-PRX-102 antibodies or anti-agalsidase beta antibodies, respectively, in the study indicated that, for the PRX-102 arm, 18 (34.6%) patients were ADA-positive at baseline, of which 17 (94.4%) had neutralizing antibody activity. For the agalsidase beta arm, eight (32.0%) patients were ADA-positive at baseline, of which seven (87.5%) had neutralizing antibody activity. At the end of the two-year study, 11 (23.4%) patients receiving PRX-102 were ADA-positive, of which seven (63.6%) had neutralizing antibody activity, while in the agalsidase beta arm six (26.1%) were ADA-positive and all six (100%) had neutralizing antibody activity.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treatment-related adverse event); one (4%) patient from the agalsidase beta arm discontinued for personal reasons. There were no deaths in this study.</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Considering that in the trial, patients in the PRX-102 arm were exposed for the first time to the novel enzyme tolerability data appear favorable for PRX-102 and in line with what was observed in the previous clinical studies of PRX-102.</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the patients that completed the trial from both the PRX-102 and agalsidase beta treatment arms, 69 have opted, with the advice of the treating physician, to receive PRX-102 1 mg/kg every other week in a long-term open-label extension study (NCT03566017).</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The planned data package for the BLA resubmission, given the changed regulatory landscape in the United States, will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BRIDGE Study</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was a 12-month open-label, single arm switch-over study evaluating the safety and efficacy of pegunigalsidase alfa, 1 mg/kg infused every two weeks, in up to 22 Fabry patients previously treated with agalsidase alfa (Replagal; marketed by Takeda Pharmaceutical Company Limited (acquired Shire Plc)) for at least two years and on a stable dose for at least six months. The trial was completed in December 2019. Patients were screened and evaluated over three months while continuing agalsidase alfa treatment.</w:t>
      </w:r>
    </w:p>
    <w:p>
      <w:pPr>
        <w:spacing w:after="0" w:line="139" w:lineRule="exact"/>
        <w:rPr>
          <w:sz w:val="20"/>
          <w:szCs w:val="20"/>
          <w:color w:val="auto"/>
        </w:rPr>
      </w:pPr>
    </w:p>
    <w:p>
      <w:pPr>
        <w:ind w:right="140"/>
        <w:spacing w:after="0" w:line="214" w:lineRule="auto"/>
        <w:rPr>
          <w:sz w:val="20"/>
          <w:szCs w:val="20"/>
          <w:color w:val="auto"/>
        </w:rPr>
      </w:pPr>
      <w:r>
        <w:rPr>
          <w:rFonts w:ascii="Times New Roman" w:cs="Times New Roman" w:eastAsia="Times New Roman" w:hAnsi="Times New Roman"/>
          <w:sz w:val="18"/>
          <w:szCs w:val="18"/>
          <w:color w:val="auto"/>
        </w:rPr>
        <w:t xml:space="preserve">Final results of the data generated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 to -1.19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on PRX-102 in all patients. Male patients improved from -6.36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w:t>
      </w:r>
    </w:p>
    <w:p>
      <w:pPr>
        <w:spacing w:after="0" w:line="1"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-1.73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and female patients improved from -5.03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 -0.21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/year. Following the switch to PRX-102, there was a decrease in patients with progressing or fast progressing kidney disease which is consistent with the therapeutic goals for Fabry disease, as identified by Christoph Wanner, </w:t>
      </w:r>
      <w:r>
        <w:rPr>
          <w:rFonts w:ascii="Times New Roman" w:cs="Times New Roman" w:eastAsia="Times New Roman" w:hAnsi="Times New Roman"/>
          <w:sz w:val="18"/>
          <w:szCs w:val="18"/>
          <w:u w:val="single" w:color="auto"/>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w:t>
      </w:r>
      <w:r>
        <w:rPr>
          <w:rFonts w:ascii="Times New Roman" w:cs="Times New Roman" w:eastAsia="Times New Roman" w:hAnsi="Times New Roman"/>
          <w:sz w:val="18"/>
          <w:szCs w:val="18"/>
          <w:color w:val="auto"/>
        </w:rPr>
        <w:t>., in 2019, and most patients achieved a stable status post-switch.</w:t>
      </w:r>
    </w:p>
    <w:p>
      <w:pPr>
        <w:spacing w:after="0" w:line="171" w:lineRule="exact"/>
        <w:rPr>
          <w:sz w:val="20"/>
          <w:szCs w:val="20"/>
          <w:color w:val="auto"/>
        </w:rPr>
      </w:pPr>
    </w:p>
    <w:p>
      <w:pPr>
        <w:ind w:right="740"/>
        <w:spacing w:after="0" w:line="261"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Of the 22 patients enrolled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w:t>
      </w:r>
    </w:p>
    <w:p>
      <w:pPr>
        <w:spacing w:after="0" w:line="1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 immunogenicity assessment indicated that four out of 20 patients (20%) developed persistent ADAs over the course of the study, of which two had neutralizing activity.</w:t>
      </w:r>
    </w:p>
    <w:p>
      <w:pPr>
        <w:sectPr>
          <w:pgSz w:w="11900" w:h="16838" w:orient="portrait"/>
          <w:cols w:equalWidth="0" w:num="1">
            <w:col w:w="9920"/>
          </w:cols>
          <w:pgMar w:left="980" w:top="661" w:right="99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12" w:lineRule="auto"/>
        <w:rPr>
          <w:sz w:val="20"/>
          <w:szCs w:val="20"/>
          <w:color w:val="auto"/>
        </w:rPr>
      </w:pPr>
      <w:r>
        <w:rPr>
          <w:rFonts w:ascii="Times New Roman" w:cs="Times New Roman" w:eastAsia="Times New Roman" w:hAnsi="Times New Roman"/>
          <w:sz w:val="18"/>
          <w:szCs w:val="18"/>
          <w:color w:val="auto"/>
        </w:rPr>
        <w:t>Baseline characteristics of the 20 patients that completed the study, ranging from ages 28 to 60 years, were as follows: mean eGFR 75.87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males, and 86.14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females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were 51.81 nM and 13.81 nM in males and females, respectively. While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remain slightly high, particularly within the male cohort, continuous reduction in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was observed of 19.55 nM (32.35%) in males and 4.57 nM (29.81%) in females.</w:t>
      </w:r>
    </w:p>
    <w:p>
      <w:pPr>
        <w:spacing w:after="0" w:line="1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the patients that completed the trial, 18 have opted, with the advice of the treating physician, to continue receiving PRX-102 1 mg/kg every other week in a long-term open-label extension study (NCT03566017).</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BRIGHT Study</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was a multicenter, multinational open-label, switch-over study designed to evaluate the safety, efficacy and pharmacokinetics of treatment with 2 mg/kg of PRX-102 administered every four weeks for 52 weeks (a total of 14 infusions). The trial, which was completed in June 2020, enrolled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2 weeks to 2 mg/kg of PRX-102 every 4 weeks for 12 months. Patients participating in the study were evaluated, among other disease parameters, to determine if their kidney disease had not further deteriorated while being treated with the 4-week dosing regimen as measured by eGFR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as well as other parameters. In addition, participating patients were evaluated to assess the safety and tolerability of PRX-102.</w:t>
      </w:r>
    </w:p>
    <w:p>
      <w:pPr>
        <w:spacing w:after="0" w:line="157"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18"/>
          <w:szCs w:val="18"/>
          <w:color w:val="auto"/>
        </w:rPr>
        <w:t xml:space="preserve">We announced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March 2022. The results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9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All 30 patients received at least one dose of pegunigalsidase alfa, and 29 patients completed the one-year study. Of these 29 patients, 28 received the intended regimen of 2 mg/kg every 4 weeks throughout the entire study, while one patient was switched to 1 mg/kg pegunigalsidase alfa every two weeks per protocol at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infusion. One patient withdrew from the study after the first infusion due to a traffic accident.</w:t>
      </w:r>
    </w:p>
    <w:p>
      <w:pPr>
        <w:spacing w:after="0" w:line="1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First infusions of PRX-102 were administered under controlled conditions at the investigation site. Based on the protocol-specified criteria, patients were able to receive their PRX-102 infusions at a home care setup once the Investigator and Sponsor Medical Monitor agreed that it was safe to do so. Safety and efficacy exploratory endpoints were assessed throughout the 52-week study.</w:t>
      </w:r>
    </w:p>
    <w:p>
      <w:pPr>
        <w:spacing w:after="0" w:line="14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Overall, 33 of 183 total treatment-emergent adverse events (TEAEs) reported in nine (30.0%) of the patients were considered treatment related; all were mild or moderate in severity and the majority were resolved at the end of the study. There were no serious or severe treatment-related TEAEs and no TEAEs lead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outcome measures show that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concentrations remained stable during the study with a mean change (±SE) of</w:t>
      </w:r>
    </w:p>
    <w:p>
      <w:pPr>
        <w:spacing w:after="0" w:line="44"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(1.39). Mean (SE) eGFR slope, at the end of the study, for the overall population, was -2.92 (1.05)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stability.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2 weeks may be successfully transitioned to PRX-102</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 mg/kg every 4 weeks as an effective and tolerable alternative treatment option. Additional long term data is being collected as part of the ongoing long term extension study (NCT03614234) of the 2 mg/kg PRX-102 every 4 weeks dose.</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baseline). The short-form BPI interference items also remained stable during the study. Pain-related results indicate that there was no increase and/or relapse in pain. No Fabry clinical events were reported during the study.</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COVID-19 Impact on PRX-102 Clinical Trials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date, the COVID-19 pandemic has had a minimal effect on the performance of the phase III clinical trials of PRX-102 as many of the patients were already treated in home care settings. We were able to complete all three studies. In a minimal amount of cases, patients that completed a trial were not able to be transferred into an extension study due to the pandemic restrictions, and, accordingly, the main trial was prolonged for the patients to permit the continuation of treatment.</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Study</w:t>
      </w:r>
    </w:p>
    <w:p>
      <w:pPr>
        <w:spacing w:after="0" w:line="189"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7"/>
          <w:szCs w:val="17"/>
          <w:color w:val="auto"/>
        </w:rPr>
        <w:t>Our phase I/II clinical trial of PRX-102, which we completed in 2015, was a worldwide, multi-center, open-label, dose ranging study designed to evaluate the safety, tolerability, pharmacokinetics, immunogenicity and efficacy parameters of PRX-102 in adult patients with Fabry disease. Sixteen adult, naïve Fabry patients (9 male and 7 female) completed the trial, each in one of three dosing groups,</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0.2 mg/kg, 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BRIDGE </w:t>
      </w:r>
      <w:r>
        <w:rPr>
          <w:rFonts w:ascii="Times New Roman" w:cs="Times New Roman" w:eastAsia="Times New Roman" w:hAnsi="Times New Roman"/>
          <w:sz w:val="18"/>
          <w:szCs w:val="18"/>
          <w:color w:val="auto"/>
        </w:rPr>
        <w:t>studies.</w:t>
      </w:r>
    </w:p>
    <w:p>
      <w:pPr>
        <w:spacing w:after="0" w:line="68"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The adult symptomatic, ERT-naïve Fabry disease patients enrolled in the phase I/II study were evaluated for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in kidney biopsies and for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 by the quantitative BLISS methodology. Biopsies were available from 14 patients. The outcome of ≥ 50% reduction in the average number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5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4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with Chiesi Farmaceutici</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was entitled to development cost reimbursements of up to $45 million, up to more than $1.0 billion in potential milestone payments and tiered royalties of 15% - 35% (ex-US) and 15% - 40% (US).</w:t>
      </w:r>
    </w:p>
    <w:p>
      <w:pPr>
        <w:spacing w:after="0" w:line="15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make tiered payments of 15% to 35% of its net sales, depending on the amount of annual sales, as consideration for the supply of PRX-102.</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subject to a maximum of $7.5 million per year. Protalix Ltd. is also eligible to receive additional payments of up to a maximum of $760.0 million, in the aggregate, in regulatory and commercial milestone payments. Chiesi will also make tiered payments of 15% to 40% of its net sales under the Chiesi US Agreement to Protalix Ltd., depending on the amount of annual sales, subject to certain terms and conditions, as consideration for product supply.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pursuant to which we and Chiesi amended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Elelyso</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Treatment of Gaucher Disease</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5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and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23" w:lineRule="exact"/>
        <w:rPr>
          <w:sz w:val="20"/>
          <w:szCs w:val="20"/>
          <w:color w:val="auto"/>
        </w:rPr>
      </w:pPr>
    </w:p>
    <w:p>
      <w:pPr>
        <w:ind w:right="420"/>
        <w:spacing w:after="0" w:line="201"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(acquired by Takeda Pharmaceutical Company Limited)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$1.5 billion and $1.6 billion in 2021 and 2022, respectively, and to grow at a CAGR of approximately 8.6% from 2020-2027.</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for Elelyso</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first 10-year period after the execution of our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w:t>
      </w:r>
    </w:p>
    <w:p>
      <w:pPr>
        <w:spacing w:after="0" w:line="13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maintain distribution rights to Elelyso in Brazil through a supply and technology transfer agreement with Fiocruz, an arm of the Brazilian MoH.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Alidornase Alfa (PRX-110)</w:t>
      </w:r>
    </w:p>
    <w:p>
      <w:pPr>
        <w:spacing w:after="0" w:line="18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Alidornase alfa is our chemically-modified plant cell expressed recombinant human DNase I, administered via inhalation. Recombinant human DNase I enzymatically cleaves DNA but its activity is inhibited by actin, which is present in the blood and other target organs. PRX-110 is designed to be less susceptible to actin inhibition and have higher affinity to DNA, thus enhancing enzymatic activity. In-vitro studies have shown PRX-110 to have a highly improved catalytic efficiency and affinity to DNA, compared to dornase alfa (Pulmozyme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currently the only commercially available DNase therapy), even more so in the presence of</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actin. We are continuing to evaluate potential strategic marketing partnerships and collaboration programs with biotechnology and pharmaceutical companies for this product candidate for various respiratory indications.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Uricase (PRX-115)</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PRX-115 is our plant cell-expressed recombinant PEGylated uricase (urate oxidase) – a chemically modified enzyme under development for the potential treatment of severe gout. 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Severe gout is generally described as a state of gout in which there is he presence of monosodium urate crystals with any of the following: frequent recurrent gout flares, chronic gouty arthritis, subcutaneous tophi or imaging disease elements of gout. An estimated approximately 2% of the gout population is considered to have chronic refractory disease, and we believe the frequency of severe gout is even higher.</w:t>
      </w:r>
    </w:p>
    <w:p>
      <w:pPr>
        <w:spacing w:after="0" w:line="13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Currently available urate-lowering therapies, or ULTs, can be effective in treating gout. However, we believe that new effective, safe therapies are needed to treat severe gout and chronic refractory gout regardless of treatment history. One treatment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that have contraindication/failure of other lowering uric acid treatments)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induce strong immunogenic reactions and have other major side-effects. In particular, 89% of patients treated with Krystexxa developed an immunogenic response associated with a failure to maintain normalization of serum uric acid levels over a 6-month therapy cycle. In addition, a recent phase IV study demonstrates that co-treatment with Krystexxa and methotrexate increases efficacy and tolerability in patients with uncontrolled gout. Krystexxa is no longer marketed in the European Union for commercial reasons.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use ProCellEx to express an optimized recombinant uricase enzyme under development for the potential treatment of severe gout which we are designing to lower uric acid levels while having low immunogenicity and increased half-life in the circulation. Pre-clinical data demonstrates stable PK profile and long half-life, low immunogenic risk and high specific activity supporting the potential of PRX-115 to be a safe and effective treatment for severe gout. We initiated toxicity studies of PRX-115 in the first quarter of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June 30, 2022, we hold a broad portfolio of over 80 patents in Europe, the United States, Israel and additional countries worldwide, as well as over 30 pending patent applications.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Presentations</w:t>
      </w:r>
    </w:p>
    <w:p>
      <w:pPr>
        <w:spacing w:after="0" w:line="20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five poster presentations listed below were available at the 2022 Program: 7th Update on Fabry Disease: Biomarkers, Progression and Treatment Opportunities. The program was supported by Kidneys for Life, a Registered UK Charitable Organization (Manchester, UK), and took place May 29, 2022 through May 31, 2022.</w:t>
      </w:r>
    </w:p>
    <w:p>
      <w:pPr>
        <w:sectPr>
          <w:pgSz w:w="11900" w:h="16838" w:orient="portrait"/>
          <w:cols w:equalWidth="0" w:num="1">
            <w:col w:w="9900"/>
          </w:cols>
          <w:pgMar w:left="980" w:top="661" w:right="101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“Safety and Efficacy of Pegunigalsidase Alfa vs Agalsidase Beta on Renal Function in Fabry Disease: 24-Month Results from the Phase III Randomized, Double-blind, BALANCE Study”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Safety and Efficacy of Pegunigalsidase Alfa: A Multicenter Extension Study in Adult Patients with Fabry Disease”</w:t>
      </w:r>
    </w:p>
    <w:p>
      <w:pPr>
        <w:spacing w:after="0" w:line="225"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“Tolerability and Infusion Duration of Pegunigalsidase Alfa in Patients with Fabry Disease: Data from 5 Completed Clinical Trials”</w:t>
      </w:r>
    </w:p>
    <w:p>
      <w:pPr>
        <w:spacing w:after="0" w:line="162"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“Switching from Agalsidase Alfa to Pegunigalsidase Alfa to Treat Patients with Fabry Disease: 1 Year of Treatment Data from BRIDGE, a Phase 3 Open-label Study”</w:t>
      </w:r>
    </w:p>
    <w:p>
      <w:pPr>
        <w:spacing w:after="0" w:line="162"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“Safety and Efficacy of Pegunigalsidase Alfa Administered Every 4 Weeks in Patients with Fabry Disease: Results from the Phase 3, Open-label, BRIGHT Study”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2021.</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full extent to which the COVID-19 pandemic will directly or indirectly impact our financial condition, liquidity, or results of operations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customers and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right="3460"/>
        <w:spacing w:after="0" w:line="4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June 30, 2022 compared to the three months ended June 30, 2021 </w:t>
      </w:r>
      <w:r>
        <w:rPr>
          <w:rFonts w:ascii="Times New Roman" w:cs="Times New Roman" w:eastAsia="Times New Roman" w:hAnsi="Times New Roman"/>
          <w:sz w:val="18"/>
          <w:szCs w:val="18"/>
          <w:i w:val="1"/>
          <w:iCs w:val="1"/>
          <w:color w:val="auto"/>
        </w:rPr>
        <w:t>Revenues from Selling Goods</w:t>
      </w:r>
    </w:p>
    <w:p>
      <w:pPr>
        <w:ind w:right="240"/>
        <w:spacing w:after="0" w:line="266" w:lineRule="auto"/>
        <w:rPr>
          <w:sz w:val="20"/>
          <w:szCs w:val="20"/>
          <w:color w:val="auto"/>
        </w:rPr>
      </w:pPr>
      <w:r>
        <w:rPr>
          <w:rFonts w:ascii="Times New Roman" w:cs="Times New Roman" w:eastAsia="Times New Roman" w:hAnsi="Times New Roman"/>
          <w:sz w:val="18"/>
          <w:szCs w:val="18"/>
          <w:color w:val="auto"/>
        </w:rPr>
        <w:t>We recorded revenues from selling goods of $3.4 million during the three months ended June 30, 2022, an increase of $0.2 million, or 6%, compared to revenues of $3.2 million for the three months ended June 30, 2021. The increase of $1.1 million in sales to Pfizer, resulting from timing differences, was partially offset by a decrease of $1.0 million in sales to Brazil.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$5.4 million for the three months ended June 30, 2022, an increase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$2.2 million, or 69%, compared to revenues of $3.2 million for the three months ended June 30, 2021. Revenues from license and R&amp;D services are comprised primarily of revenues we recognized in connection with the Chiesi Agreements.</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Cost of goods sold was $4.1 million for the three months ended June 30, 2022, a decrease of $0.6 million, or 13%, from cost of goods sold of $4.7 million for the three months ended June 30, 2021. The decrease in cost of goods sold was primarily the result of decreased manufacturing costs due to higher yields and lower wastage.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2022, our total research and development expenses were approximately $7.6 million comprised of approximately $4.4 million in subcontractor-related expenses, approximately $1.6 million of salary and related expenses, approximately $0.7 million of materials-related expenses and approximately $0.9 million of other expenses. For the three months ended June 30, 2021, our total research and development expenses were approximately $7.7 million comprised of approximately $5.1 million in subcontractor-related expenses, approximately $1.6 million of salary and related expenses, approximately $0.2 million of materials-related expenses and approximately $0.8 million of other expenses.</w:t>
      </w:r>
    </w:p>
    <w:p>
      <w:pPr>
        <w:spacing w:after="0" w:line="187"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Total decrease in research and developments expenses was $0.1 million, or 1%, from the three months ended June 30, 2022 compared to the three months ended June 30, 2021.</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$2.6 million for the three months ended June 30, 2022, a decrease of $0.6 million, or 19%, compared to $3.2 million for the three months ended June 30, 2021. The decrease was primarily due to a decrease in salary-related and selling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Expenses, Net</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Financial income, net were $0.2 million for the three months ended June 30, 2022, compared to financial expenses, net of $2.1 million for the three months ended June 30, 2021. The decrease resulted primarily from lower interest and debt amortization costs due to a decrease in our outstanding notes from an aggregate principal amount of $57.92 million of 2021 Notes to an aggregate principal amount of $28.75 million of 2024 Notes, and an increase in the exchange rate of New Israeli Shekels for U.S. Dollars over the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recorded revenues from selling goods of $12.4 million during the six months ended June 30, 2022, an increase of $4.6 million, or 59%, compared to revenues of $7.8 million for the six months ended June 30, 2021. The increase resulted primarily from an increase of $4.5 million in sales to Brazil.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$12.4 million for the six months ended June 30, 2022, an increase of</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$2.4 million, or 24%, compared to revenues of $10.0 million for the six months ended June 30, 2021. Revenues from license and R&amp;D services are comprised primarily of revenues we recognized in connection with the Chiesi Agreements.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 of goods sold was $10.1 million for the six months ended June 30, 2022, an increase of $0.6 million, or 6%, from cost of goods sold of $9.5 million for the six months ended June 30, 2021. The increase in cost of goods sold was due primarily to an increase in sales of goods which was partially offset by higher production yields.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2022, our total research and development expenses were approximately $16.3 million comprised of approximately $10.2 million in subcontractor-related expenses, approximately $3.7 million of salary and related expenses, approximately $0.9 million of materials-related expenses and approximately $1.5 million of other expenses. For the six</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40"/>
        <w:spacing w:after="0" w:line="266" w:lineRule="auto"/>
        <w:rPr>
          <w:sz w:val="20"/>
          <w:szCs w:val="20"/>
          <w:color w:val="auto"/>
        </w:rPr>
      </w:pPr>
      <w:r>
        <w:rPr>
          <w:rFonts w:ascii="Times New Roman" w:cs="Times New Roman" w:eastAsia="Times New Roman" w:hAnsi="Times New Roman"/>
          <w:sz w:val="18"/>
          <w:szCs w:val="18"/>
          <w:color w:val="auto"/>
        </w:rPr>
        <w:t>months ended June 30, 2021, our total research and development expenses were approximately $14.8 million comprised of approximately $9.4 million in subcontractor-related expenses, approximately $3.6 million of salary and related expenses, approximately $0.4 million of materials-related expenses and approximately $1.4 million of other expenses.</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developments expenses of $1.5 million, or 10%, from the six months ended June 30, 2022 compared to the six months ended June 30, 2021 resulted primarily from a $0.8 million increase in subcontractor-related expenses in connection with regulatory submissions for PRX-102, and a $0.5 million increase in materials-related expenses.</w:t>
      </w:r>
    </w:p>
    <w:p>
      <w:pPr>
        <w:spacing w:after="0" w:line="176"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$5.8 million for the six months ended June 30, 2022, a decrease of $0.5 million, or 8%, compared to $6.3 million for the six months ended June 30, 2021. The decrease resulted primarily from a decrease in salary-related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Expenses,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expenses, net were $0.2 million for the six months ended June 30, 2022, a decrease of $3.7 million, or 95%, compared to</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$3.9 million for the six months ended June 30, 2021. The decrease resulted primarily from lower interest and debt amortization costs due to a decrease in our outstanding notes from an aggregate principal amount of $57.92 million of 2021 Notes to an aggregate principal amount of $28.75 million of 2024 Notes, and an increase in the exchange rate of New Israeli Shekels for U.S. Dollars over the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Our sources of liquidity include our cash balances and bank deposits. At June 30, 2022, we had $28.6 million in cash and cash equivalents and short term bank deposits. We have primarily financed our operations through equity and debt financings, business collaborations, and grants funding.</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we raised gross proceeds equal to approximately $8.8 million from sales of common stock under our ATM program through the sale of 1,867,552 shares of our common stock. In addition, we raised gross proceeds of approximately $40.2 million from a public offering of our common stock before deducting the underwriting discount and estimated expenses of the offering. In connection with the offering, we issued 8,749,999 shares of our common stock at a purchase price per share of $4.60. During the six months ended June 30, 2022, we raised gross proceeds equal to approximately $2.8 million from sales of common stock under our ATM program through the sale of 2,395,823 shares of our common stock.</w:t>
      </w:r>
    </w:p>
    <w:p>
      <w:pPr>
        <w:spacing w:after="0" w:line="1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August 25, 2021, we completed exchanges, or the Exchanges, of a substantial majority of our then outstanding 7.50% Senior Secured Convertible Notes due 2021, or the 2021 Notes, with institutional note holders of a substantial majority of the 2021 Notes. The Exchanges involved the exchange of an aggregate of $54.65 million principal amount of our 2021 Notes for an aggregate of</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$28.75 million principal amount of newly issued 7.50% Senior Secured Convertible Notes due 2024, or the 2024 Notes, $25.90 million in cash, and approximately $1.1 million in cash representing accrued and unpaid interest through the closing date. The initial conversion rate for the 2024 Notes is 563.2216 shares of our common stock for each $1,000 principal amount of 2024 Notes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2024 Notes were issued pursuant to the Indenture dated as of August 24, 2021 between us, the guarantors party thereto, The Bank of New York Mellon Trust Company, N.A., as trustee and Wilmington Savings Fund Society, FSB, as collateral agent, or the 2024 Indenture. Interest on the Notes are payable semi-annually at a rate of 7.50% per annum. The 2024 Notes will mature on September 1, 2024, unless earlier purchased, converted, exchanged or redeemed, and are guaranteed by our subsidiaries. The 2024 Notes are secured by perfected liens on all of our assets, including those of our subsidiaries. Under the terms of the 2024 Indenture, we are required to comply with </w:t>
      </w:r>
      <w:r>
        <w:rPr>
          <w:rFonts w:ascii="Times New Roman" w:cs="Times New Roman" w:eastAsia="Times New Roman" w:hAnsi="Times New Roman"/>
          <w:sz w:val="18"/>
          <w:szCs w:val="18"/>
          <w:color w:val="222222"/>
        </w:rPr>
        <w:t>certain covenants, including the requirement to</w:t>
      </w:r>
      <w:r>
        <w:rPr>
          <w:rFonts w:ascii="Times New Roman" w:cs="Times New Roman" w:eastAsia="Times New Roman" w:hAnsi="Times New Roman"/>
          <w:sz w:val="18"/>
          <w:szCs w:val="18"/>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June 30, 2022, we were in compliance with all covenants.</w:t>
      </w:r>
    </w:p>
    <w:p>
      <w:pPr>
        <w:sectPr>
          <w:pgSz w:w="11900" w:h="16838" w:orient="portrait"/>
          <w:cols w:equalWidth="0" w:num="1">
            <w:col w:w="9900"/>
          </w:cols>
          <w:pgMar w:left="980" w:top="661" w:right="1019" w:bottom="1440" w:gutter="0" w:footer="0" w:header="0"/>
        </w:sectPr>
      </w:pP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as of June 30, 2022 are sufficient to satisfy our capital needs for at least 12 months from the date that these financial statements are issued.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operations was $13.2 million for the six months ended June 30, 2022. The net loss for the six months ended June 30, 2022 of $7.6 million was increased by a $2.6 million decrease in contracts liability, a $4.9 million decrease in accounts payable and accruals and $1.0 million financial income, net (mainly exchange differences), and was partially offset by a $1.4 million decrease in inventories and a $1.1 million in share-based compensation. Net cash used in investing activities for the six months ended June 30, 2022 was $15.9 million and consisted primarily of investment in bank deposits. Net cash provided by financing activities was $2.6 million resulting mainly from the sale of common stock under our ATM program.</w:t>
      </w:r>
    </w:p>
    <w:p>
      <w:pPr>
        <w:spacing w:after="0" w:line="14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Net cash used in operations was $3.3 million for the six months ended June 30, 2021. In response to the COVID-19 pandemic, a higher number of subjects in our ongoing clinical trials opted for home care treatments over in-site treatments which resulted in an immaterial amount of additional expenses. The net loss for the six months ended June 30, 2021 of $16.7 million was increased by a $1.6 million increase in accounts receivable and other assets, and was partially offset by a $12.3 million increase in contracts liability, a $1.9 million of amortization of debt issuance costs and debt discount and $1.4 million in share-based compensation. Net cash used in investing activities for the six months ended June 30, 2021 was $23.1 million and consisted primarily of a net increase in bank deposits. Net cash provided by financing activities was $42.1 million resulting from the sale of common stock under our former ATM program and from our public offering of common stock, net of the promissory note payment.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expenditures in the near future as we increase our research and developments efforts with respect to our product candidates given the receipt of the CRL from the FDA discussed above, we expect to incur additional expenses in connection with any resubmission. We cannot anticipate the costs or the timing of the occurrence of such costs. In addition, to the extent we need to obtain additional financing in connection with this process or with any additional clinical testing that may be required,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 advisors and fees for service providers in connection with our research and development efforts and (v) payment of interest on our outstanding 2024 Notes. We believe that our cash and cash equivalents and short term bank deposits are sufficient to satisfy our capital needs for at least 12 months.</w:t>
      </w:r>
    </w:p>
    <w:p>
      <w:pPr>
        <w:spacing w:after="0" w:line="14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9" w:lineRule="exact"/>
        <w:rPr>
          <w:sz w:val="20"/>
          <w:szCs w:val="20"/>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combined with those of Chiesi, to file for resubmission with the FDA and to commercialize PRX-102;</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84"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98" w:lineRule="exact"/>
        <w:rPr>
          <w:rFonts w:ascii="Times New Roman" w:cs="Times New Roman" w:eastAsia="Times New Roman" w:hAnsi="Times New Roman"/>
          <w:sz w:val="18"/>
          <w:szCs w:val="18"/>
          <w:color w:val="auto"/>
        </w:rPr>
      </w:pPr>
    </w:p>
    <w:p>
      <w:pPr>
        <w:ind w:left="1000" w:right="68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On July 2, 2021, we entered into the Sales Agreement in connection with a new ATM program, as amended on May 2, 2022, pursuant to which we may sell from time to time through the Agent ATM Shares having an aggregate offering price of up to $20.0 million. On the same date, we terminated our former ATM program. As of June 30, 2022, shares of Common Stock for total gross proceeds of approximately $17.2 million remain available to be sold under the Sales Agreement.</w:t>
      </w:r>
    </w:p>
    <w:p>
      <w:pPr>
        <w:sectPr>
          <w:pgSz w:w="11900" w:h="16838" w:orient="portrait"/>
          <w:cols w:equalWidth="0" w:num="1">
            <w:col w:w="9840"/>
          </w:cols>
          <w:pgMar w:left="980" w:top="661" w:right="1079" w:bottom="1440" w:gutter="0" w:footer="0" w:header="0"/>
        </w:sectPr>
      </w:pP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six months ended June 30, 2022 and June 30,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of each of June 30, 2022 and June 30,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approximately 65% of our expenses and capital expenditures, as well as the repayment of our 2021 Notes in 2021,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31%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7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3.272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98"/>
              </w:rPr>
              <w:t>3.265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3.230</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98"/>
              </w:rPr>
              <w:t>3.260</w:t>
            </w:r>
          </w:p>
        </w:tc>
        <w:tc>
          <w:tcPr>
            <w:tcW w:w="140" w:type="dxa"/>
            <w:vAlign w:val="bottom"/>
          </w:tcPr>
          <w:p>
            <w:pPr>
              <w:spacing w:after="0"/>
              <w:rPr>
                <w:sz w:val="20"/>
                <w:szCs w:val="20"/>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3.110</w:t>
            </w:r>
          </w:p>
        </w:tc>
      </w:tr>
    </w:tbl>
    <w:p>
      <w:pPr>
        <w:spacing w:after="0" w:line="1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ectPr>
          <w:pgSz w:w="11900" w:h="16838" w:orient="portrait"/>
          <w:cols w:equalWidth="0" w:num="1">
            <w:col w:w="9920"/>
          </w:cols>
          <w:pgMar w:left="980" w:top="661" w:right="99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June 30, 2022 that have materially affected, or that are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20" w:type="dxa"/>
            <w:vAlign w:val="bottom"/>
            <w:gridSpan w:val="3"/>
          </w:tcPr>
          <w:p>
            <w:pPr>
              <w:jc w:val="center"/>
              <w:ind w:right="631"/>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60" w:type="dxa"/>
            <w:vAlign w:val="bottom"/>
            <w:gridSpan w:val="1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gridSpan w:val="18"/>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4"/>
        </w:trPr>
        <w:tc>
          <w:tcPr>
            <w:tcW w:w="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3660" w:type="dxa"/>
            <w:vAlign w:val="bottom"/>
            <w:gridSpan w:val="21"/>
          </w:tcPr>
          <w:p>
            <w:pPr>
              <w:spacing w:after="0" w:line="194"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Certificate of Incorporation of the Company</w:t>
              </w:r>
            </w:hyperlink>
          </w:p>
        </w:tc>
        <w:tc>
          <w:tcPr>
            <w:tcW w:w="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April 1, 2016</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660" w:type="dxa"/>
            <w:vAlign w:val="bottom"/>
            <w:gridSpan w:val="21"/>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Amendment to Certificate of Incorporation of the</w:t>
              </w:r>
            </w:hyperlink>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Company</w:t>
              </w:r>
            </w:hyperlink>
          </w:p>
        </w:tc>
        <w:tc>
          <w:tcPr>
            <w:tcW w:w="1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Second Amendment to Certificate of</w:t>
              </w:r>
            </w:hyperlink>
          </w:p>
        </w:tc>
        <w:tc>
          <w:tcPr>
            <w:tcW w:w="1000" w:type="dxa"/>
            <w:vAlign w:val="bottom"/>
            <w:gridSpan w:val="13"/>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 14A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Incorporation of the Company</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660" w:type="dxa"/>
            <w:vAlign w:val="bottom"/>
            <w:gridSpan w:val="21"/>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Third Amendment to Certificate of Incorporation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of the Company</w:t>
              </w:r>
            </w:hyperlink>
          </w:p>
        </w:tc>
        <w:tc>
          <w:tcPr>
            <w:tcW w:w="1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Fourth Amendment to Certificate of Incorporation</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jc w:val="center"/>
              <w:ind w:left="2"/>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of the Company</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660" w:type="dxa"/>
            <w:vAlign w:val="bottom"/>
            <w:gridSpan w:val="21"/>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Bylaws of the Company</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Form of Restricted Stock Agreement/Notice</w:t>
              </w:r>
            </w:hyperlink>
          </w:p>
        </w:tc>
        <w:tc>
          <w:tcPr>
            <w:tcW w:w="460" w:type="dxa"/>
            <w:vAlign w:val="bottom"/>
            <w:gridSpan w:val="11"/>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18, 2012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Description of Capital Stock</w:t>
              </w:r>
            </w:hyperlink>
          </w:p>
        </w:tc>
        <w:tc>
          <w:tcPr>
            <w:tcW w:w="1600" w:type="dxa"/>
            <w:vAlign w:val="bottom"/>
            <w:gridSpan w:val="16"/>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60" w:type="dxa"/>
            <w:vAlign w:val="bottom"/>
            <w:gridSpan w:val="21"/>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Warrant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660" w:type="dxa"/>
            <w:vAlign w:val="bottom"/>
            <w:gridSpan w:val="21"/>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Stock Option Agreement (Executives)</w:t>
              </w:r>
            </w:hyperlink>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10-Q   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2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of Stock Option Agreement (Standard)</w:t>
              </w:r>
            </w:hyperlink>
          </w:p>
        </w:tc>
        <w:tc>
          <w:tcPr>
            <w:tcW w:w="140" w:type="dxa"/>
            <w:vAlign w:val="bottom"/>
            <w:tcBorders>
              <w:top w:val="single" w:sz="8" w:color="0000EE"/>
            </w:tcBorders>
            <w:gridSpan w:val="4"/>
          </w:tcPr>
          <w:p>
            <w:pPr>
              <w:spacing w:after="0"/>
              <w:rPr>
                <w:sz w:val="21"/>
                <w:szCs w:val="21"/>
                <w:color w:val="auto"/>
              </w:rPr>
            </w:pPr>
          </w:p>
        </w:tc>
        <w:tc>
          <w:tcPr>
            <w:tcW w:w="280" w:type="dxa"/>
            <w:vAlign w:val="bottom"/>
            <w:gridSpan w:val="6"/>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Indenture, dated as of August 24, 2021, between</w:t>
              </w:r>
            </w:hyperlink>
          </w:p>
        </w:tc>
        <w:tc>
          <w:tcPr>
            <w:tcW w:w="160" w:type="dxa"/>
            <w:vAlign w:val="bottom"/>
            <w:gridSpan w:val="5"/>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2021</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Protalix BioTherapeutics, Inc., the guarantors</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party thereto, The Bank of New York Mellon</w:t>
              </w:r>
            </w:hyperlink>
          </w:p>
        </w:tc>
        <w:tc>
          <w:tcPr>
            <w:tcW w:w="20" w:type="dxa"/>
            <w:vAlign w:val="bottom"/>
            <w:tcBorders>
              <w:top w:val="single" w:sz="8" w:color="0000EE"/>
            </w:tcBorders>
          </w:tcPr>
          <w:p>
            <w:pPr>
              <w:spacing w:after="0"/>
              <w:rPr>
                <w:sz w:val="17"/>
                <w:szCs w:val="17"/>
                <w:color w:val="auto"/>
              </w:rPr>
            </w:pPr>
          </w:p>
        </w:tc>
        <w:tc>
          <w:tcPr>
            <w:tcW w:w="3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21"/>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Trust Company, N.A., as trustee and Wilmington</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Savings Fund Society, FSB, as collateral agent</w:t>
              </w:r>
            </w:hyperlink>
          </w:p>
        </w:tc>
        <w:tc>
          <w:tcPr>
            <w:tcW w:w="1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3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of Exchange Note (2024)</w:t>
              </w:r>
            </w:hyperlink>
          </w:p>
        </w:tc>
        <w:tc>
          <w:tcPr>
            <w:tcW w:w="300" w:type="dxa"/>
            <w:vAlign w:val="bottom"/>
            <w:gridSpan w:val="7"/>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2021</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9840"/>
          </w:cols>
          <w:pgMar w:left="980" w:top="661" w:right="1079" w:bottom="1440" w:gutter="0" w:footer="0" w:header="0"/>
        </w:sect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720" w:type="dxa"/>
            <w:vAlign w:val="bottom"/>
            <w:gridSpan w:val="12"/>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Pro BioTherapeutics, Inc.</w:t>
              </w:r>
            </w:hyperlink>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S-8</w:t>
            </w:r>
          </w:p>
        </w:tc>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July 14, 2022</w:t>
            </w:r>
          </w:p>
        </w:tc>
      </w:tr>
      <w:tr>
        <w:trPr>
          <w:trHeight w:val="196"/>
        </w:trPr>
        <w:tc>
          <w:tcPr>
            <w:tcW w:w="8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2006 Stock Incentive Plan, as amended</w:t>
              </w:r>
            </w:hyperlink>
          </w:p>
        </w:tc>
        <w:tc>
          <w:tcPr>
            <w:tcW w:w="700" w:type="dxa"/>
            <w:vAlign w:val="bottom"/>
            <w:tcBorders>
              <w:top w:val="single" w:sz="8" w:color="0000EE"/>
            </w:tcBorders>
            <w:gridSpan w:val="7"/>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 13a-14(a) as adopted pursuant to Section</w:t>
            </w:r>
          </w:p>
        </w:tc>
        <w:tc>
          <w:tcPr>
            <w:tcW w:w="20" w:type="dxa"/>
            <w:vAlign w:val="bottom"/>
            <w:tcBorders>
              <w:top w:val="single" w:sz="8" w:color="0000EE"/>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302 of the Sarbanes-Oxley Act of 2002</w:t>
            </w:r>
          </w:p>
        </w:tc>
        <w:tc>
          <w:tcPr>
            <w:tcW w:w="8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w:t>
            </w:r>
          </w:p>
        </w:tc>
        <w:tc>
          <w:tcPr>
            <w:tcW w:w="220" w:type="dxa"/>
            <w:vAlign w:val="bottom"/>
            <w:gridSpan w:val="4"/>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40" w:type="dxa"/>
            <w:vAlign w:val="bottom"/>
          </w:tcPr>
          <w:p>
            <w:pPr>
              <w:spacing w:after="0"/>
              <w:rPr>
                <w:sz w:val="17"/>
                <w:szCs w:val="17"/>
                <w:color w:val="auto"/>
              </w:rPr>
            </w:pPr>
          </w:p>
        </w:tc>
        <w:tc>
          <w:tcPr>
            <w:tcW w:w="3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 13a-14(a) as adopted pursuant to Section</w:t>
            </w:r>
          </w:p>
        </w:tc>
        <w:tc>
          <w:tcPr>
            <w:tcW w:w="2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86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tcBorders>
              <w:top w:val="single" w:sz="8" w:color="0000EE"/>
            </w:tcBorders>
            <w:gridSpan w:val="2"/>
          </w:tcPr>
          <w:p>
            <w:pPr>
              <w:spacing w:after="0"/>
              <w:rPr>
                <w:sz w:val="17"/>
                <w:szCs w:val="17"/>
                <w:color w:val="auto"/>
              </w:rPr>
            </w:pPr>
          </w:p>
        </w:tc>
        <w:tc>
          <w:tcPr>
            <w:tcW w:w="26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6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40" w:type="dxa"/>
            <w:vAlign w:val="bottom"/>
          </w:tcPr>
          <w:p>
            <w:pPr>
              <w:spacing w:after="0"/>
              <w:rPr>
                <w:sz w:val="18"/>
                <w:szCs w:val="18"/>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3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76" w:lineRule="exact"/>
        <w:rPr>
          <w:sz w:val="20"/>
          <w:szCs w:val="20"/>
          <w:color w:val="auto"/>
        </w:rPr>
      </w:pPr>
    </w:p>
    <w:p>
      <w:pPr>
        <w:ind w:left="840" w:right="5460" w:hanging="833"/>
        <w:spacing w:after="0" w:line="266"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0"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compensation plans or arrangements in which directors or executive officers are eligible to participate.</w:t>
      </w:r>
    </w:p>
    <w:p>
      <w:pPr>
        <w:spacing w:after="0" w:line="317" w:lineRule="exact"/>
        <w:rPr>
          <w:rFonts w:ascii="Times New Roman" w:cs="Times New Roman" w:eastAsia="Times New Roman" w:hAnsi="Times New Roman"/>
          <w:sz w:val="17"/>
          <w:szCs w:val="17"/>
          <w:color w:val="auto"/>
        </w:rPr>
      </w:pPr>
    </w:p>
    <w:p>
      <w:pPr>
        <w:ind w:left="4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0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 /s/ Dror Bashan</w:t>
      </w:r>
    </w:p>
    <w:p>
      <w:pPr>
        <w:spacing w:after="0" w:line="9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-127635</wp:posOffset>
            </wp:positionV>
            <wp:extent cx="30086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1"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 /s/ Eyal Rubin</w:t>
      </w:r>
    </w:p>
    <w:p>
      <w:pPr>
        <w:spacing w:after="0" w:line="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-127635</wp:posOffset>
            </wp:positionV>
            <wp:extent cx="3008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Senior Vice President and Chief Financial Officer, Treasurer and</w:t>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34" w:name="page35"/>
    <w:bookmarkEnd w:id="3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3.5</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FOURTH CERTIFICATE OF AMENDMENT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left="200" w:right="219" w:firstLine="324"/>
        <w:spacing w:after="0" w:line="282" w:lineRule="auto"/>
        <w:rPr>
          <w:sz w:val="20"/>
          <w:szCs w:val="20"/>
          <w:color w:val="auto"/>
        </w:rPr>
      </w:pPr>
      <w:r>
        <w:rPr>
          <w:rFonts w:ascii="Times New Roman" w:cs="Times New Roman" w:eastAsia="Times New Roman" w:hAnsi="Times New Roman"/>
          <w:sz w:val="18"/>
          <w:szCs w:val="18"/>
          <w:color w:val="auto"/>
        </w:rPr>
        <w:t>Protalix BioTherapeutics, Inc., a corporation organized and existing under the laws of the State of Delaware, hereby certifies as follows:</w:t>
      </w:r>
    </w:p>
    <w:p>
      <w:pPr>
        <w:spacing w:after="0" w:line="162" w:lineRule="exact"/>
        <w:rPr>
          <w:sz w:val="20"/>
          <w:szCs w:val="20"/>
          <w:color w:val="auto"/>
        </w:rPr>
      </w:pPr>
    </w:p>
    <w:p>
      <w:pPr>
        <w:jc w:val="both"/>
        <w:ind w:left="200" w:right="239" w:firstLine="657"/>
        <w:spacing w:after="0" w:line="261"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Protalix BioTherapeutics, Inc. (the “Corporation”). The Certificate of Incorporation of the Corporation was filed with the Secretary of the State of Delaware on March 30, 2016, as amended by that Certificate of Amendment dated August 16, 2016, that Second Certificate of Amendment dated January 15, 2019 and that Third Certificate of Amendment dated December 16, 2019 (the “Certificate of Incorporation”).</w:t>
      </w:r>
    </w:p>
    <w:p>
      <w:pPr>
        <w:spacing w:after="0" w:line="179" w:lineRule="exact"/>
        <w:rPr>
          <w:rFonts w:ascii="Times New Roman" w:cs="Times New Roman" w:eastAsia="Times New Roman" w:hAnsi="Times New Roman"/>
          <w:sz w:val="18"/>
          <w:szCs w:val="18"/>
          <w:color w:val="auto"/>
        </w:rPr>
      </w:pPr>
    </w:p>
    <w:p>
      <w:pPr>
        <w:ind w:left="200" w:right="359" w:firstLine="657"/>
        <w:spacing w:after="0" w:line="266"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Certificate of Incorporation of the Corporation was duly adopted by the Board of Directors of the Corporation pursuant to a resolution setting forth the proposed amendment of the Certificate of Incorporation and declaring said amendment to be advisable.</w:t>
      </w:r>
    </w:p>
    <w:p>
      <w:pPr>
        <w:spacing w:after="0" w:line="175" w:lineRule="exact"/>
        <w:rPr>
          <w:rFonts w:ascii="Times New Roman" w:cs="Times New Roman" w:eastAsia="Times New Roman" w:hAnsi="Times New Roman"/>
          <w:sz w:val="18"/>
          <w:szCs w:val="18"/>
          <w:color w:val="auto"/>
        </w:rPr>
      </w:pPr>
    </w:p>
    <w:p>
      <w:pPr>
        <w:ind w:left="1680" w:hanging="823"/>
        <w:spacing w:after="0"/>
        <w:tabs>
          <w:tab w:leader="none" w:pos="1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III of the Certificate of Incorporation, as amended, is hereby amended and restated in its</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entirety as follows:</w:t>
      </w:r>
    </w:p>
    <w:p>
      <w:pPr>
        <w:spacing w:after="0" w:line="207" w:lineRule="exact"/>
        <w:rPr>
          <w:sz w:val="20"/>
          <w:szCs w:val="20"/>
          <w:color w:val="auto"/>
        </w:rPr>
      </w:pPr>
    </w:p>
    <w:p>
      <w:pPr>
        <w:ind w:left="1500" w:right="299"/>
        <w:spacing w:after="0" w:line="258" w:lineRule="auto"/>
        <w:rPr>
          <w:sz w:val="20"/>
          <w:szCs w:val="20"/>
          <w:color w:val="auto"/>
        </w:rPr>
      </w:pPr>
      <w:r>
        <w:rPr>
          <w:rFonts w:ascii="Times New Roman" w:cs="Times New Roman" w:eastAsia="Times New Roman" w:hAnsi="Times New Roman"/>
          <w:sz w:val="18"/>
          <w:szCs w:val="18"/>
          <w:color w:val="auto"/>
        </w:rPr>
        <w:t>“The Corporation is authorized to issue the following shares of capital stock: (a) 144,000,000 shares of common stock, par value $.001 per share (the “Common Stock”); and (b) 100,000,000 shares of preferred stock, par value $.0001 per share (the “Preferred Stock”). The voting rights, the rights of redemption and other relative rights and preferences of the Preferred Stock shall be established by the Board of Directors.</w:t>
      </w:r>
    </w:p>
    <w:p>
      <w:pPr>
        <w:spacing w:after="0" w:line="183" w:lineRule="exact"/>
        <w:rPr>
          <w:sz w:val="20"/>
          <w:szCs w:val="20"/>
          <w:color w:val="auto"/>
        </w:rPr>
      </w:pPr>
    </w:p>
    <w:p>
      <w:pPr>
        <w:ind w:left="1500" w:right="239"/>
        <w:spacing w:after="0" w:line="261" w:lineRule="auto"/>
        <w:rPr>
          <w:sz w:val="20"/>
          <w:szCs w:val="20"/>
          <w:color w:val="auto"/>
        </w:rPr>
      </w:pPr>
      <w:r>
        <w:rPr>
          <w:rFonts w:ascii="Times New Roman" w:cs="Times New Roman" w:eastAsia="Times New Roman" w:hAnsi="Times New Roman"/>
          <w:sz w:val="18"/>
          <w:szCs w:val="18"/>
          <w:color w:val="auto"/>
        </w:rPr>
        <w:t>The Board of Directors may authorize the issuance of such stock to such persons upon such terms and for such consideration in cash, property or services as the Board of Directors may determine and as may be allowed by law. The just valuation of such property or services shall be fixed by the Board of Directors. All such stock when issued shall be fully paid and exempt from assessment.”</w:t>
      </w:r>
    </w:p>
    <w:p>
      <w:pPr>
        <w:spacing w:after="0" w:line="180" w:lineRule="exact"/>
        <w:rPr>
          <w:sz w:val="20"/>
          <w:szCs w:val="20"/>
          <w:color w:val="auto"/>
        </w:rPr>
      </w:pPr>
    </w:p>
    <w:p>
      <w:pPr>
        <w:ind w:left="200" w:right="299" w:firstLine="657"/>
        <w:spacing w:after="0" w:line="282" w:lineRule="auto"/>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aforesaid amendment was duly adopted in accordance with the provisions of Section 242 of the General Corporation Law of the State of Delaware.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ind w:left="200" w:right="219"/>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Certificate of Incorporation to be signed by its duly authorized President and Chief Executive Officer this 26th day of July, 2022.</w:t>
      </w:r>
    </w:p>
    <w:p>
      <w:pPr>
        <w:spacing w:after="0" w:line="3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By:/s/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440" w:right="140" w:hanging="432"/>
        <w:spacing w:after="0" w:line="266" w:lineRule="auto"/>
        <w:tabs>
          <w:tab w:leader="none" w:pos="4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880" w:right="300" w:hanging="432"/>
        <w:spacing w:after="0" w:line="266" w:lineRule="auto"/>
        <w:tabs>
          <w:tab w:leader="none" w:pos="8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00" w:right="660" w:hanging="451"/>
        <w:spacing w:after="0" w:line="282" w:lineRule="auto"/>
        <w:tabs>
          <w:tab w:leader="none" w:pos="9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185"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440" w:right="140" w:hanging="432"/>
        <w:spacing w:after="0" w:line="266" w:lineRule="auto"/>
        <w:tabs>
          <w:tab w:leader="none" w:pos="4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880" w:right="300" w:hanging="432"/>
        <w:spacing w:after="0" w:line="266" w:lineRule="auto"/>
        <w:tabs>
          <w:tab w:leader="none" w:pos="8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00" w:right="660" w:hanging="451"/>
        <w:spacing w:after="0" w:line="282" w:lineRule="auto"/>
        <w:tabs>
          <w:tab w:leader="none" w:pos="9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June 30, 2022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39" w:lineRule="exact"/>
        <w:rPr>
          <w:sz w:val="20"/>
          <w:szCs w:val="20"/>
          <w:color w:val="auto"/>
        </w:rPr>
      </w:pPr>
    </w:p>
    <w:p>
      <w:pPr>
        <w:ind w:left="440" w:right="400" w:firstLine="9"/>
        <w:spacing w:after="0" w:line="282"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34"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June 30, 2022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440" w:right="400" w:firstLine="8"/>
        <w:spacing w:after="0" w:line="28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34"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lowerLetter"/>
      <w:start w:val="2"/>
    </w:lvl>
  </w:abstractNum>
  <w:abstractNum w:abstractNumId="6">
    <w:nsid w:val="431BD7B7"/>
    <w:multiLevelType w:val="hybridMultilevel"/>
    <w:lvl w:ilvl="0">
      <w:lvlJc w:val="left"/>
      <w:lvlText w:val="%1."/>
      <w:numFmt w:val="lowerLetter"/>
      <w:start w:val="3"/>
    </w:lvl>
    <w:lvl w:ilvl="1">
      <w:lvlJc w:val="left"/>
      <w:lvlText w:val="%2."/>
      <w:numFmt w:val="decimal"/>
      <w:start w:val="1"/>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2"/>
    </w:lvl>
    <w:lvl w:ilvl="1">
      <w:lvlJc w:val="left"/>
      <w:lvlText w:val="%2)"/>
      <w:numFmt w:val="decimal"/>
      <w:start w:val="1"/>
    </w:lvl>
  </w:abstractNum>
  <w:abstractNum w:abstractNumId="10">
    <w:nsid w:val="62BBD95A"/>
    <w:multiLevelType w:val="hybridMultilevel"/>
    <w:lvl w:ilvl="0">
      <w:lvlJc w:val="left"/>
      <w:lvlText w:val="%1."/>
      <w:numFmt w:val="upperLetter"/>
      <w:start w:val="9"/>
    </w:lvl>
  </w:abstractNum>
  <w:abstractNum w:abstractNumId="11">
    <w:nsid w:val="436C6125"/>
    <w:multiLevelType w:val="hybridMultilevel"/>
    <w:lvl w:ilvl="0">
      <w:lvlJc w:val="left"/>
      <w:lvlText w:val="%1"/>
      <w:numFmt w:val="decimal"/>
      <w:start w:val="1"/>
    </w:lvl>
    <w:lvl w:ilvl="1">
      <w:lvlJc w:val="left"/>
      <w:lvlText w:val="%2."/>
      <w:numFmt w:val="upperLetter"/>
      <w:start w:val="35"/>
    </w:lvl>
  </w:abstractNum>
  <w:abstractNum w:abstractNumId="12">
    <w:nsid w:val="628C895D"/>
    <w:multiLevelType w:val="hybridMultilevel"/>
    <w:lvl w:ilvl="0">
      <w:lvlJc w:val="left"/>
      <w:lvlText w:val="%1)"/>
      <w:numFmt w:val="decimal"/>
      <w:start w:val="2"/>
    </w:lvl>
    <w:lvl w:ilvl="1">
      <w:lvlJc w:val="left"/>
      <w:lvlText w:val="%2"/>
      <w:numFmt w:val="upperLetter"/>
      <w:start w:val="1"/>
    </w:lvl>
  </w:abstractNum>
  <w:abstractNum w:abstractNumId="13">
    <w:nsid w:val="333AB105"/>
    <w:multiLevelType w:val="hybridMultilevel"/>
    <w:lvl w:ilvl="0">
      <w:lvlJc w:val="left"/>
      <w:lvlText w:val="%1"/>
      <w:numFmt w:val="lowerLetter"/>
      <w:start w:val="1"/>
    </w:lvl>
    <w:lvl w:ilvl="1">
      <w:lvlJc w:val="left"/>
      <w:lvlText w:val="%2)"/>
      <w:numFmt w:val="decimal"/>
      <w:start w:val="3"/>
    </w:lvl>
  </w:abstractNum>
  <w:abstractNum w:abstractNumId="14">
    <w:nsid w:val="721DA317"/>
    <w:multiLevelType w:val="hybridMultilevel"/>
    <w:lvl w:ilvl="0">
      <w:lvlJc w:val="left"/>
      <w:lvlText w:val="%1)"/>
      <w:numFmt w:val="lowerLetter"/>
      <w:start w:val="3"/>
    </w:lvl>
    <w:lvl w:ilvl="1">
      <w:lvlJc w:val="left"/>
      <w:lvlText w:val="%2"/>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02"/>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04"/>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4"/>
    </w:lvl>
  </w:abstractNum>
  <w:abstractNum w:abstractNumId="25">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2"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50" Type="http://schemas.openxmlformats.org/officeDocument/2006/relationships/hyperlink" Target="https://www.sec.gov/Archives/edgar/data/1006281/000114420416092335/v435826_ex3-1.htm" TargetMode="External"/><Relationship Id="rId51" Type="http://schemas.openxmlformats.org/officeDocument/2006/relationships/hyperlink" Target="https://www.sec.gov/Archives/edgar/data/1006281/000114420416111273/v443094_def14a.htm" TargetMode="External"/><Relationship Id="rId52" Type="http://schemas.openxmlformats.org/officeDocument/2006/relationships/hyperlink" Target="https://www.sec.gov/Archives/edgar/data/1006281/000114420418054229/tv504383-def14a.htm" TargetMode="External"/><Relationship Id="rId53" Type="http://schemas.openxmlformats.org/officeDocument/2006/relationships/hyperlink" Target="https://www.sec.gov/Archives/edgar/data/1006281/000110465919074602/tm1926620d1_ex3-1.htm" TargetMode="External"/><Relationship Id="rId54" Type="http://schemas.openxmlformats.org/officeDocument/2006/relationships/hyperlink" Target="https://www.sec.gov/Archives/edgar/data/1006281/000114420416092335/v435826_ex3-2.htm" TargetMode="External"/><Relationship Id="rId55" Type="http://schemas.openxmlformats.org/officeDocument/2006/relationships/hyperlink" Target="https://www.sec.gov/Archives/edgar/data/1006281/000114420412040015/v318898_ex4-1.htm" TargetMode="External"/><Relationship Id="rId56" Type="http://schemas.openxmlformats.org/officeDocument/2006/relationships/hyperlink" Target="https://www.sec.gov/Archives/edgar/data/1006281/000110465920032540/tm205240d1_ex4-7.htm" TargetMode="External"/><Relationship Id="rId57" Type="http://schemas.openxmlformats.org/officeDocument/2006/relationships/hyperlink" Target="https://www.sec.gov/Archives/edgar/data/1006281/000110465920032169/tm2012488d1_ex4-1.htm" TargetMode="External"/><Relationship Id="rId58" Type="http://schemas.openxmlformats.org/officeDocument/2006/relationships/hyperlink" Target="https://www.sec.gov/Archives/edgar/data/1006281/000110465920092375/plx-20200630xex4d8.htm" TargetMode="External"/><Relationship Id="rId59" Type="http://schemas.openxmlformats.org/officeDocument/2006/relationships/hyperlink" Target="https://www.sec.gov/Archives/edgar/data/1006281/000110465920092375/plx-20200630xex4d9.htm" TargetMode="External"/><Relationship Id="rId60" Type="http://schemas.openxmlformats.org/officeDocument/2006/relationships/hyperlink" Target="https://www.sec.gov/Archives/edgar/data/1006281/000155837021012078/plx-20210824xex4d2.htm" TargetMode="External"/><Relationship Id="rId61" Type="http://schemas.openxmlformats.org/officeDocument/2006/relationships/hyperlink" Target="https://www.sec.gov/Archives/edgar/data/1006281/000155837021012078/plx-20210824xex4d3.htm" TargetMode="External"/><Relationship Id="rId63" Type="http://schemas.openxmlformats.org/officeDocument/2006/relationships/hyperlink" Target="https://www.sec.gov/Archives/edgar/data/1006281/000110465922079877/tm2221015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2022-08-15T06:19:36Z</dcterms:created>
  <dcterms:modified xsi:type="dcterms:W3CDTF">2022-08-15T06:19:36Z</dcterms:modified>
</cp:coreProperties>
</file>