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142875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84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w:t>
            </w:r>
          </w:p>
        </w:tc>
      </w:tr>
      <w:tr>
        <w:trPr>
          <w:trHeight w:val="214"/>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001-33357</w:t>
            </w:r>
          </w:p>
        </w:tc>
      </w:tr>
      <w:tr>
        <w:trPr>
          <w:trHeight w:val="186"/>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102235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PROTALIX BIOTHERAPEUTICS,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1"/>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49"/>
              <w:spacing w:after="0"/>
              <w:rPr>
                <w:sz w:val="20"/>
                <w:szCs w:val="20"/>
                <w:color w:val="auto"/>
              </w:rPr>
            </w:pPr>
            <w:r>
              <w:rPr>
                <w:rFonts w:ascii="Arial" w:cs="Arial" w:eastAsia="Arial" w:hAnsi="Arial"/>
                <w:sz w:val="14"/>
                <w:szCs w:val="14"/>
                <w:b w:val="1"/>
                <w:bCs w:val="1"/>
                <w:color w:val="auto"/>
                <w:w w:val="94"/>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09"/>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6"/>
        </w:trPr>
        <w:tc>
          <w:tcPr>
            <w:tcW w:w="5420" w:type="dxa"/>
            <w:vAlign w:val="bottom"/>
            <w:gridSpan w:val="7"/>
          </w:tcPr>
          <w:p>
            <w:pPr>
              <w:ind w:left="160"/>
              <w:spacing w:after="0"/>
              <w:rPr>
                <w:sz w:val="20"/>
                <w:szCs w:val="20"/>
                <w:color w:val="auto"/>
              </w:rPr>
            </w:pPr>
            <w:r>
              <w:rPr>
                <w:rFonts w:ascii="Arial" w:cs="Arial" w:eastAsia="Arial" w:hAnsi="Arial"/>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9"/>
        </w:trPr>
        <w:tc>
          <w:tcPr>
            <w:tcW w:w="5420" w:type="dxa"/>
            <w:vAlign w:val="bottom"/>
            <w:gridSpan w:val="7"/>
          </w:tcPr>
          <w:p>
            <w:pPr>
              <w:jc w:val="center"/>
              <w:ind w:right="2988"/>
              <w:spacing w:after="0"/>
              <w:rPr>
                <w:sz w:val="20"/>
                <w:szCs w:val="20"/>
                <w:color w:val="auto"/>
              </w:rPr>
            </w:pPr>
            <w:r>
              <w:rPr>
                <w:rFonts w:ascii="Arial" w:cs="Arial" w:eastAsia="Arial" w:hAnsi="Arial"/>
                <w:sz w:val="14"/>
                <w:szCs w:val="14"/>
                <w:b w:val="1"/>
                <w:bCs w:val="1"/>
                <w:color w:val="auto"/>
                <w:w w:val="94"/>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Arial" w:cs="Arial" w:eastAsia="Arial" w:hAnsi="Arial"/>
                <w:sz w:val="14"/>
                <w:szCs w:val="14"/>
                <w:b w:val="1"/>
                <w:bCs w:val="1"/>
                <w:color w:val="auto"/>
                <w:w w:val="91"/>
              </w:rPr>
              <w:t>Suite 100</w:t>
            </w:r>
          </w:p>
        </w:tc>
        <w:tc>
          <w:tcPr>
            <w:tcW w:w="900" w:type="dxa"/>
            <w:vAlign w:val="bottom"/>
            <w:gridSpan w:val="3"/>
            <w:vMerge w:val="restart"/>
          </w:tcPr>
          <w:p>
            <w:pPr>
              <w:jc w:val="center"/>
              <w:ind w:left="469"/>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7"/>
              </w:rPr>
              <w:t>(Address of</w:t>
            </w:r>
          </w:p>
        </w:tc>
        <w:tc>
          <w:tcPr>
            <w:tcW w:w="4720" w:type="dxa"/>
            <w:vAlign w:val="bottom"/>
            <w:gridSpan w:val="6"/>
          </w:tcPr>
          <w:p>
            <w:pPr>
              <w:jc w:val="center"/>
              <w:ind w:right="3668"/>
              <w:spacing w:after="0" w:line="158" w:lineRule="exact"/>
              <w:rPr>
                <w:sz w:val="20"/>
                <w:szCs w:val="20"/>
                <w:color w:val="auto"/>
              </w:rPr>
            </w:pPr>
            <w:r>
              <w:rPr>
                <w:rFonts w:ascii="Arial" w:cs="Arial" w:eastAsia="Arial" w:hAnsi="Arial"/>
                <w:sz w:val="14"/>
                <w:szCs w:val="14"/>
                <w:b w:val="1"/>
                <w:bCs w:val="1"/>
                <w:color w:val="auto"/>
                <w:w w:val="91"/>
              </w:rPr>
              <w:t>Hackensack, NJ</w:t>
            </w: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92"/>
        </w:trPr>
        <w:tc>
          <w:tcPr>
            <w:tcW w:w="4120" w:type="dxa"/>
            <w:vAlign w:val="bottom"/>
            <w:gridSpan w:val="6"/>
          </w:tcPr>
          <w:p>
            <w:pPr>
              <w:jc w:val="right"/>
              <w:spacing w:after="0"/>
              <w:rPr>
                <w:sz w:val="20"/>
                <w:szCs w:val="20"/>
                <w:color w:val="auto"/>
              </w:rPr>
            </w:pPr>
            <w:r>
              <w:rPr>
                <w:rFonts w:ascii="Arial" w:cs="Arial" w:eastAsia="Arial" w:hAnsi="Arial"/>
                <w:sz w:val="14"/>
                <w:szCs w:val="14"/>
                <w:b w:val="1"/>
                <w:bCs w:val="1"/>
                <w:u w:val="single" w:color="auto"/>
                <w:color w:val="auto"/>
              </w:rPr>
              <w:t>(201)</w:t>
            </w:r>
            <w:r>
              <w:rPr>
                <w:rFonts w:ascii="Arial" w:cs="Arial" w:eastAsia="Arial" w:hAnsi="Arial"/>
                <w:sz w:val="14"/>
                <w:szCs w:val="14"/>
                <w:b w:val="1"/>
                <w:bCs w:val="1"/>
                <w:color w:val="auto"/>
              </w:rPr>
              <w:t>-696-9345</w:t>
            </w: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ind w:left="66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2840" w:type="dxa"/>
            <w:vAlign w:val="bottom"/>
          </w:tcPr>
          <w:p>
            <w:pPr>
              <w:jc w:val="center"/>
              <w:ind w:right="868"/>
              <w:spacing w:after="0"/>
              <w:rPr>
                <w:sz w:val="20"/>
                <w:szCs w:val="20"/>
                <w:color w:val="auto"/>
              </w:rPr>
            </w:pPr>
            <w:r>
              <w:rPr>
                <w:rFonts w:ascii="Arial" w:cs="Arial" w:eastAsia="Arial" w:hAnsi="Arial"/>
                <w:sz w:val="14"/>
                <w:szCs w:val="14"/>
                <w:color w:val="auto"/>
                <w:w w:val="92"/>
              </w:rPr>
              <w:t>Common stock, $0.001 par value</w:t>
            </w:r>
          </w:p>
        </w:tc>
        <w:tc>
          <w:tcPr>
            <w:tcW w:w="2860" w:type="dxa"/>
            <w:vAlign w:val="bottom"/>
          </w:tcPr>
          <w:p>
            <w:pPr>
              <w:jc w:val="center"/>
              <w:ind w:left="108"/>
              <w:spacing w:after="0"/>
              <w:rPr>
                <w:sz w:val="20"/>
                <w:szCs w:val="20"/>
                <w:color w:val="auto"/>
              </w:rPr>
            </w:pPr>
            <w:r>
              <w:rPr>
                <w:rFonts w:ascii="Arial" w:cs="Arial" w:eastAsia="Arial" w:hAnsi="Arial"/>
                <w:sz w:val="14"/>
                <w:szCs w:val="14"/>
                <w:color w:val="auto"/>
              </w:rPr>
              <w:t>PLX</w:t>
            </w:r>
          </w:p>
        </w:tc>
        <w:tc>
          <w:tcPr>
            <w:tcW w:w="3420" w:type="dxa"/>
            <w:vAlign w:val="bottom"/>
          </w:tcPr>
          <w:p>
            <w:pPr>
              <w:jc w:val="center"/>
              <w:ind w:left="668"/>
              <w:spacing w:after="0"/>
              <w:rPr>
                <w:sz w:val="20"/>
                <w:szCs w:val="20"/>
                <w:color w:val="auto"/>
              </w:rPr>
            </w:pPr>
            <w:r>
              <w:rPr>
                <w:rFonts w:ascii="Arial" w:cs="Arial" w:eastAsia="Arial" w:hAnsi="Arial"/>
                <w:sz w:val="14"/>
                <w:szCs w:val="14"/>
                <w:color w:val="auto"/>
                <w:w w:val="94"/>
              </w:rPr>
              <w:t>NYSE American</w:t>
            </w:r>
          </w:p>
        </w:tc>
      </w:tr>
    </w:tbl>
    <w:p>
      <w:pPr>
        <w:spacing w:after="0" w:line="61" w:lineRule="exact"/>
        <w:rPr>
          <w:sz w:val="24"/>
          <w:szCs w:val="24"/>
          <w:color w:val="auto"/>
        </w:rPr>
      </w:pPr>
    </w:p>
    <w:p>
      <w:pPr>
        <w:ind w:right="4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right="260"/>
        <w:spacing w:after="0" w:line="18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0" w:lineRule="exact"/>
        <w:rPr>
          <w:sz w:val="24"/>
          <w:szCs w:val="24"/>
          <w:color w:val="auto"/>
        </w:rPr>
      </w:pPr>
    </w:p>
    <w:p>
      <w:pPr>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75"/>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76" w:lineRule="exact"/>
              <w:rPr>
                <w:sz w:val="20"/>
                <w:szCs w:val="20"/>
                <w:color w:val="auto"/>
              </w:rPr>
            </w:pPr>
            <w:r>
              <w:rPr>
                <w:rFonts w:ascii="Arial Unicode MS" w:cs="Arial Unicode MS" w:eastAsia="Arial Unicode MS" w:hAnsi="Arial Unicode MS"/>
                <w:sz w:val="14"/>
                <w:szCs w:val="14"/>
                <w:color w:val="auto"/>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50" w:lineRule="exact"/>
        <w:rPr>
          <w:sz w:val="24"/>
          <w:szCs w:val="24"/>
          <w:color w:val="auto"/>
        </w:rPr>
      </w:pPr>
    </w:p>
    <w:p>
      <w:pPr>
        <w:ind w:right="4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80"/>
        <w:spacing w:after="0" w:line="23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On August 1, 2023, approximately 71,580,762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85090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6" w:right="10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5860" w:type="dxa"/>
            <w:vAlign w:val="bottom"/>
            <w:gridSpan w:val="13"/>
            <w:vMerge w:val="restart"/>
          </w:tcPr>
          <w:p>
            <w:pPr>
              <w:jc w:val="center"/>
              <w:ind w:right="2720"/>
              <w:spacing w:after="0"/>
              <w:rPr>
                <w:sz w:val="20"/>
                <w:szCs w:val="20"/>
                <w:color w:val="auto"/>
              </w:rPr>
            </w:pPr>
            <w:r>
              <w:rPr>
                <w:rFonts w:ascii="Arial" w:cs="Arial" w:eastAsia="Arial" w:hAnsi="Arial"/>
                <w:sz w:val="18"/>
                <w:szCs w:val="18"/>
                <w:b w:val="1"/>
                <w:bCs w:val="1"/>
                <w:color w:val="0000EE"/>
              </w:rPr>
              <w:t>PART I – FINANCIAL INFORMATION</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860" w:type="dxa"/>
            <w:vAlign w:val="bottom"/>
            <w:gridSpan w:val="13"/>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240" w:type="dxa"/>
            <w:vAlign w:val="bottom"/>
            <w:gridSpan w:val="2"/>
          </w:tcPr>
          <w:p>
            <w:pPr>
              <w:spacing w:after="0"/>
              <w:rPr>
                <w:sz w:val="21"/>
                <w:szCs w:val="21"/>
                <w:color w:val="auto"/>
              </w:rPr>
            </w:pPr>
          </w:p>
        </w:tc>
        <w:tc>
          <w:tcPr>
            <w:tcW w:w="15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Financial Statements</w:t>
            </w:r>
          </w:p>
        </w:tc>
        <w:tc>
          <w:tcPr>
            <w:tcW w:w="1200" w:type="dxa"/>
            <w:vAlign w:val="bottom"/>
            <w:gridSpan w:val="3"/>
          </w:tcPr>
          <w:p>
            <w:pPr>
              <w:spacing w:after="0"/>
              <w:rPr>
                <w:sz w:val="21"/>
                <w:szCs w:val="21"/>
                <w:color w:val="auto"/>
              </w:rPr>
            </w:pPr>
          </w:p>
        </w:tc>
        <w:tc>
          <w:tcPr>
            <w:tcW w:w="3140" w:type="dxa"/>
            <w:vAlign w:val="bottom"/>
            <w:tcBorders>
              <w:top w:val="single" w:sz="8" w:color="0000EE"/>
            </w:tcBorders>
            <w:gridSpan w:val="7"/>
          </w:tcPr>
          <w:p>
            <w:pPr>
              <w:spacing w:after="0"/>
              <w:rPr>
                <w:sz w:val="21"/>
                <w:szCs w:val="21"/>
                <w:color w:val="auto"/>
              </w:rPr>
            </w:pPr>
          </w:p>
        </w:tc>
        <w:tc>
          <w:tcPr>
            <w:tcW w:w="272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Condensed Consolidated Balance Sheets (Unaudited) – As of June 30, 2023 and December 31, 2022</w:t>
            </w:r>
          </w:p>
        </w:tc>
        <w:tc>
          <w:tcPr>
            <w:tcW w:w="134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(Unaudited) – For the Three and Six Months Ended June 30, 2023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and 2022</w:t>
            </w:r>
          </w:p>
        </w:tc>
        <w:tc>
          <w:tcPr>
            <w:tcW w:w="7900" w:type="dxa"/>
            <w:vAlign w:val="bottom"/>
            <w:gridSpan w:val="1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80" w:type="dxa"/>
            <w:vAlign w:val="bottom"/>
            <w:gridSpan w:val="21"/>
          </w:tcPr>
          <w:p>
            <w:pPr>
              <w:spacing w:after="0" w:line="196" w:lineRule="exact"/>
              <w:rPr>
                <w:sz w:val="20"/>
                <w:szCs w:val="20"/>
                <w:color w:val="auto"/>
              </w:rPr>
            </w:pPr>
            <w:r>
              <w:rPr>
                <w:rFonts w:ascii="Arial" w:cs="Arial" w:eastAsia="Arial" w:hAnsi="Arial"/>
                <w:sz w:val="18"/>
                <w:szCs w:val="18"/>
                <w:color w:val="0000EE"/>
                <w:w w:val="93"/>
              </w:rPr>
              <w:t>Condensed Consolidated Statements of Changes in Stockholders’ Equity (Capital Deficiency) (Unaudited) – For the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Three and Six Months Ended June 30, 2023 and 2022</w:t>
            </w:r>
          </w:p>
        </w:tc>
        <w:tc>
          <w:tcPr>
            <w:tcW w:w="4480" w:type="dxa"/>
            <w:vAlign w:val="bottom"/>
            <w:tcBorders>
              <w:top w:val="single" w:sz="8" w:color="0000EE"/>
            </w:tcBorders>
            <w:gridSpan w:val="8"/>
          </w:tcPr>
          <w:p>
            <w:pPr>
              <w:spacing w:after="0"/>
              <w:rPr>
                <w:sz w:val="17"/>
                <w:szCs w:val="17"/>
                <w:color w:val="auto"/>
              </w:rPr>
            </w:pPr>
          </w:p>
        </w:tc>
        <w:tc>
          <w:tcPr>
            <w:tcW w:w="22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80" w:type="dxa"/>
            <w:vAlign w:val="bottom"/>
            <w:gridSpan w:val="21"/>
          </w:tcPr>
          <w:p>
            <w:pPr>
              <w:spacing w:after="0" w:line="196" w:lineRule="exact"/>
              <w:rPr>
                <w:sz w:val="20"/>
                <w:szCs w:val="20"/>
                <w:color w:val="auto"/>
              </w:rPr>
            </w:pPr>
            <w:r>
              <w:rPr>
                <w:rFonts w:ascii="Arial" w:cs="Arial" w:eastAsia="Arial" w:hAnsi="Arial"/>
                <w:sz w:val="18"/>
                <w:szCs w:val="18"/>
                <w:color w:val="0000EE"/>
                <w:w w:val="90"/>
              </w:rPr>
              <w:t>Condensed Consolidated Statements of Cash Flows (Unaudited) – For the Six Months ended June 30, 2023 and 2022</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140" w:type="dxa"/>
            <w:vAlign w:val="bottom"/>
            <w:gridSpan w:val="2"/>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2.</w:t>
            </w:r>
          </w:p>
        </w:tc>
        <w:tc>
          <w:tcPr>
            <w:tcW w:w="240" w:type="dxa"/>
            <w:vAlign w:val="bottom"/>
            <w:gridSpan w:val="2"/>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12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240" w:type="dxa"/>
            <w:vAlign w:val="bottom"/>
            <w:gridSpan w:val="2"/>
          </w:tcPr>
          <w:p>
            <w:pPr>
              <w:spacing w:after="0"/>
              <w:rPr>
                <w:sz w:val="17"/>
                <w:szCs w:val="17"/>
                <w:color w:val="auto"/>
              </w:rPr>
            </w:pPr>
          </w:p>
        </w:tc>
        <w:tc>
          <w:tcPr>
            <w:tcW w:w="43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858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5"/>
          </w:tcPr>
          <w:p>
            <w:pPr>
              <w:jc w:val="center"/>
              <w:spacing w:after="0" w:line="196" w:lineRule="exact"/>
              <w:rPr>
                <w:sz w:val="20"/>
                <w:szCs w:val="20"/>
                <w:color w:val="auto"/>
              </w:rPr>
            </w:pPr>
            <w:r>
              <w:rPr>
                <w:rFonts w:ascii="Arial" w:cs="Arial" w:eastAsia="Arial" w:hAnsi="Arial"/>
                <w:sz w:val="18"/>
                <w:szCs w:val="18"/>
                <w:b w:val="1"/>
                <w:bCs w:val="1"/>
                <w:color w:val="0000EE"/>
              </w:rPr>
              <w:t>PART II – OTHER INFORMATION</w:t>
            </w:r>
          </w:p>
        </w:tc>
        <w:tc>
          <w:tcPr>
            <w:tcW w:w="286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240" w:type="dxa"/>
            <w:vAlign w:val="bottom"/>
            <w:gridSpan w:val="2"/>
          </w:tcPr>
          <w:p>
            <w:pPr>
              <w:spacing w:after="0"/>
              <w:rPr>
                <w:sz w:val="21"/>
                <w:szCs w:val="21"/>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1A.</w:t>
            </w:r>
          </w:p>
        </w:tc>
        <w:tc>
          <w:tcPr>
            <w:tcW w:w="858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240" w:type="dxa"/>
            <w:vAlign w:val="bottom"/>
            <w:gridSpan w:val="2"/>
          </w:tcPr>
          <w:p>
            <w:pPr>
              <w:spacing w:after="0"/>
              <w:rPr>
                <w:sz w:val="17"/>
                <w:szCs w:val="17"/>
                <w:color w:val="auto"/>
              </w:rPr>
            </w:pPr>
          </w:p>
        </w:tc>
        <w:tc>
          <w:tcPr>
            <w:tcW w:w="2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4.</w:t>
            </w:r>
          </w:p>
        </w:tc>
        <w:tc>
          <w:tcPr>
            <w:tcW w:w="240" w:type="dxa"/>
            <w:vAlign w:val="bottom"/>
            <w:gridSpan w:val="2"/>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5.</w:t>
            </w:r>
          </w:p>
        </w:tc>
        <w:tc>
          <w:tcPr>
            <w:tcW w:w="240" w:type="dxa"/>
            <w:vAlign w:val="bottom"/>
            <w:gridSpan w:val="2"/>
          </w:tcPr>
          <w:p>
            <w:pPr>
              <w:spacing w:after="0"/>
              <w:rPr>
                <w:sz w:val="17"/>
                <w:szCs w:val="17"/>
                <w:color w:val="auto"/>
              </w:rPr>
            </w:pPr>
          </w:p>
        </w:tc>
        <w:tc>
          <w:tcPr>
            <w:tcW w:w="8580" w:type="dxa"/>
            <w:vAlign w:val="bottom"/>
            <w:gridSpan w:val="21"/>
          </w:tcPr>
          <w:p>
            <w:pPr>
              <w:spacing w:after="0" w:line="196" w:lineRule="exact"/>
              <w:rPr>
                <w:sz w:val="20"/>
                <w:szCs w:val="20"/>
                <w:color w:val="auto"/>
              </w:rPr>
            </w:pPr>
            <w:r>
              <w:rPr>
                <w:rFonts w:ascii="Arial" w:cs="Arial" w:eastAsia="Arial" w:hAnsi="Arial"/>
                <w:sz w:val="18"/>
                <w:szCs w:val="18"/>
                <w:color w:val="0000EE"/>
              </w:rPr>
              <w:t>Other Information</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6.</w:t>
            </w:r>
          </w:p>
        </w:tc>
        <w:tc>
          <w:tcPr>
            <w:tcW w:w="240" w:type="dxa"/>
            <w:vAlign w:val="bottom"/>
            <w:gridSpan w:val="2"/>
          </w:tcPr>
          <w:p>
            <w:pPr>
              <w:spacing w:after="0"/>
              <w:rPr>
                <w:sz w:val="17"/>
                <w:szCs w:val="17"/>
                <w:color w:val="auto"/>
              </w:rPr>
            </w:pPr>
          </w:p>
        </w:tc>
        <w:tc>
          <w:tcPr>
            <w:tcW w:w="13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Exhibits</w:t>
            </w:r>
          </w:p>
        </w:tc>
        <w:tc>
          <w:tcPr>
            <w:tcW w:w="7240" w:type="dxa"/>
            <w:vAlign w:val="bottom"/>
            <w:gridSpan w:val="17"/>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Signatures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945"/>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93"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June 30, 2023</w:t>
            </w:r>
          </w:p>
        </w:tc>
        <w:tc>
          <w:tcPr>
            <w:tcW w:w="20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040" w:type="dxa"/>
            <w:vAlign w:val="bottom"/>
          </w:tcPr>
          <w:p>
            <w:pPr>
              <w:ind w:left="30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48,184</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Short-term bank deposits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19,635</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73,576</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in respect of employee rights upon retirement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asset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88,417</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(NET OF CAPITAL DEFICIENCY)</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Accounts payable and accruals: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Contracts liability</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23,109</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 TERM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20,132</w:t>
            </w:r>
          </w:p>
        </w:tc>
        <w:tc>
          <w:tcPr>
            <w:tcW w:w="60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for employee rights upon retirement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long 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26,307</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49,416</w:t>
            </w:r>
          </w:p>
        </w:tc>
        <w:tc>
          <w:tcPr>
            <w:tcW w:w="60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STOCKHOLDERS' EQUITY (CAPITAL DEFICIENCY)</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stockholders' equity (net of capital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88,417</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OPERATIONS </w:t>
      </w:r>
      <w:r>
        <w:rPr>
          <w:rFonts w:ascii="Arial" w:cs="Arial" w:eastAsia="Arial" w:hAnsi="Arial"/>
          <w:sz w:val="18"/>
          <w:szCs w:val="18"/>
          <w:color w:val="auto"/>
        </w:rPr>
        <w:t>(U.S. dollars in thousands, except share and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2023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2022</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2023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2022</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FROM SELLING GOODS</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15,075</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REVENUES FROM LICENSE AND R&amp;D SERVICES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5,371</w:t>
            </w: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8,753</w:t>
            </w: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b w:val="1"/>
                <w:bCs w:val="1"/>
                <w:color w:val="auto"/>
              </w:rPr>
              <w:t>COST OF GOODS SOLD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(9,233)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(4,087)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EXPENSES (2)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(7,579)</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 EXPENSES (3)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w:t>
            </w:r>
          </w:p>
        </w:tc>
        <w:tc>
          <w:tcPr>
            <w:tcW w:w="8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4"/>
                <w:szCs w:val="14"/>
                <w:b w:val="1"/>
                <w:bCs w:val="1"/>
                <w:color w:val="auto"/>
              </w:rPr>
              <w:t>FINANCIAL EXPENSES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(2,169)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FINANCIAL INCOME</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4"/>
                <w:szCs w:val="14"/>
                <w:b w:val="1"/>
                <w:bCs w:val="1"/>
                <w:color w:val="auto"/>
              </w:rPr>
              <w:t>FINANCIAL INCOME (EXPENSES), NET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(1,251)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(LOSS) BEFORE TAXES ON INCOME</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19,647</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4"/>
                <w:szCs w:val="14"/>
                <w:b w:val="1"/>
                <w:bCs w:val="1"/>
                <w:color w:val="auto"/>
              </w:rPr>
              <w:t>TAXES ON INCOME</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 FOR THE PERIOD</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16,208</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19,339</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EARNINGS (LOSS) PER SHARE OF COMMON STOCK:</w:t>
            </w: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BASIC</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tcPr>
          <w:p>
            <w:pPr>
              <w:spacing w:after="0" w:line="155" w:lineRule="exact"/>
              <w:rPr>
                <w:sz w:val="20"/>
                <w:szCs w:val="20"/>
                <w:color w:val="auto"/>
              </w:rPr>
            </w:pPr>
            <w:r>
              <w:rPr>
                <w:rFonts w:ascii="Arial" w:cs="Arial" w:eastAsia="Arial" w:hAnsi="Arial"/>
                <w:sz w:val="14"/>
                <w:szCs w:val="14"/>
                <w:b w:val="1"/>
                <w:bCs w:val="1"/>
                <w:color w:val="auto"/>
              </w:rPr>
              <w:t>DILUTED</w:t>
            </w:r>
          </w:p>
        </w:tc>
        <w:tc>
          <w:tcPr>
            <w:tcW w:w="40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0.18</w:t>
            </w:r>
          </w:p>
        </w:tc>
        <w:tc>
          <w:tcPr>
            <w:tcW w:w="80" w:type="dxa"/>
            <w:vAlign w:val="bottom"/>
          </w:tcPr>
          <w:p>
            <w:pPr>
              <w:spacing w:after="0"/>
              <w:rPr>
                <w:sz w:val="13"/>
                <w:szCs w:val="13"/>
                <w:color w:val="auto"/>
              </w:rPr>
            </w:pPr>
          </w:p>
        </w:tc>
        <w:tc>
          <w:tcPr>
            <w:tcW w:w="24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(0.16)</w:t>
            </w:r>
          </w:p>
        </w:tc>
        <w:tc>
          <w:tcPr>
            <w:tcW w:w="3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0.21</w:t>
            </w:r>
          </w:p>
        </w:tc>
        <w:tc>
          <w:tcPr>
            <w:tcW w:w="32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(0.11)</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 SHARES OF COMMON STOCK</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b w:val="1"/>
                <w:bCs w:val="1"/>
                <w:color w:val="auto"/>
              </w:rPr>
              <w:t>USED IN COMPUTING EARNINGS (LOSS) PER SHARE: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BASIC</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62,378,745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46,589,976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67,158,628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47,327,952</w:t>
            </w: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CCEEFF"/>
            </w:tcBorders>
          </w:tcPr>
          <w:p>
            <w:pPr>
              <w:spacing w:after="0" w:line="156" w:lineRule="exact"/>
              <w:rPr>
                <w:sz w:val="20"/>
                <w:szCs w:val="20"/>
                <w:color w:val="auto"/>
              </w:rPr>
            </w:pPr>
            <w:r>
              <w:rPr>
                <w:rFonts w:ascii="Arial" w:cs="Arial" w:eastAsia="Arial" w:hAnsi="Arial"/>
                <w:sz w:val="14"/>
                <w:szCs w:val="14"/>
                <w:b w:val="1"/>
                <w:bCs w:val="1"/>
                <w:color w:val="auto"/>
              </w:rPr>
              <w:t>DILUTED</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78,896,220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46,589,976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83,200,641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47,327,952</w:t>
            </w:r>
          </w:p>
        </w:tc>
        <w:tc>
          <w:tcPr>
            <w:tcW w:w="8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(1) Includes share-based compensation</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(2) Includes share-based compensation</w:t>
            </w: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7"/>
                <w:szCs w:val="17"/>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161</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(3) Includes share-based compensation</w:t>
            </w: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shd w:val="clear" w:color="auto" w:fill="CCEEFF"/>
          </w:tcPr>
          <w:p>
            <w:pPr>
              <w:spacing w:after="0"/>
              <w:rPr>
                <w:sz w:val="17"/>
                <w:szCs w:val="17"/>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260"/>
          </w:cols>
          <w:pgMar w:left="820" w:top="665" w:right="8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59"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 (1)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2022</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45,556,647</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368,852</w:t>
            </w:r>
          </w:p>
        </w:tc>
        <w:tc>
          <w:tcPr>
            <w:tcW w:w="4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(374,934)</w:t>
            </w:r>
          </w:p>
        </w:tc>
        <w:tc>
          <w:tcPr>
            <w:tcW w:w="36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six-month period ended June 30, 2022:</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2,395,823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759,482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20"/>
                <w:szCs w:val="20"/>
                <w:color w:val="auto"/>
              </w:rPr>
            </w:pPr>
            <w:r>
              <w:rPr>
                <w:rFonts w:ascii="Arial" w:cs="Arial" w:eastAsia="Arial" w:hAnsi="Arial"/>
                <w:sz w:val="14"/>
                <w:szCs w:val="14"/>
                <w:color w:val="auto"/>
              </w:rPr>
              <w:t>Exercise of warrants</w:t>
            </w: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(7,620)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June 30, 2022</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48,712,952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372,616</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(382,554)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January 1, 2023</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53,790,167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379,167</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(389,861)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(10,640)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six-month period ended June 30, 2023:</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12,560,150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23,941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Convertible notes conversions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4,691,623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7,778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538,822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Net income for the period</w:t>
            </w:r>
          </w:p>
        </w:tc>
        <w:tc>
          <w:tcPr>
            <w:tcW w:w="9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16,208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June 30, 2023</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71,580,762</w:t>
            </w:r>
          </w:p>
        </w:tc>
        <w:tc>
          <w:tcPr>
            <w:tcW w:w="3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72</w:t>
            </w:r>
          </w:p>
        </w:tc>
        <w:tc>
          <w:tcPr>
            <w:tcW w:w="2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412,582</w:t>
            </w:r>
          </w:p>
        </w:tc>
        <w:tc>
          <w:tcPr>
            <w:tcW w:w="400" w:type="dxa"/>
            <w:vAlign w:val="bottom"/>
            <w:gridSpan w:val="2"/>
            <w:shd w:val="clear" w:color="auto" w:fill="CCEEFF"/>
          </w:tcPr>
          <w:p>
            <w:pPr>
              <w:jc w:val="right"/>
              <w:ind w:right="48"/>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(373,653)</w:t>
            </w:r>
          </w:p>
        </w:tc>
        <w:tc>
          <w:tcPr>
            <w:tcW w:w="360" w:type="dxa"/>
            <w:vAlign w:val="bottom"/>
            <w:gridSpan w:val="2"/>
            <w:shd w:val="clear" w:color="auto" w:fill="CCEEFF"/>
          </w:tcPr>
          <w:p>
            <w:pPr>
              <w:jc w:val="right"/>
              <w:ind w:right="48"/>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39,001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80" w:type="dxa"/>
            <w:vAlign w:val="bottom"/>
            <w:tcBorders>
              <w:top w:val="single" w:sz="8" w:color="CCEEFF"/>
            </w:tcBorders>
          </w:tcPr>
          <w:p>
            <w:pPr>
              <w:spacing w:after="0" w:line="129" w:lineRule="exact"/>
              <w:rPr>
                <w:sz w:val="20"/>
                <w:szCs w:val="20"/>
                <w:color w:val="auto"/>
              </w:rPr>
            </w:pPr>
            <w:r>
              <w:rPr>
                <w:rFonts w:ascii="Arial" w:cs="Arial" w:eastAsia="Arial" w:hAnsi="Arial"/>
                <w:sz w:val="14"/>
                <w:szCs w:val="14"/>
                <w:b w:val="1"/>
                <w:bCs w:val="1"/>
                <w:color w:val="auto"/>
              </w:rPr>
              <w:t>Balance at March 31, 2022</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46,316,129</w:t>
            </w: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46</w:t>
            </w: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369,688</w:t>
            </w:r>
          </w:p>
        </w:tc>
        <w:tc>
          <w:tcPr>
            <w:tcW w:w="2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(377,220)</w:t>
            </w:r>
          </w:p>
        </w:tc>
        <w:tc>
          <w:tcPr>
            <w:tcW w:w="16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(7,486)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June 30, 2022:</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2,395,823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2022</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48,712,952</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372,616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(382,554)</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2023</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8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62,002,649</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62</w:t>
            </w:r>
          </w:p>
        </w:tc>
        <w:tc>
          <w:tcPr>
            <w:tcW w:w="180" w:type="dxa"/>
            <w:vAlign w:val="bottom"/>
            <w:vMerge w:val="continue"/>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393,938</w:t>
            </w:r>
          </w:p>
        </w:tc>
        <w:tc>
          <w:tcPr>
            <w:tcW w:w="200" w:type="dxa"/>
            <w:vAlign w:val="bottom"/>
            <w:vMerge w:val="continue"/>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(392,992)</w:t>
            </w:r>
          </w:p>
        </w:tc>
        <w:tc>
          <w:tcPr>
            <w:tcW w:w="160" w:type="dxa"/>
            <w:vAlign w:val="bottom"/>
            <w:vMerge w:val="continue"/>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June 30, 2023:</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4,347,668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9,716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 conversions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4,691,623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538,822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for the period</w:t>
            </w:r>
          </w:p>
        </w:tc>
        <w:tc>
          <w:tcPr>
            <w:tcW w:w="9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19,339</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line="129" w:lineRule="exact"/>
              <w:rPr>
                <w:sz w:val="20"/>
                <w:szCs w:val="20"/>
                <w:color w:val="auto"/>
              </w:rPr>
            </w:pPr>
            <w:r>
              <w:rPr>
                <w:rFonts w:ascii="Arial" w:cs="Arial" w:eastAsia="Arial" w:hAnsi="Arial"/>
                <w:sz w:val="14"/>
                <w:szCs w:val="14"/>
                <w:b w:val="1"/>
                <w:bCs w:val="1"/>
                <w:color w:val="auto"/>
              </w:rPr>
              <w:t>Balance at June 30, 2023</w:t>
            </w: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71,580,762</w:t>
            </w:r>
          </w:p>
        </w:tc>
        <w:tc>
          <w:tcPr>
            <w:tcW w:w="3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72</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412,582</w:t>
            </w:r>
          </w:p>
        </w:tc>
        <w:tc>
          <w:tcPr>
            <w:tcW w:w="400" w:type="dxa"/>
            <w:vAlign w:val="bottom"/>
            <w:gridSpan w:val="2"/>
          </w:tcPr>
          <w:p>
            <w:pPr>
              <w:jc w:val="right"/>
              <w:ind w:right="48"/>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(373,653)</w:t>
            </w:r>
          </w:p>
        </w:tc>
        <w:tc>
          <w:tcPr>
            <w:tcW w:w="360" w:type="dxa"/>
            <w:vAlign w:val="bottom"/>
            <w:gridSpan w:val="2"/>
          </w:tcPr>
          <w:p>
            <w:pPr>
              <w:jc w:val="right"/>
              <w:ind w:right="48"/>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39,001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*Represents an amount equal to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Common stock, $0.001 par value; Authorized – as of June 30, 2023 and 2022 – 144,000,000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June 30, 2023</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16,208</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required to reconcile net income (loss) to net cash used in operating</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Financial income, net (mainly exchange differences)</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Changes in deferred tax asset</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amounts funded in respect of employee rights upon retirement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Gain on conversions of convertible notes</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 and debt discount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contracts liability</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color w:val="auto"/>
              </w:rPr>
              <w:t>Decrease in accounts receivable-trade and other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lease right of use assets,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color w:val="auto"/>
              </w:rPr>
              <w:t>Decrease (increase) in inventories</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accounts payable and accruals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bank deposits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Proceeds from sale of short-term deposits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Amounts paid (funded) in respect of employee rights upon retirement, net</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23,954</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EFFECT OF EXCHANGE RATE CHANGES ON CASH AND CASH</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EQUIVALENTS</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(26,493)</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BALANCE OF CASH AND CASH EQUIVALENTS AT END OF PERIOD</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June 30, 2022</w:t>
            </w:r>
          </w:p>
        </w:tc>
        <w:tc>
          <w:tcPr>
            <w:tcW w:w="120" w:type="dxa"/>
            <w:vAlign w:val="bottom"/>
            <w:tcBorders>
              <w:bottom w:val="single" w:sz="8" w:color="CCEEFF"/>
            </w:tcBorders>
          </w:tcPr>
          <w:p>
            <w:pPr>
              <w:spacing w:after="0"/>
              <w:rPr>
                <w:sz w:val="12"/>
                <w:szCs w:val="12"/>
                <w:color w:val="auto"/>
              </w:rPr>
            </w:pPr>
          </w:p>
        </w:tc>
      </w:tr>
      <w:tr>
        <w:trPr>
          <w:trHeight w:val="178"/>
        </w:trPr>
        <w:tc>
          <w:tcPr>
            <w:tcW w:w="73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8"/>
              </w:rPr>
              <w:t>Operating lease right of use assets obtained in exchange for new operating lease liabilities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5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Convertible notes conversions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DISCLOSURE ON CASH FLOWS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6"/>
        </w:trPr>
        <w:tc>
          <w:tcPr>
            <w:tcW w:w="732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2"/>
                <w:szCs w:val="22"/>
                <w:color w:val="auto"/>
              </w:rPr>
            </w:pPr>
          </w:p>
        </w:tc>
      </w:tr>
      <w:tr>
        <w:trPr>
          <w:trHeight w:val="196"/>
        </w:trPr>
        <w:tc>
          <w:tcPr>
            <w:tcW w:w="732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Interest received</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2" w:lineRule="exact"/>
        <w:rPr>
          <w:rFonts w:ascii="Arial" w:cs="Arial" w:eastAsia="Arial" w:hAnsi="Arial"/>
          <w:sz w:val="18"/>
          <w:szCs w:val="18"/>
          <w:b w:val="1"/>
          <w:bCs w:val="1"/>
          <w:color w:val="auto"/>
        </w:rPr>
      </w:pPr>
    </w:p>
    <w:p>
      <w:pPr>
        <w:ind w:left="980"/>
        <w:spacing w:after="0" w:line="256" w:lineRule="auto"/>
        <w:rPr>
          <w:rFonts w:ascii="Arial" w:cs="Arial" w:eastAsia="Arial" w:hAnsi="Arial"/>
          <w:sz w:val="18"/>
          <w:szCs w:val="18"/>
          <w:b w:val="1"/>
          <w:bCs w:val="1"/>
          <w:color w:val="auto"/>
        </w:rPr>
      </w:pPr>
      <w:r>
        <w:rPr>
          <w:rFonts w:ascii="Arial" w:cs="Arial" w:eastAsia="Arial" w:hAnsi="Arial"/>
          <w:sz w:val="16"/>
          <w:szCs w:val="16"/>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protein expression system (“ProCellEx”). The Company’s current focus is to facilitate the commercialization efforts of Chiesi Farmaceutici S.p.A. (“Chiesi”), the Company’s development and commercialization partner for pegunigalsidase alfa, or Elfabrio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(which the Company referred to as PRX-102 during its development stage), for the treatment of Fabry disease, a rare, genetic lysosomal disorder. To date, the Company has successfully developed taliglucerase alfa (marketed under the name Elelyso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except in Brazil where it is marketed as BioManguinhos alfataliglicerase) for the treatment of Gaucher disease that has been approved for marketing in the United States, Brazil, Israel and other markets. The Company’s strategy is to develop proprietary recombinant proteins designed to address high, unmet needs in the rare disease space that are therapeutically superior to existing recombinant proteins currently marketed for the same indications. Consistent with this strategy, the Company has a number of product candidates in varying stages of the clinical development process.</w:t>
      </w:r>
    </w:p>
    <w:p>
      <w:pPr>
        <w:spacing w:after="0" w:line="154" w:lineRule="exact"/>
        <w:rPr>
          <w:rFonts w:ascii="Arial" w:cs="Arial" w:eastAsia="Arial" w:hAnsi="Arial"/>
          <w:sz w:val="18"/>
          <w:szCs w:val="18"/>
          <w:b w:val="1"/>
          <w:bCs w:val="1"/>
          <w:color w:val="auto"/>
        </w:rPr>
      </w:pPr>
    </w:p>
    <w:p>
      <w:pPr>
        <w:ind w:left="980" w:right="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each for adult patients with Fabry disease. Both approvals cover the 1 mg/kg every two weeks dosage. The European Medicines Agency (“EMA”) approval followed the February 2023 adoption of a positive opinion and recommendation of marketing authorization for Elfabrio by the EMA’s Committee for Medicinal Products for Human Use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45" w:lineRule="exact"/>
        <w:rPr>
          <w:rFonts w:ascii="Arial" w:cs="Arial" w:eastAsia="Arial" w:hAnsi="Arial"/>
          <w:sz w:val="18"/>
          <w:szCs w:val="18"/>
          <w:b w:val="1"/>
          <w:bCs w:val="1"/>
          <w:color w:val="auto"/>
        </w:rPr>
      </w:pPr>
    </w:p>
    <w:p>
      <w:pPr>
        <w:ind w:left="98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two exclusive global licensing and supply agreements for Elfabrio with its development and commercialization partner for PRX-102, Chiesi Farmaceutici S.p.A.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50" w:lineRule="exact"/>
        <w:rPr>
          <w:rFonts w:ascii="Arial" w:cs="Arial" w:eastAsia="Arial" w:hAnsi="Arial"/>
          <w:sz w:val="18"/>
          <w:szCs w:val="18"/>
          <w:b w:val="1"/>
          <w:bCs w:val="1"/>
          <w:color w:val="auto"/>
        </w:rPr>
      </w:pPr>
    </w:p>
    <w:p>
      <w:pPr>
        <w:ind w:left="98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Elfabrio, an enzyme replacement therapy, or ERT, was the subject of a phase III clinical program studying the drug as a treatment of patients with Fabry disease, a rare, genetic lysosomal disorder. The phase III clinical program included three separate studies, which are referred to as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and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The phase III clinical program analyzed two potential dosing regimens: 1 mg/kg every two weeks and 2 mg/kg every four weeks. In addition, the phase III clinical program included two extension studies in which subjects that participated in our phase I/II clinical trials and phase III clinical trials had the opportunity to enroll and continue to be treated with PRX-102. As of March 1, 2023, sponsorship of the two open-label extension studies was transferred to Chiesi, which is now administering the extension studies. Currently, in the aggregate, 126 patients are enrolled, and 116 patients are actively participating, in such studies.</w:t>
      </w:r>
    </w:p>
    <w:p>
      <w:pPr>
        <w:spacing w:after="0" w:line="167" w:lineRule="exact"/>
        <w:rPr>
          <w:rFonts w:ascii="Arial" w:cs="Arial" w:eastAsia="Arial" w:hAnsi="Arial"/>
          <w:sz w:val="18"/>
          <w:szCs w:val="18"/>
          <w:b w:val="1"/>
          <w:bCs w:val="1"/>
          <w:color w:val="auto"/>
        </w:rPr>
      </w:pPr>
    </w:p>
    <w:p>
      <w:pPr>
        <w:ind w:left="980" w:right="2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Complete Response Letter (“CRL”).</w:t>
      </w:r>
    </w:p>
    <w:p>
      <w:pPr>
        <w:sectPr>
          <w:pgSz w:w="11900" w:h="16838" w:orient="portrait"/>
          <w:cols w:equalWidth="0" w:num="1">
            <w:col w:w="9900"/>
          </w:cols>
          <w:pgMar w:left="980" w:top="665" w:right="101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MAA was submitted to the EMA on February 7, 2022, after the October 8, 2021 meeting we held, together with Chiesi, with the Rapporteur and Co-Rapporteur of the EMA regarding PRX-102.</w:t>
      </w:r>
    </w:p>
    <w:p>
      <w:pPr>
        <w:spacing w:after="0" w:line="157" w:lineRule="exact"/>
        <w:rPr>
          <w:sz w:val="20"/>
          <w:szCs w:val="20"/>
          <w:color w:val="auto"/>
        </w:rPr>
      </w:pPr>
    </w:p>
    <w:p>
      <w:pPr>
        <w:ind w:left="980"/>
        <w:spacing w:after="0" w:line="290" w:lineRule="auto"/>
        <w:rPr>
          <w:sz w:val="20"/>
          <w:szCs w:val="20"/>
          <w:color w:val="auto"/>
        </w:rPr>
      </w:pPr>
      <w:r>
        <w:rPr>
          <w:rFonts w:ascii="Arial" w:cs="Arial" w:eastAsia="Arial" w:hAnsi="Arial"/>
          <w:sz w:val="16"/>
          <w:szCs w:val="16"/>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(also referred to as Study PB-102-F20). The FDA review team also concluded that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met its primary efficacy endpoint, which assessed the annualized rate of change in eGFR (estimated glomerular filtration rate) over 104 weeks. However, the FDA also determined that the results from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did not support a non-inferiority claim to the comparator product due to the lack of data to support a non-inferiority margin.</w:t>
      </w:r>
    </w:p>
    <w:p>
      <w:pPr>
        <w:spacing w:after="0" w:line="138" w:lineRule="exact"/>
        <w:rPr>
          <w:sz w:val="20"/>
          <w:szCs w:val="20"/>
          <w:color w:val="auto"/>
        </w:rPr>
      </w:pPr>
    </w:p>
    <w:p>
      <w:pPr>
        <w:jc w:val="both"/>
        <w:ind w:left="980" w:right="400"/>
        <w:spacing w:after="0" w:line="263" w:lineRule="auto"/>
        <w:rPr>
          <w:sz w:val="20"/>
          <w:szCs w:val="20"/>
          <w:color w:val="auto"/>
        </w:rPr>
      </w:pPr>
      <w:r>
        <w:rPr>
          <w:rFonts w:ascii="Arial" w:cs="Arial" w:eastAsia="Arial" w:hAnsi="Arial"/>
          <w:sz w:val="18"/>
          <w:szCs w:val="18"/>
          <w:color w:val="auto"/>
        </w:rPr>
        <w:t>In addition to Elfabrio, the Company successfully developed taliglucerase alfa, an enzyme replacement therapy for the long-term treatment of adult patients with a confirmed diagnosis of type 1 Gaucher disease, that has been approved for marketing in the United States, Brazil, Israel and other markets.</w:t>
      </w:r>
    </w:p>
    <w:p>
      <w:pPr>
        <w:spacing w:after="0" w:line="170"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color w:val="auto"/>
        </w:rPr>
        <w:t>The Company has licensed the rights to commercialize taliglucerase alfa worldwide (other than Brazil) to Pfizer Inc. (“Pfizer”), and in Brazil to Fundação Oswaldo Cruz (“Fiocruz”), an arm of the Brazilian Ministry of Health (the “Brazilian MoH”). Otherwise, except with respect to taliglucerase alfa and Elfabrio, the Company holds the worldwide commercialization rights to its other proprietary development candidates. In addition, the Company continuously evaluates potential strategic marketing partnerships as well as collaboration programs with biotechnology and pharmaceutical companies and academic research institutions.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Company’s product pipeline currently includes, among other candidates:</w:t>
      </w:r>
    </w:p>
    <w:p>
      <w:pPr>
        <w:spacing w:after="0" w:line="212" w:lineRule="exact"/>
        <w:rPr>
          <w:sz w:val="20"/>
          <w:szCs w:val="20"/>
          <w:color w:val="auto"/>
        </w:rPr>
      </w:pPr>
    </w:p>
    <w:p>
      <w:pPr>
        <w:ind w:left="980" w:right="60"/>
        <w:spacing w:after="0" w:line="277" w:lineRule="auto"/>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severe gout; and</w:t>
      </w:r>
    </w:p>
    <w:p>
      <w:pPr>
        <w:spacing w:after="0" w:line="156" w:lineRule="exact"/>
        <w:rPr>
          <w:rFonts w:ascii="Arial" w:cs="Arial" w:eastAsia="Arial" w:hAnsi="Arial"/>
          <w:sz w:val="18"/>
          <w:szCs w:val="18"/>
          <w:color w:val="auto"/>
        </w:rPr>
      </w:pPr>
    </w:p>
    <w:p>
      <w:pPr>
        <w:ind w:left="980" w:right="580"/>
        <w:spacing w:after="0" w:line="277" w:lineRule="auto"/>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March 21, 2023, the first patient was dosed in the Company’s phase I First in Human (“FIH”) clinical trial of PRX-115.</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the date hereof, 13 patients have been dosed in this trial.</w:t>
      </w:r>
    </w:p>
    <w:p>
      <w:pPr>
        <w:spacing w:after="0" w:line="184" w:lineRule="exact"/>
        <w:rPr>
          <w:sz w:val="20"/>
          <w:szCs w:val="20"/>
          <w:color w:val="auto"/>
        </w:rPr>
      </w:pPr>
    </w:p>
    <w:p>
      <w:pPr>
        <w:jc w:val="both"/>
        <w:ind w:left="980" w:right="140"/>
        <w:spacing w:after="0" w:line="286" w:lineRule="auto"/>
        <w:rPr>
          <w:sz w:val="20"/>
          <w:szCs w:val="20"/>
          <w:color w:val="auto"/>
        </w:rPr>
      </w:pPr>
      <w:r>
        <w:rPr>
          <w:rFonts w:ascii="Arial" w:cs="Arial" w:eastAsia="Arial" w:hAnsi="Arial"/>
          <w:sz w:val="17"/>
          <w:szCs w:val="17"/>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25" w:lineRule="exact"/>
        <w:rPr>
          <w:sz w:val="20"/>
          <w:szCs w:val="20"/>
          <w:color w:val="auto"/>
        </w:rPr>
      </w:pPr>
    </w:p>
    <w:p>
      <w:pPr>
        <w:ind w:left="980" w:right="120"/>
        <w:spacing w:after="0" w:line="286" w:lineRule="auto"/>
        <w:rPr>
          <w:sz w:val="20"/>
          <w:szCs w:val="20"/>
          <w:color w:val="auto"/>
        </w:rPr>
      </w:pPr>
      <w:r>
        <w:rPr>
          <w:rFonts w:ascii="Arial" w:cs="Arial" w:eastAsia="Arial" w:hAnsi="Arial"/>
          <w:sz w:val="16"/>
          <w:szCs w:val="16"/>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w:t>
      </w:r>
    </w:p>
    <w:p>
      <w:pPr>
        <w:spacing w:after="0" w:line="1" w:lineRule="exact"/>
        <w:rPr>
          <w:sz w:val="20"/>
          <w:szCs w:val="20"/>
          <w:color w:val="auto"/>
        </w:rPr>
      </w:pPr>
    </w:p>
    <w:p>
      <w:pPr>
        <w:ind w:left="980" w:right="40"/>
        <w:spacing w:after="0" w:line="225" w:lineRule="auto"/>
        <w:rPr>
          <w:sz w:val="20"/>
          <w:szCs w:val="20"/>
          <w:color w:val="auto"/>
        </w:rPr>
      </w:pPr>
      <w:r>
        <w:rPr>
          <w:rFonts w:ascii="Arial" w:cs="Arial" w:eastAsia="Arial" w:hAnsi="Arial"/>
          <w:sz w:val="18"/>
          <w:szCs w:val="18"/>
          <w:color w:val="auto"/>
        </w:rPr>
        <w:t>$20.0 million (the “ATM Shares”). Upon execution of the 2021 Sales Agreement, the Company terminated the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w:t>
      </w:r>
    </w:p>
    <w:p>
      <w:pPr>
        <w:spacing w:after="0" w:line="163" w:lineRule="exact"/>
        <w:rPr>
          <w:sz w:val="20"/>
          <w:szCs w:val="20"/>
          <w:color w:val="auto"/>
        </w:rPr>
      </w:pPr>
    </w:p>
    <w:p>
      <w:pPr>
        <w:jc w:val="both"/>
        <w:ind w:left="980" w:right="180"/>
        <w:spacing w:after="0" w:line="263" w:lineRule="auto"/>
        <w:rPr>
          <w:sz w:val="20"/>
          <w:szCs w:val="20"/>
          <w:color w:val="auto"/>
        </w:rPr>
      </w:pPr>
      <w:r>
        <w:rPr>
          <w:rFonts w:ascii="Arial" w:cs="Arial" w:eastAsia="Arial" w:hAnsi="Arial"/>
          <w:sz w:val="18"/>
          <w:szCs w:val="18"/>
          <w:color w:val="auto"/>
        </w:rPr>
        <w:t>During the term of the 2021 Sales Agreement which ended during the quarter ended March 31, 2023, the Company sold a total of 13,980,060 ATM Shares for total gross proceeds of approximately $20.0 million under the 2021 Sales Agreement, thereby completing the ATM program under said agreement.</w:t>
      </w:r>
    </w:p>
    <w:p>
      <w:pPr>
        <w:spacing w:after="0" w:line="157" w:lineRule="exact"/>
        <w:rPr>
          <w:sz w:val="20"/>
          <w:szCs w:val="20"/>
          <w:color w:val="auto"/>
        </w:rPr>
      </w:pPr>
    </w:p>
    <w:p>
      <w:pPr>
        <w:ind w:left="980" w:right="20"/>
        <w:spacing w:after="0" w:line="274" w:lineRule="auto"/>
        <w:rPr>
          <w:sz w:val="20"/>
          <w:szCs w:val="20"/>
          <w:color w:val="auto"/>
        </w:rPr>
      </w:pPr>
      <w:r>
        <w:rPr>
          <w:rFonts w:ascii="Arial" w:cs="Arial" w:eastAsia="Arial" w:hAnsi="Arial"/>
          <w:sz w:val="17"/>
          <w:szCs w:val="17"/>
          <w:color w:val="auto"/>
        </w:rPr>
        <w:t>On February 27, 2023, the Company entered into an At The Market Offering Agreement (the “2023 Sales Agreement”) with the Agent. Pursuant to the terms of the 2023 Sales Agreement, the Company may sell, from time to time through</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jc w:val="both"/>
        <w:ind w:left="980" w:right="140"/>
        <w:spacing w:after="0" w:line="342" w:lineRule="auto"/>
        <w:rPr>
          <w:sz w:val="20"/>
          <w:szCs w:val="20"/>
          <w:color w:val="auto"/>
        </w:rPr>
      </w:pPr>
      <w:r>
        <w:rPr>
          <w:rFonts w:ascii="Arial" w:cs="Arial" w:eastAsia="Arial" w:hAnsi="Arial"/>
          <w:sz w:val="16"/>
          <w:szCs w:val="16"/>
          <w:color w:val="auto"/>
        </w:rPr>
        <w:t>the Agent, ATM Shares having an aggregate offering price of up to $20.0 million. As of June 30, 2023, shares of Common Stock for total gross proceeds of approximately $6.4 million remain available to be sold under the 2023 Sales Agreement.</w:t>
      </w:r>
    </w:p>
    <w:p>
      <w:pPr>
        <w:spacing w:after="0" w:line="83" w:lineRule="exact"/>
        <w:rPr>
          <w:sz w:val="20"/>
          <w:szCs w:val="20"/>
          <w:color w:val="auto"/>
        </w:rPr>
      </w:pPr>
    </w:p>
    <w:p>
      <w:pPr>
        <w:ind w:left="980" w:right="20"/>
        <w:spacing w:after="0" w:line="253" w:lineRule="auto"/>
        <w:rPr>
          <w:sz w:val="20"/>
          <w:szCs w:val="20"/>
          <w:color w:val="auto"/>
        </w:rPr>
      </w:pPr>
      <w:r>
        <w:rPr>
          <w:rFonts w:ascii="Arial" w:cs="Arial" w:eastAsia="Arial" w:hAnsi="Arial"/>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the Company received a milestone payment equal to $20.0 million.</w:t>
      </w:r>
    </w:p>
    <w:p>
      <w:pPr>
        <w:spacing w:after="0" w:line="127" w:lineRule="exact"/>
        <w:rPr>
          <w:sz w:val="20"/>
          <w:szCs w:val="20"/>
          <w:color w:val="auto"/>
        </w:rPr>
      </w:pPr>
    </w:p>
    <w:p>
      <w:pPr>
        <w:ind w:left="980"/>
        <w:spacing w:after="0" w:line="293" w:lineRule="auto"/>
        <w:rPr>
          <w:sz w:val="20"/>
          <w:szCs w:val="20"/>
          <w:color w:val="auto"/>
        </w:rPr>
      </w:pPr>
      <w:r>
        <w:rPr>
          <w:rFonts w:ascii="Arial" w:cs="Arial" w:eastAsia="Arial" w:hAnsi="Arial"/>
          <w:sz w:val="16"/>
          <w:szCs w:val="16"/>
          <w:color w:val="auto"/>
        </w:rPr>
        <w:t>Under the terms of both of the Chiesi Agreements, Protalix Ltd. is required to manufacture all of the Elfabrio drug substance needed under the agreements, subject to certain exceptions, and Chiesi will purchase Elfabrio drug substance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97" w:lineRule="exact"/>
        <w:rPr>
          <w:sz w:val="20"/>
          <w:szCs w:val="20"/>
          <w:color w:val="auto"/>
        </w:rPr>
      </w:pPr>
    </w:p>
    <w:p>
      <w:pPr>
        <w:ind w:left="980" w:right="40"/>
        <w:spacing w:after="0" w:line="272" w:lineRule="auto"/>
        <w:rPr>
          <w:sz w:val="20"/>
          <w:szCs w:val="20"/>
          <w:color w:val="auto"/>
        </w:rPr>
      </w:pPr>
      <w:r>
        <w:rPr>
          <w:rFonts w:ascii="Arial" w:cs="Arial" w:eastAsia="Arial" w:hAnsi="Arial"/>
          <w:sz w:val="17"/>
          <w:szCs w:val="17"/>
          <w:color w:val="auto"/>
        </w:rPr>
        <w:t>On August 29, 2022, the Company entered into a Fill/Finish Agreement (the “F/F Agreement”) and a Letter Agreement (the “Letter Agreement”), in each case with Chiesi. The Company agreed to supply Chiesi with drug substance for PRX-102 and, following relevant technology and technical information transfer activities, Chiesi has agreed, among other things, to provide the Company with commercial fill/finish services for PRX-102, including to support the anticipated global launch of PRX-102.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On May 13, 2021, the Company signed a binding term sheet with Chiesi pursuant to which the Company and Chiesi</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amended the Chiesi Agreements in order to provide the Company with near-term capital. Chiesi agreed to make a</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$10.0 million payment to the Company before the end of the second quarter of 2021 in exchange for a $25.0 million</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reduction in a longer term regulatory milestone payment provided in the Chiesi EX-US Agreement. All other regulatory and</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commercial milestone payments remain unchanged. The Company received the payment in June 2021. The Company also</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agreed to negotiate certain manufacturing related matters.</w:t>
      </w:r>
    </w:p>
    <w:p>
      <w:pPr>
        <w:spacing w:after="0" w:line="143" w:lineRule="exact"/>
        <w:rPr>
          <w:sz w:val="20"/>
          <w:szCs w:val="20"/>
          <w:color w:val="auto"/>
        </w:rPr>
      </w:pPr>
    </w:p>
    <w:p>
      <w:pPr>
        <w:ind w:left="980" w:right="60"/>
        <w:spacing w:after="0" w:line="290" w:lineRule="auto"/>
        <w:rPr>
          <w:sz w:val="20"/>
          <w:szCs w:val="20"/>
          <w:color w:val="auto"/>
        </w:rPr>
      </w:pPr>
      <w:r>
        <w:rPr>
          <w:rFonts w:ascii="Arial" w:cs="Arial" w:eastAsia="Arial" w:hAnsi="Arial"/>
          <w:sz w:val="16"/>
          <w:szCs w:val="16"/>
          <w:color w:val="auto"/>
        </w:rPr>
        <w:t>Since its approval by the FDA, taliglucerase alfa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98" w:lineRule="exact"/>
        <w:rPr>
          <w:sz w:val="20"/>
          <w:szCs w:val="20"/>
          <w:color w:val="auto"/>
        </w:rPr>
      </w:pPr>
    </w:p>
    <w:p>
      <w:pPr>
        <w:ind w:left="980" w:right="140"/>
        <w:spacing w:after="0" w:line="296" w:lineRule="auto"/>
        <w:rPr>
          <w:sz w:val="20"/>
          <w:szCs w:val="20"/>
          <w:color w:val="auto"/>
        </w:rPr>
      </w:pPr>
      <w:r>
        <w:rPr>
          <w:rFonts w:ascii="Arial" w:cs="Arial" w:eastAsia="Arial" w:hAnsi="Arial"/>
          <w:sz w:val="16"/>
          <w:szCs w:val="16"/>
          <w:color w:val="auto"/>
        </w:rPr>
        <w:t>On June 18, 2013, the Company entered into a Supply and Technology Transfer Agreement with Fiocruz (the “Brazil Agreement”)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80" w:lineRule="exact"/>
        <w:rPr>
          <w:sz w:val="20"/>
          <w:szCs w:val="20"/>
          <w:color w:val="auto"/>
        </w:rPr>
      </w:pPr>
    </w:p>
    <w:p>
      <w:pPr>
        <w:ind w:left="980" w:right="360"/>
        <w:spacing w:after="0" w:line="291" w:lineRule="auto"/>
        <w:rPr>
          <w:sz w:val="20"/>
          <w:szCs w:val="20"/>
          <w:color w:val="auto"/>
        </w:rPr>
      </w:pPr>
      <w:r>
        <w:rPr>
          <w:rFonts w:ascii="Arial" w:cs="Arial" w:eastAsia="Arial" w:hAnsi="Arial"/>
          <w:sz w:val="16"/>
          <w:szCs w:val="16"/>
          <w:color w:val="auto"/>
        </w:rPr>
        <w:t>The Company expects to continue to incur significant expenditures in the near future due to research and developments efforts with respect to the product candidates. Under the terms of the Company’s outstanding 7.50% Senior Secured</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jc w:val="both"/>
        <w:ind w:left="980" w:right="380"/>
        <w:spacing w:after="0" w:line="257" w:lineRule="auto"/>
        <w:rPr>
          <w:sz w:val="20"/>
          <w:szCs w:val="20"/>
          <w:color w:val="auto"/>
        </w:rPr>
      </w:pPr>
      <w:r>
        <w:rPr>
          <w:rFonts w:ascii="Arial" w:cs="Arial" w:eastAsia="Arial" w:hAnsi="Arial"/>
          <w:sz w:val="18"/>
          <w:szCs w:val="18"/>
          <w:color w:val="auto"/>
        </w:rPr>
        <w:t>Convertible Notes due 2024 (the “2024 Notes”), the Company is required to comply with certain financial covenants, including the maintenance of a minimum cash balance of at least $7.5 million. As of June 30, 2023, the Company is in compliance with all such covenants. The Company believes that its cash and cash equivalents as of June 30, 2023, are sufficient to satisfy the Company’s capital needs for at least 12 months from the date that these financial statements are issued.</w:t>
      </w:r>
    </w:p>
    <w:p>
      <w:pPr>
        <w:spacing w:after="0" w:line="11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rFonts w:ascii="Arial" w:cs="Arial" w:eastAsia="Arial" w:hAnsi="Arial"/>
          <w:sz w:val="18"/>
          <w:szCs w:val="18"/>
          <w:b w:val="1"/>
          <w:bCs w:val="1"/>
          <w:color w:val="auto"/>
        </w:rPr>
      </w:pPr>
    </w:p>
    <w:p>
      <w:pPr>
        <w:ind w:left="98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77" w:lineRule="exact"/>
        <w:rPr>
          <w:rFonts w:ascii="Arial" w:cs="Arial" w:eastAsia="Arial" w:hAnsi="Arial"/>
          <w:sz w:val="18"/>
          <w:szCs w:val="18"/>
          <w:b w:val="1"/>
          <w:bCs w:val="1"/>
          <w:color w:val="auto"/>
        </w:rPr>
      </w:pPr>
    </w:p>
    <w:p>
      <w:pPr>
        <w:ind w:left="98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These unaudited condensed consolidated financial statements should be read in conjunction with the audited consolidated financial statements in the Annual Report on Form 10-K for the year ended December 31, 2022, filed by the Company with the U.S. Securities and Exchange Commission (the “Commission”). The comparative balance sheet at December 31, 2022 has been derived from the audited financial statements at that date. There have been no material changes in our significant accounting policies as described in our consolidated financial statements for the year ended December 31, 2022.</w:t>
      </w:r>
    </w:p>
    <w:p>
      <w:pPr>
        <w:spacing w:after="0" w:line="157" w:lineRule="exact"/>
        <w:rPr>
          <w:rFonts w:ascii="Arial" w:cs="Arial" w:eastAsia="Arial" w:hAnsi="Arial"/>
          <w:sz w:val="18"/>
          <w:szCs w:val="18"/>
          <w:b w:val="1"/>
          <w:bCs w:val="1"/>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98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67" w:lineRule="exact"/>
        <w:rPr>
          <w:rFonts w:ascii="Arial" w:cs="Arial" w:eastAsia="Arial" w:hAnsi="Arial"/>
          <w:sz w:val="18"/>
          <w:szCs w:val="18"/>
          <w:b w:val="1"/>
          <w:bCs w:val="1"/>
          <w:color w:val="auto"/>
        </w:rPr>
      </w:pPr>
    </w:p>
    <w:p>
      <w:pPr>
        <w:ind w:left="98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29"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84"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 at the net selling price, which reflects reserves for variable consideration, potential discounts and allowances.</w:t>
      </w:r>
    </w:p>
    <w:p>
      <w:pPr>
        <w:spacing w:after="0" w:line="156" w:lineRule="exact"/>
        <w:rPr>
          <w:rFonts w:ascii="Arial" w:cs="Arial" w:eastAsia="Arial" w:hAnsi="Arial"/>
          <w:sz w:val="18"/>
          <w:szCs w:val="18"/>
          <w:color w:val="auto"/>
        </w:rPr>
      </w:pPr>
    </w:p>
    <w:p>
      <w:pPr>
        <w:ind w:left="1300" w:right="100"/>
        <w:spacing w:after="0" w:line="254" w:lineRule="auto"/>
        <w:rPr>
          <w:rFonts w:ascii="Arial" w:cs="Arial" w:eastAsia="Arial" w:hAnsi="Arial"/>
          <w:sz w:val="18"/>
          <w:szCs w:val="18"/>
          <w:color w:val="auto"/>
        </w:rPr>
      </w:pPr>
      <w:r>
        <w:rPr>
          <w:rFonts w:ascii="Arial" w:cs="Arial" w:eastAsia="Arial" w:hAnsi="Arial"/>
          <w:sz w:val="18"/>
          <w:szCs w:val="18"/>
          <w:color w:val="auto"/>
        </w:rPr>
        <w:t>The transaction price is the consideration to which the Company expects to be entitled from the customer. The consideration promised in a contract with the Company’s customers may include fixed amounts and variable amounts. The Company estimates the variable consideration and includes it in the transaction price using the most likely outcome method, and only to the extent it is highly probable that a significant reversal of cumulative revenue recognized will not occur when the uncertainty associated with the variable consideration is subsequently resolved. Prior to recognizing revenue from variable consideration, the Company uses significant judgment to determine the probability of significant reversal of such revenue.</w:t>
      </w:r>
    </w:p>
    <w:p>
      <w:pPr>
        <w:spacing w:after="0" w:line="154"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Revenues from Chiesi Agreements</w:t>
      </w:r>
    </w:p>
    <w:p>
      <w:pPr>
        <w:spacing w:after="0" w:line="184" w:lineRule="exact"/>
        <w:rPr>
          <w:rFonts w:ascii="Arial" w:cs="Arial" w:eastAsia="Arial" w:hAnsi="Arial"/>
          <w:sz w:val="18"/>
          <w:szCs w:val="18"/>
          <w:color w:val="auto"/>
        </w:rPr>
      </w:pPr>
    </w:p>
    <w:p>
      <w:pPr>
        <w:jc w:val="both"/>
        <w:ind w:left="1300" w:right="400"/>
        <w:spacing w:after="0" w:line="342" w:lineRule="auto"/>
        <w:rPr>
          <w:rFonts w:ascii="Arial" w:cs="Arial" w:eastAsia="Arial" w:hAnsi="Arial"/>
          <w:sz w:val="18"/>
          <w:szCs w:val="18"/>
          <w:color w:val="auto"/>
        </w:rPr>
      </w:pPr>
      <w:r>
        <w:rPr>
          <w:rFonts w:ascii="Arial" w:cs="Arial" w:eastAsia="Arial" w:hAnsi="Arial"/>
          <w:sz w:val="16"/>
          <w:szCs w:val="16"/>
          <w:color w:val="auto"/>
        </w:rPr>
        <w:t>The Company has identified two performance obligations in the Chiesi Agreements as follows: (i) the license and research and development services and (ii) the contingent performance obligation regarding future manufacturing.</w:t>
      </w:r>
    </w:p>
    <w:p>
      <w:pPr>
        <w:sectPr>
          <w:pgSz w:w="11900" w:h="16838" w:orient="portrait"/>
          <w:cols w:equalWidth="0" w:num="1">
            <w:col w:w="9920"/>
          </w:cols>
          <w:pgMar w:left="980" w:top="665" w:right="99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00" w:right="160"/>
        <w:spacing w:after="0" w:line="311" w:lineRule="auto"/>
        <w:rPr>
          <w:sz w:val="20"/>
          <w:szCs w:val="20"/>
          <w:color w:val="auto"/>
        </w:rPr>
      </w:pPr>
      <w:r>
        <w:rPr>
          <w:rFonts w:ascii="Arial" w:cs="Arial" w:eastAsia="Arial" w:hAnsi="Arial"/>
          <w:sz w:val="16"/>
          <w:szCs w:val="16"/>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08"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The manufacturing was contingent on regulatory approvals of the drug and the Company deems these services to be separately identifiable from other performance obligations in the contract. Manufacturing services post-regulatory approval are not interdependent or interrelated with the license, research and development services. Following the regulatory approvals for Elfabrio received in May 2023, the Company started recognizing revenue from manufacturing, see also revenue from selling products above.</w:t>
      </w:r>
    </w:p>
    <w:p>
      <w:pPr>
        <w:spacing w:after="0" w:line="161" w:lineRule="exact"/>
        <w:rPr>
          <w:sz w:val="20"/>
          <w:szCs w:val="20"/>
          <w:color w:val="auto"/>
        </w:rPr>
      </w:pPr>
    </w:p>
    <w:p>
      <w:pPr>
        <w:ind w:left="1300" w:right="20"/>
        <w:spacing w:after="0" w:line="271" w:lineRule="auto"/>
        <w:rPr>
          <w:sz w:val="20"/>
          <w:szCs w:val="20"/>
          <w:color w:val="auto"/>
        </w:rPr>
      </w:pPr>
      <w:r>
        <w:rPr>
          <w:rFonts w:ascii="Arial" w:cs="Arial" w:eastAsia="Arial" w:hAnsi="Arial"/>
          <w:sz w:val="17"/>
          <w:szCs w:val="17"/>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 Following the approval of Elfabrio by the FDA, the Company received a milestone payment equal to $20.0 million (see also note 4).</w:t>
      </w:r>
    </w:p>
    <w:p>
      <w:pPr>
        <w:spacing w:after="0" w:line="138" w:lineRule="exact"/>
        <w:rPr>
          <w:sz w:val="20"/>
          <w:szCs w:val="20"/>
          <w:color w:val="auto"/>
        </w:rPr>
      </w:pPr>
    </w:p>
    <w:p>
      <w:pPr>
        <w:ind w:left="1300" w:right="220"/>
        <w:spacing w:after="0" w:line="263" w:lineRule="auto"/>
        <w:rPr>
          <w:sz w:val="20"/>
          <w:szCs w:val="20"/>
          <w:color w:val="auto"/>
        </w:rPr>
      </w:pPr>
      <w:r>
        <w:rPr>
          <w:rFonts w:ascii="Arial" w:cs="Arial" w:eastAsia="Arial" w:hAnsi="Arial"/>
          <w:sz w:val="18"/>
          <w:szCs w:val="18"/>
          <w:color w:val="auto"/>
        </w:rPr>
        <w:t>Since the customer benefits from the research and development services as the entity performs the service, revenue from granting the license and the research and development services was recognized over time using the cost-to-cost method.</w:t>
      </w:r>
    </w:p>
    <w:p>
      <w:pPr>
        <w:spacing w:after="0" w:line="143"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pacing w:after="0" w:line="143"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84" w:lineRule="exact"/>
        <w:rPr>
          <w:rFonts w:ascii="Arial" w:cs="Arial" w:eastAsia="Arial" w:hAnsi="Arial"/>
          <w:sz w:val="18"/>
          <w:szCs w:val="18"/>
          <w:color w:val="auto"/>
        </w:rPr>
      </w:pPr>
    </w:p>
    <w:p>
      <w:pPr>
        <w:ind w:left="1300" w:right="40"/>
        <w:spacing w:after="0" w:line="308" w:lineRule="auto"/>
        <w:rPr>
          <w:rFonts w:ascii="Arial" w:cs="Arial" w:eastAsia="Arial" w:hAnsi="Arial"/>
          <w:sz w:val="18"/>
          <w:szCs w:val="18"/>
          <w:color w:val="auto"/>
        </w:rPr>
      </w:pPr>
      <w:r>
        <w:rPr>
          <w:rFonts w:ascii="Arial" w:cs="Arial" w:eastAsia="Arial" w:hAnsi="Arial"/>
          <w:sz w:val="17"/>
          <w:szCs w:val="17"/>
          <w:color w:val="auto"/>
        </w:rPr>
        <w:t>Revenue from the research and development services was recognized over time using the cost-to-cost method since the customer benefits from the research and development services as the entity performs the services.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8"/>
              </w:rPr>
              <w:t>NOTE 2</w:t>
            </w:r>
          </w:p>
        </w:tc>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 INVENTORIES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w w:val="95"/>
              </w:rPr>
              <w:t>Inventories at June 30, 2023 and December 31, 2022 consisted of the following: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7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inventory</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19,635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98"/>
              </w:rPr>
              <w:t>NOTE 3</w:t>
            </w:r>
          </w:p>
        </w:tc>
        <w:tc>
          <w:tcPr>
            <w:tcW w:w="6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FAIR VALUE MEASUREMENT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vMerge w:val="continue"/>
          </w:tcPr>
          <w:p>
            <w:pPr>
              <w:spacing w:after="0"/>
              <w:rPr>
                <w:sz w:val="24"/>
                <w:szCs w:val="24"/>
                <w:color w:val="auto"/>
              </w:rPr>
            </w:pPr>
          </w:p>
        </w:tc>
        <w:tc>
          <w:tcPr>
            <w:tcW w:w="6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ectPr>
          <w:pgSz w:w="11900" w:h="16838" w:orient="portrait"/>
          <w:cols w:equalWidth="0" w:num="1">
            <w:col w:w="9920"/>
          </w:cols>
          <w:pgMar w:left="980" w:top="665" w:right="99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43"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8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pacing w:after="0" w:line="130" w:lineRule="exact"/>
        <w:rPr>
          <w:sz w:val="20"/>
          <w:szCs w:val="20"/>
          <w:color w:val="auto"/>
        </w:rPr>
      </w:pPr>
    </w:p>
    <w:p>
      <w:pPr>
        <w:ind w:left="640"/>
        <w:spacing w:after="0" w:line="311" w:lineRule="auto"/>
        <w:rPr>
          <w:sz w:val="20"/>
          <w:szCs w:val="20"/>
          <w:color w:val="auto"/>
        </w:rPr>
      </w:pPr>
      <w:r>
        <w:rPr>
          <w:rFonts w:ascii="Arial" w:cs="Arial" w:eastAsia="Arial" w:hAnsi="Arial"/>
          <w:sz w:val="16"/>
          <w:szCs w:val="16"/>
          <w:color w:val="auto"/>
        </w:rPr>
        <w:t>Based on a Level 3 measurement, as of June 30, 2023, the fair value of the $20.4 million aggregate principal amount of the Company’s outstanding 2024 Notes is approximately $28.1 million. The value of these notes was estimated by implementing the binomial model. The liability component was valued based on the Income Approach. The following parameters were used:</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2024 Notes</w:t>
            </w:r>
          </w:p>
        </w:tc>
        <w:tc>
          <w:tcPr>
            <w:tcW w:w="200" w:type="dxa"/>
            <w:vAlign w:val="bottom"/>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 price (USD)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60.90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disaggregation of revenues: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0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vMerge w:val="restart"/>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Pfizer</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Chiesi</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gridSpan w:val="2"/>
          </w:tcPr>
          <w:p>
            <w:pPr>
              <w:spacing w:after="0"/>
              <w:rPr>
                <w:sz w:val="20"/>
                <w:szCs w:val="20"/>
                <w:color w:val="auto"/>
              </w:rPr>
            </w:pPr>
            <w:r>
              <w:rPr>
                <w:rFonts w:ascii="Arial" w:cs="Arial" w:eastAsia="Arial" w:hAnsi="Arial"/>
                <w:sz w:val="18"/>
                <w:szCs w:val="18"/>
                <w:color w:val="auto"/>
              </w:rPr>
              <w:t>Total revenues from selling goods</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15,075</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20,141</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from license and R&amp;D services</w:t>
            </w:r>
          </w:p>
        </w:tc>
        <w:tc>
          <w:tcPr>
            <w:tcW w:w="22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24,522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 TRANSACTIONS</w:t>
      </w:r>
    </w:p>
    <w:p>
      <w:pPr>
        <w:spacing w:after="0" w:line="185" w:lineRule="exact"/>
        <w:rPr>
          <w:sz w:val="20"/>
          <w:szCs w:val="20"/>
          <w:color w:val="auto"/>
        </w:rPr>
      </w:pPr>
    </w:p>
    <w:p>
      <w:pPr>
        <w:ind w:left="1340" w:hanging="657"/>
        <w:spacing w:after="0"/>
        <w:tabs>
          <w:tab w:leader="none" w:pos="1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ind w:left="1300" w:right="100"/>
        <w:spacing w:after="0" w:line="296" w:lineRule="auto"/>
        <w:rPr>
          <w:sz w:val="20"/>
          <w:szCs w:val="20"/>
          <w:color w:val="auto"/>
        </w:rPr>
      </w:pPr>
      <w:r>
        <w:rPr>
          <w:rFonts w:ascii="Arial" w:cs="Arial" w:eastAsia="Arial" w:hAnsi="Arial"/>
          <w:sz w:val="16"/>
          <w:szCs w:val="16"/>
          <w:color w:val="auto"/>
        </w:rPr>
        <w:t>On June 28, 2023, the Company held its 2023 Annual Meeting of Stockholders, which was adjourned and reconvened on July 13, 2023 (the “Annual Meeting”). At the Annual Meeting, the Company’s stockholders, among other matters, approved an amendment to the Company’s Certificate of Incorporation, as amended, to increase the number of shares of Common Stock authorized for issuance from 144,000,000 to 185,000,000 (the “Charter Amendment”). The Charter Amendment was filed with the Secretary of State of the State of Delaware on July 25, 2023.</w:t>
      </w:r>
    </w:p>
    <w:p>
      <w:pPr>
        <w:spacing w:after="0" w:line="15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At-the-Market (ATM) Offering</w:t>
      </w:r>
    </w:p>
    <w:p>
      <w:pPr>
        <w:spacing w:after="0" w:line="229" w:lineRule="exact"/>
        <w:rPr>
          <w:rFonts w:ascii="Arial" w:cs="Arial" w:eastAsia="Arial" w:hAnsi="Arial"/>
          <w:sz w:val="18"/>
          <w:szCs w:val="18"/>
          <w:b w:val="1"/>
          <w:bCs w:val="1"/>
          <w:color w:val="auto"/>
        </w:rPr>
      </w:pPr>
    </w:p>
    <w:p>
      <w:pPr>
        <w:ind w:left="130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six months ended June 30, 2023, the Company sold, in the aggregate, 12,560,150 shares of Common Stock under the 2023 Sales Agreement. The Company generated aggregate gross proceeds equal to approximately</w:t>
      </w: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$24.9 million in connection with such sales.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Warrants</w:t>
      </w:r>
    </w:p>
    <w:p>
      <w:pPr>
        <w:spacing w:after="0" w:line="229" w:lineRule="exact"/>
        <w:rPr>
          <w:rFonts w:ascii="Arial" w:cs="Arial" w:eastAsia="Arial" w:hAnsi="Arial"/>
          <w:sz w:val="18"/>
          <w:szCs w:val="18"/>
          <w:b w:val="1"/>
          <w:bCs w:val="1"/>
          <w:color w:val="auto"/>
        </w:rPr>
      </w:pPr>
    </w:p>
    <w:p>
      <w:pPr>
        <w:ind w:left="130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May 8, 2023, the Company issued 301,810 shares of Common Stock in connection with the cash exercise of a warrant issued on March 18, 2020, as part of the Company’s private placement of Common Stock and warrants. The Company generated net proceeds equal to $0.7 million from the exercise of the warrant.</w:t>
      </w:r>
    </w:p>
    <w:p>
      <w:pPr>
        <w:spacing w:after="0" w:line="165" w:lineRule="exact"/>
        <w:rPr>
          <w:rFonts w:ascii="Arial" w:cs="Arial" w:eastAsia="Arial" w:hAnsi="Arial"/>
          <w:sz w:val="18"/>
          <w:szCs w:val="18"/>
          <w:b w:val="1"/>
          <w:bCs w:val="1"/>
          <w:color w:val="auto"/>
        </w:rPr>
      </w:pPr>
    </w:p>
    <w:p>
      <w:pPr>
        <w:ind w:left="130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On May 10, 2023, the Company issued 237,012 shares of Common Stock in connection with the cashless exercise of a warrant to purchase 845,000 shares of Common Stock issued on March 18, 2020, as part of the Company’s private placement of Common Stock and warrants. The Company did not generate any proceeds from the cashless exercise.</w:t>
      </w:r>
    </w:p>
    <w:p>
      <w:pPr>
        <w:spacing w:after="0" w:line="14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2024 Notes</w:t>
      </w:r>
    </w:p>
    <w:p>
      <w:pPr>
        <w:spacing w:after="0" w:line="229" w:lineRule="exact"/>
        <w:rPr>
          <w:sz w:val="20"/>
          <w:szCs w:val="20"/>
          <w:color w:val="auto"/>
        </w:rPr>
      </w:pPr>
    </w:p>
    <w:p>
      <w:pPr>
        <w:ind w:left="1300" w:right="20"/>
        <w:spacing w:after="0" w:line="296" w:lineRule="auto"/>
        <w:rPr>
          <w:sz w:val="20"/>
          <w:szCs w:val="20"/>
          <w:color w:val="auto"/>
        </w:rPr>
      </w:pPr>
      <w:r>
        <w:rPr>
          <w:rFonts w:ascii="Arial" w:cs="Arial" w:eastAsia="Arial" w:hAnsi="Arial"/>
          <w:sz w:val="16"/>
          <w:szCs w:val="16"/>
          <w:color w:val="auto"/>
        </w:rPr>
        <w:t>During the six months ended June 30, 2023, the Company issued, in the aggregate, 4,691,623 shares of Common Stock in connection with the conversions of 2024 Notes. In connection with such conversions, during the six months ended June 30, 2023, the Company paid to the converting holders $0.9 million representing cash payments due to accrued but unpaid interest, make-whole interest payments and payments in lieu of fractional shares. As a result of the conversions, the total principal amount of the 2024 Notes decreased by approximately $8.3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(LOSS) PER SHARE</w:t>
      </w:r>
    </w:p>
    <w:p>
      <w:pPr>
        <w:spacing w:after="0" w:line="22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Basic earnings (loss) per share is calculated by dividing the net income (loss) by the weighted average number of shares of the Company’s Common Stock outstanding during each period.</w:t>
      </w:r>
    </w:p>
    <w:p>
      <w:pPr>
        <w:spacing w:after="0" w:line="130"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Diluted earnings per share is calculated by dividing the net income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57"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computing diluted earnings per share, basic earnings per share are adjusted to take into account the potential dilution that could occur upon: (i) the exercise of options granted under employee stock compensation plans using the treasury stock method;</w:t>
      </w:r>
    </w:p>
    <w:p>
      <w:pPr>
        <w:ind w:left="660" w:right="420" w:hanging="4"/>
        <w:spacing w:after="0" w:line="260"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of warrants using the treasury stock method; and (iii) the conversion of the convertible notes using the “if-converted” method.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net earnings (loss) per share attributable to common stockholders were calculated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19,339</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(5,334)</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16,208</w:t>
            </w:r>
          </w:p>
        </w:tc>
        <w:tc>
          <w:tcPr>
            <w:tcW w:w="12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Financial expenses of 2024 Notes*</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for diluted calculation</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(5,334)</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197"/>
        </w:trPr>
        <w:tc>
          <w:tcPr>
            <w:tcW w:w="36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basic calculation</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67,158,628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47,327,952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62,378,745</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46,589,976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7"/>
              </w:rPr>
              <w:t>Weighted average dilutive effect of 2024 Notes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14,355,621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15,274,121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dilutive effect of stock options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1,555,307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1,243,354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Weighted average dilutive effect of warrants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131,085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shares of Common Stock</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83,200,641</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47,327,952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78,896,220</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46,589,976</w:t>
            </w: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for diluted calculation</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80" w:right="160"/>
        <w:spacing w:after="0" w:line="293" w:lineRule="auto"/>
        <w:tabs>
          <w:tab w:leader="none" w:pos="1088"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Financial expenses on 2024 Notes consists of add back of financial expense incurred during the period and inclusion of make-whole interest payments that will be incurred upon conversion.</w:t>
      </w:r>
    </w:p>
    <w:p>
      <w:pPr>
        <w:sectPr>
          <w:pgSz w:w="11900" w:h="16838" w:orient="portrait"/>
          <w:cols w:equalWidth="0" w:num="1">
            <w:col w:w="9900"/>
          </w:cols>
          <w:pgMar w:left="980" w:top="665" w:right="1019" w:bottom="1440" w:gutter="0" w:footer="0" w:header="0"/>
        </w:sectPr>
      </w:pP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40" w:right="196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660" w:right="60"/>
        <w:spacing w:after="0" w:line="308" w:lineRule="auto"/>
        <w:rPr>
          <w:sz w:val="20"/>
          <w:szCs w:val="20"/>
          <w:color w:val="auto"/>
        </w:rPr>
      </w:pPr>
      <w:r>
        <w:rPr>
          <w:rFonts w:ascii="Arial" w:cs="Arial" w:eastAsia="Arial" w:hAnsi="Arial"/>
          <w:sz w:val="17"/>
          <w:szCs w:val="17"/>
          <w:color w:val="auto"/>
        </w:rPr>
        <w:t>Diluted earnings (loss) per share do not include 16,158,086 shares of Common Stock underlying outstanding stock options and warrants of the Company for the six months ended June 30, 2023 because the effect would be anti-dilutive.</w:t>
      </w:r>
    </w:p>
    <w:p>
      <w:pPr>
        <w:spacing w:after="0" w:line="10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Diluted earnings (loss) per share do not include 1,896,733 shares of Common Stock underlying outstanding stock options of the Company for the three months ended June 30, 2023 because the effect would be anti-dilutive.</w:t>
      </w:r>
    </w:p>
    <w:p>
      <w:pPr>
        <w:spacing w:after="0" w:line="130" w:lineRule="exact"/>
        <w:rPr>
          <w:sz w:val="20"/>
          <w:szCs w:val="20"/>
          <w:color w:val="auto"/>
        </w:rPr>
      </w:pPr>
    </w:p>
    <w:p>
      <w:pPr>
        <w:jc w:val="both"/>
        <w:ind w:left="660" w:right="200"/>
        <w:spacing w:after="0" w:line="263" w:lineRule="auto"/>
        <w:rPr>
          <w:sz w:val="20"/>
          <w:szCs w:val="20"/>
          <w:color w:val="auto"/>
        </w:rPr>
      </w:pPr>
      <w:r>
        <w:rPr>
          <w:rFonts w:ascii="Arial" w:cs="Arial" w:eastAsia="Arial" w:hAnsi="Arial"/>
          <w:sz w:val="18"/>
          <w:szCs w:val="18"/>
          <w:color w:val="auto"/>
        </w:rPr>
        <w:t>Diluted earnings (loss) per share do not include 32,960,732 and 32,982,043 shares of Common Stock underlying outstanding stock options, warrants and the 2024 Notes for the three and six months ended June 30, 2022, respectively, because the effect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TAXES ON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taxes on income:</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i w:val="1"/>
                <w:iCs w:val="1"/>
                <w:color w:val="auto"/>
              </w:rPr>
              <w:t>(U.S. dollars in thousands)</w:t>
            </w:r>
          </w:p>
        </w:tc>
        <w:tc>
          <w:tcPr>
            <w:tcW w:w="160" w:type="dxa"/>
            <w:vAlign w:val="bottom"/>
            <w:vMerge w:val="restart"/>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8"/>
              </w:rPr>
              <w:t>June 30, 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4"/>
              </w:rPr>
              <w:t>June 30, 2023</w:t>
            </w: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taxes on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Deferred taxes on income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49"/>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taxes on income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The Company had an effective tax rate of 3% for the six months ended June 30, 2023, compared to an effective tax rate of 0% for the six months ended June 30, 2022. For the six months ended June 30, 2023, the difference between the Company’s effective tax rate and the U.S. federal statutory rate of 21% was the result of the provision for current taxes on income mainly derived from U.S. taxable GILTI income mainly in respect of milestone payments and Section 174 of the U.S. Tax Cuts and Jobs Act, which was enacted in December 2017 (the “TCJA”), partially offset by the release of the valuation allowance on net operating losses (NOLs) in the United States.</w:t>
      </w:r>
    </w:p>
    <w:p>
      <w:pPr>
        <w:spacing w:after="0" w:line="151" w:lineRule="exact"/>
        <w:rPr>
          <w:sz w:val="20"/>
          <w:szCs w:val="20"/>
          <w:color w:val="auto"/>
        </w:rPr>
      </w:pPr>
    </w:p>
    <w:p>
      <w:pPr>
        <w:ind w:left="660" w:right="260"/>
        <w:spacing w:after="0" w:line="287" w:lineRule="auto"/>
        <w:rPr>
          <w:sz w:val="20"/>
          <w:szCs w:val="20"/>
          <w:color w:val="auto"/>
        </w:rPr>
      </w:pPr>
      <w:r>
        <w:rPr>
          <w:rFonts w:ascii="Arial" w:cs="Arial" w:eastAsia="Arial" w:hAnsi="Arial"/>
          <w:sz w:val="16"/>
          <w:szCs w:val="16"/>
          <w:color w:val="auto"/>
        </w:rPr>
        <w:t>In the second quarter ended June 30, 2023, following the regulatory approvals for Elfabrio in May 2023, the receipt of the $20.0 million milestone payment and the launch of Elfabrio in the United States, the Company released valuation allowance previously recorded on deferred tax assets in respect of its NOLs in the United States resulting in a net tax benefit of</w:t>
      </w:r>
    </w:p>
    <w:p>
      <w:pPr>
        <w:spacing w:after="0" w:line="2"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$3.1 million. The Company concluded that, based upon the preponderance of positive evidence over negative evidence and the anticipated ability to use the deferred tax assets, it was more likely than not that these deferred tax assets would be realizable due to forecasted profits. The Company considered the following: (i) cumulative profits for tax over the previous 12 quarters in its U.S. operations; (ii) the impact of Section 174 of the TCJA which requires the Company to capitalize and amortize its research and development expenses over 15 years; and (iii) its forecasted profits in the United States following the regulatory approvals of Elfabrio.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SUPPLEMENTARY FINANCIAL STATEMENT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 and accruals – other:</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1,223</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Provision for vacation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Royalties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Reserve for deductions from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suppliers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18,545</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rPr>
              <w:t>12,271</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860"/>
          </w:cols>
          <w:pgMar w:left="980" w:top="665" w:right="1059" w:bottom="1440" w:gutter="0" w:footer="0" w:header="0"/>
        </w:sect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-115570</wp:posOffset>
            </wp:positionV>
            <wp:extent cx="12090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240" w:right="176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On July 14, 2023, the Company collected approximately $1.1 million, in the aggregate, from sales to Pfizer. On July 7, 2023, the Company collected approximately $1.0 million from Chiesi.</w:t>
      </w:r>
    </w:p>
    <w:p>
      <w:pPr>
        <w:spacing w:after="0" w:line="200" w:lineRule="exact"/>
        <w:rPr>
          <w:sz w:val="20"/>
          <w:szCs w:val="20"/>
          <w:color w:val="auto"/>
        </w:rPr>
      </w:pPr>
    </w:p>
    <w:p>
      <w:pPr>
        <w:spacing w:after="0" w:line="3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980" w:top="665" w:right="1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RISK FACTORS SUMMARY</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2022.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8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related to the commercialization of Elfabrio, our approved product for the treatment of adult patients with Fabry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w:t>
      </w:r>
    </w:p>
    <w:p>
      <w:pPr>
        <w:spacing w:after="0" w:line="184" w:lineRule="exact"/>
        <w:rPr>
          <w:sz w:val="20"/>
          <w:szCs w:val="20"/>
          <w:color w:val="auto"/>
        </w:rPr>
      </w:pPr>
    </w:p>
    <w:p>
      <w:pPr>
        <w:ind w:right="60" w:firstLine="656"/>
        <w:spacing w:after="0" w:line="27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29" w:lineRule="exact"/>
        <w:rPr>
          <w:rFonts w:ascii="Arial" w:cs="Arial" w:eastAsia="Arial" w:hAnsi="Arial"/>
          <w:sz w:val="18"/>
          <w:szCs w:val="18"/>
          <w:color w:val="auto"/>
        </w:rPr>
      </w:pPr>
    </w:p>
    <w:p>
      <w:pPr>
        <w:ind w:right="420" w:firstLine="656"/>
        <w:spacing w:after="0" w:line="27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our commercialization partner’s ability to obtain and maintain reimbursement for Elfabrio, and the extent to which patient assistance programs and co-pay programs are utilized;</w:t>
      </w:r>
    </w:p>
    <w:p>
      <w:pPr>
        <w:spacing w:after="0" w:line="129" w:lineRule="exact"/>
        <w:rPr>
          <w:rFonts w:ascii="Arial" w:cs="Arial" w:eastAsia="Arial" w:hAnsi="Arial"/>
          <w:sz w:val="18"/>
          <w:szCs w:val="18"/>
          <w:color w:val="auto"/>
        </w:rPr>
      </w:pPr>
    </w:p>
    <w:p>
      <w:pPr>
        <w:ind w:right="200" w:firstLine="656"/>
        <w:spacing w:after="0" w:line="27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likelihood that the FDA, EMA or other applicable health regulatory authorities will approve an alternative dosing regimen for Elfabrio;</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related to the regulatory approval and commercial success of our other product and product candidates, if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approved;</w:t>
      </w:r>
    </w:p>
    <w:p>
      <w:pPr>
        <w:spacing w:after="0" w:line="170" w:lineRule="exact"/>
        <w:rPr>
          <w:rFonts w:ascii="Arial" w:cs="Arial" w:eastAsia="Arial" w:hAnsi="Arial"/>
          <w:sz w:val="17"/>
          <w:szCs w:val="17"/>
          <w:color w:val="auto"/>
        </w:rPr>
      </w:pPr>
    </w:p>
    <w:p>
      <w:pPr>
        <w:ind w:right="80" w:firstLine="656"/>
        <w:spacing w:after="0" w:line="275"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35" w:lineRule="exact"/>
        <w:rPr>
          <w:rFonts w:ascii="Arial" w:cs="Arial" w:eastAsia="Arial" w:hAnsi="Arial"/>
          <w:sz w:val="17"/>
          <w:szCs w:val="17"/>
          <w:color w:val="auto"/>
        </w:rPr>
      </w:pPr>
    </w:p>
    <w:p>
      <w:pPr>
        <w:ind w:right="140" w:firstLine="656"/>
        <w:spacing w:after="0" w:line="27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approval or potential rejection of any applications we file with the FDA, EMA or other health regulatory authorities for our other product candidates, and other risks relating to the review process;</w:t>
      </w:r>
    </w:p>
    <w:p>
      <w:pPr>
        <w:spacing w:after="0" w:line="143" w:lineRule="exact"/>
        <w:rPr>
          <w:rFonts w:ascii="Arial" w:cs="Arial" w:eastAsia="Arial" w:hAnsi="Arial"/>
          <w:sz w:val="18"/>
          <w:szCs w:val="18"/>
          <w:color w:val="auto"/>
        </w:rPr>
      </w:pPr>
    </w:p>
    <w:p>
      <w:pPr>
        <w:ind w:right="80" w:firstLine="656"/>
        <w:spacing w:after="0" w:line="27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the novel coronavirus disease, or COVID-19, outbreak and variants, which may adversely impact our business, preclinical studies and clinical trials;</w:t>
      </w:r>
    </w:p>
    <w:p>
      <w:pPr>
        <w:spacing w:after="0" w:line="129" w:lineRule="exact"/>
        <w:rPr>
          <w:rFonts w:ascii="Arial" w:cs="Arial" w:eastAsia="Arial" w:hAnsi="Arial"/>
          <w:sz w:val="18"/>
          <w:szCs w:val="18"/>
          <w:color w:val="auto"/>
        </w:rPr>
      </w:pPr>
    </w:p>
    <w:p>
      <w:pPr>
        <w:ind w:firstLine="656"/>
        <w:spacing w:after="0" w:line="263"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global conditions and developments such as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43" w:lineRule="exact"/>
        <w:rPr>
          <w:rFonts w:ascii="Arial" w:cs="Arial" w:eastAsia="Arial" w:hAnsi="Arial"/>
          <w:sz w:val="18"/>
          <w:szCs w:val="18"/>
          <w:color w:val="auto"/>
        </w:rPr>
      </w:pPr>
    </w:p>
    <w:p>
      <w:pPr>
        <w:ind w:right="160" w:firstLine="656"/>
        <w:spacing w:after="0" w:line="27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partnerships;</w:t>
      </w:r>
    </w:p>
    <w:p>
      <w:pPr>
        <w:sectPr>
          <w:pgSz w:w="11900" w:h="16838" w:orient="portrait"/>
          <w:cols w:equalWidth="0" w:num="1">
            <w:col w:w="9920"/>
          </w:cols>
          <w:pgMar w:left="980" w:top="665" w:right="99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42"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83" w:lineRule="exact"/>
        <w:rPr>
          <w:rFonts w:ascii="Arial" w:cs="Arial" w:eastAsia="Arial" w:hAnsi="Arial"/>
          <w:sz w:val="16"/>
          <w:szCs w:val="16"/>
          <w:color w:val="auto"/>
        </w:rPr>
      </w:pPr>
    </w:p>
    <w:p>
      <w:pPr>
        <w:ind w:firstLine="656"/>
        <w:spacing w:after="0" w:line="27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ability to manage our relationship with our collaborators, distributors or partners, including, but not limited to, Pfizer and Chiesi;</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the amount and sufficiency of our cash and cash equivalents;</w:t>
      </w:r>
    </w:p>
    <w:p>
      <w:pPr>
        <w:spacing w:after="0" w:line="184" w:lineRule="exact"/>
        <w:rPr>
          <w:rFonts w:ascii="Arial" w:cs="Arial" w:eastAsia="Arial" w:hAnsi="Arial"/>
          <w:sz w:val="18"/>
          <w:szCs w:val="18"/>
          <w:color w:val="auto"/>
        </w:rPr>
      </w:pPr>
    </w:p>
    <w:p>
      <w:pPr>
        <w:ind w:right="520" w:firstLine="656"/>
        <w:spacing w:after="0" w:line="27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our ability to make scheduled payments of the principal of, to pay interest on or to refinance our outstanding notes or any other indebtedness;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dependence on performance by third-party providers of services and supplies, including without limitation, clinical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trial services;</w:t>
      </w:r>
    </w:p>
    <w:p>
      <w:pPr>
        <w:spacing w:after="0" w:line="183"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relating to changes to interim, topline or preliminary data from clinical trials that we announce or publish;</w:t>
      </w:r>
    </w:p>
    <w:p>
      <w:pPr>
        <w:spacing w:after="0" w:line="196" w:lineRule="exact"/>
        <w:rPr>
          <w:rFonts w:ascii="Arial" w:cs="Arial" w:eastAsia="Arial" w:hAnsi="Arial"/>
          <w:sz w:val="17"/>
          <w:szCs w:val="17"/>
          <w:color w:val="auto"/>
        </w:rPr>
      </w:pPr>
    </w:p>
    <w:p>
      <w:pPr>
        <w:ind w:right="400" w:firstLine="656"/>
        <w:spacing w:after="0" w:line="308"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105"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dependence on performance by third-party providers of services and supplies, including without limitation, clinical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trial services;</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inherent risks and uncertainties in developing drug platforms and products of the type we are developing;</w:t>
      </w:r>
    </w:p>
    <w:p>
      <w:pPr>
        <w:spacing w:after="0" w:line="196"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our supply of drug products to Pfizer;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related insurance coverage;</w:t>
      </w:r>
    </w:p>
    <w:p>
      <w:pPr>
        <w:spacing w:after="0" w:line="184" w:lineRule="exact"/>
        <w:rPr>
          <w:rFonts w:ascii="Arial" w:cs="Arial" w:eastAsia="Arial" w:hAnsi="Arial"/>
          <w:sz w:val="18"/>
          <w:szCs w:val="18"/>
          <w:color w:val="auto"/>
        </w:rPr>
      </w:pPr>
    </w:p>
    <w:p>
      <w:pPr>
        <w:ind w:right="100" w:firstLine="656"/>
        <w:spacing w:after="0" w:line="342"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96"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w:t>
      </w:r>
    </w:p>
    <w:p>
      <w:pPr>
        <w:spacing w:after="0" w:line="184" w:lineRule="exact"/>
        <w:rPr>
          <w:rFonts w:ascii="Arial" w:cs="Arial" w:eastAsia="Arial" w:hAnsi="Arial"/>
          <w:sz w:val="18"/>
          <w:szCs w:val="18"/>
          <w:color w:val="auto"/>
        </w:rPr>
      </w:pPr>
    </w:p>
    <w:p>
      <w:pPr>
        <w:ind w:right="40" w:firstLine="656"/>
        <w:spacing w:after="0" w:line="263"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189" w:lineRule="exact"/>
        <w:rPr>
          <w:sz w:val="20"/>
          <w:szCs w:val="20"/>
          <w:color w:val="auto"/>
        </w:rPr>
      </w:pPr>
    </w:p>
    <w:p>
      <w:pPr>
        <w:ind w:right="80" w:firstLine="656"/>
        <w:spacing w:after="0" w:line="277"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5, 2023, we announced that the EC had granted marketing authorization to Elfabrio in the European Union for the treatment of adult patients with Fabry disease.</w:t>
      </w:r>
    </w:p>
    <w:p>
      <w:pPr>
        <w:spacing w:after="0" w:line="129" w:lineRule="exact"/>
        <w:rPr>
          <w:rFonts w:ascii="Arial" w:cs="Arial" w:eastAsia="Arial" w:hAnsi="Arial"/>
          <w:sz w:val="18"/>
          <w:szCs w:val="18"/>
          <w:color w:val="auto"/>
        </w:rPr>
      </w:pPr>
    </w:p>
    <w:p>
      <w:pPr>
        <w:ind w:right="180" w:firstLine="656"/>
        <w:spacing w:after="0" w:line="277"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10, 2023, we announced that the FDA had approved Elfabrio (pegunigalsidase alfa-iwxj) in the United States for the treatment of adult patients with Fabry disease.</w:t>
      </w:r>
    </w:p>
    <w:p>
      <w:pPr>
        <w:spacing w:after="0" w:line="143" w:lineRule="exact"/>
        <w:rPr>
          <w:rFonts w:ascii="Arial" w:cs="Arial" w:eastAsia="Arial" w:hAnsi="Arial"/>
          <w:sz w:val="18"/>
          <w:szCs w:val="18"/>
          <w:color w:val="auto"/>
        </w:rPr>
      </w:pPr>
    </w:p>
    <w:p>
      <w:pPr>
        <w:ind w:right="260" w:firstLine="656"/>
        <w:spacing w:after="0" w:line="311" w:lineRule="auto"/>
        <w:tabs>
          <w:tab w:leader="none" w:pos="9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June 28, 2023, we held our Annual Meeting of Stockholders at which our stockholders: (1) elected the seven persons nominated by our Board of Directors to serve as directors of our Company; (2) approved, on a non-binding, advisory basis, the compensation of our named executive officers; (3) approved, on a non-binding, advisory basis, one year as the frequency at which</w:t>
      </w:r>
    </w:p>
    <w:p>
      <w:pPr>
        <w:sectPr>
          <w:pgSz w:w="11900" w:h="16838" w:orient="portrait"/>
          <w:cols w:equalWidth="0" w:num="1">
            <w:col w:w="9900"/>
          </w:cols>
          <w:pgMar w:left="980" w:top="665" w:right="1019" w:bottom="1440" w:gutter="0" w:footer="0" w:header="0"/>
        </w:sectPr>
      </w:pP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will solicit stockholder approval of the compensation of our named executive officers; (4) adopted the amendments to our Amended and Restated 2006 Stock Incentive Plan, as amended, to increase the number of shares of common stock available under such plan from 8,475,171 shares to 12,475,171 shares and to amend certain other terms of the plan; and (5) ratified the appointment of Kesselman &amp; Kesselman, Certified Public Accountants (Isr.), a member of PricewaterhouseCoopers International Limited, as our independent registered public accounting firm for the fiscal year ending December 31, 2023. The meeting was adjourned until July 13, 2023 to allow us to continue to solicit stockholder approval for the proposal to increase the amount of shares of common stock authorized for issuance under our Certificate of Incorporation, as amended, from 144,000,000 shares to 185,000,000 shares.</w:t>
      </w:r>
    </w:p>
    <w:p>
      <w:pPr>
        <w:spacing w:after="0" w:line="126" w:lineRule="exact"/>
        <w:rPr>
          <w:sz w:val="20"/>
          <w:szCs w:val="20"/>
          <w:color w:val="auto"/>
        </w:rPr>
      </w:pPr>
    </w:p>
    <w:p>
      <w:pPr>
        <w:ind w:right="140" w:firstLine="656"/>
        <w:spacing w:after="0" w:line="263"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13, 2023, our stockholders approved an amendment to increase the amount of shares of common stock authorized for issuance under our Certificate of Incorporation, as amended from 144,000,000 shares to 185,000,000 shares. The Charter Amendment was filed with the Secretary of State of the State of Delaware on July 25,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the first and only company to gain FDA approval of a protein produced through plant cell-based expression, and with the recent approval of Elfabrio, we now have two FDA approved proteins produced through our platform.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172200" cy="2623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6172200" cy="258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1954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Elfabrio (PRX-102) for the Treatment of Fabry Disease</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May 5, 2023, the EC announced that it had approved the MAA for Elfabrio and on May 9, 2023, the FDA announced that it had approved the BLA for Elfabrio, each for adult patients with Fabry disease. Both approvals cover the 1 mg/kg every two weeks dosage. The EMA approval followed the February 2023 adoption of a positive opinion and recommendation of marketing authorization for Elfabrio by the CHMP. Elfabrio was approved by 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Elfabrio, an ERT, is our proprietary, plant cell culture expressed enzyme, and a chemically modified stabilized version of, the recombinant α-Galactosidase-A protein, a lysosomal enzyme. Fabry disease is a serious life-threatening rare genetic disorder. Fabry patients lack or have low levels of α-galactosidase-A resulting in the progressive accumulation of abnormal deposits of a fatty</w:t>
      </w: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substance called globotriaosylceramide, or Gb</w:t>
      </w:r>
      <w:r>
        <w:rPr>
          <w:rFonts w:ascii="Arial" w:cs="Arial" w:eastAsia="Arial" w:hAnsi="Arial"/>
          <w:sz w:val="25"/>
          <w:szCs w:val="25"/>
          <w:color w:val="auto"/>
          <w:vertAlign w:val="subscript"/>
        </w:rPr>
        <w:t>3</w:t>
      </w:r>
      <w:r>
        <w:rPr>
          <w:rFonts w:ascii="Arial" w:cs="Arial" w:eastAsia="Arial" w:hAnsi="Arial"/>
          <w:sz w:val="17"/>
          <w:szCs w:val="17"/>
          <w:color w:val="auto"/>
        </w:rPr>
        <w:t>, in blood vessel walls throughout their body. The ultimate consequences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13" w:lineRule="exact"/>
        <w:rPr>
          <w:sz w:val="20"/>
          <w:szCs w:val="20"/>
          <w:color w:val="auto"/>
        </w:rPr>
      </w:pPr>
    </w:p>
    <w:p>
      <w:pPr>
        <w:ind w:right="60"/>
        <w:spacing w:after="0" w:line="209" w:lineRule="auto"/>
        <w:rPr>
          <w:sz w:val="20"/>
          <w:szCs w:val="20"/>
          <w:color w:val="auto"/>
        </w:rPr>
      </w:pPr>
      <w:r>
        <w:rPr>
          <w:rFonts w:ascii="Arial" w:cs="Arial" w:eastAsia="Arial" w:hAnsi="Arial"/>
          <w:sz w:val="17"/>
          <w:szCs w:val="17"/>
          <w:color w:val="auto"/>
        </w:rPr>
        <w:t>The global market for Fabry disease, that includes Sanofi’s Fabrazyme</w:t>
      </w:r>
      <w:r>
        <w:rPr>
          <w:rFonts w:ascii="Arial" w:cs="Arial" w:eastAsia="Arial" w:hAnsi="Arial"/>
          <w:sz w:val="25"/>
          <w:szCs w:val="25"/>
          <w:color w:val="auto"/>
          <w:vertAlign w:val="superscript"/>
        </w:rPr>
        <w:t>®</w:t>
      </w:r>
      <w:r>
        <w:rPr>
          <w:rFonts w:ascii="Arial" w:cs="Arial" w:eastAsia="Arial" w:hAnsi="Arial"/>
          <w:sz w:val="17"/>
          <w:szCs w:val="17"/>
          <w:color w:val="auto"/>
        </w:rPr>
        <w:t>, Shire’s (acquired by Takeda Pharmaceutical Company Limited) Replagal</w:t>
      </w:r>
      <w:r>
        <w:rPr>
          <w:rFonts w:ascii="Arial" w:cs="Arial" w:eastAsia="Arial" w:hAnsi="Arial"/>
          <w:sz w:val="25"/>
          <w:szCs w:val="25"/>
          <w:color w:val="auto"/>
          <w:vertAlign w:val="superscript"/>
        </w:rPr>
        <w:t>®</w:t>
      </w:r>
      <w:r>
        <w:rPr>
          <w:rFonts w:ascii="Arial" w:cs="Arial" w:eastAsia="Arial" w:hAnsi="Arial"/>
          <w:sz w:val="17"/>
          <w:szCs w:val="17"/>
          <w:color w:val="auto"/>
        </w:rPr>
        <w:t>, and Amicus Therapeutics’ Galafold</w:t>
      </w:r>
      <w:r>
        <w:rPr>
          <w:rFonts w:ascii="Arial" w:cs="Arial" w:eastAsia="Arial" w:hAnsi="Arial"/>
          <w:sz w:val="25"/>
          <w:szCs w:val="25"/>
          <w:color w:val="auto"/>
          <w:vertAlign w:val="superscript"/>
        </w:rPr>
        <w:t>®</w:t>
      </w:r>
      <w:r>
        <w:rPr>
          <w:rFonts w:ascii="Arial" w:cs="Arial" w:eastAsia="Arial" w:hAnsi="Arial"/>
          <w:sz w:val="17"/>
          <w:szCs w:val="17"/>
          <w:color w:val="auto"/>
        </w:rPr>
        <w:t>, among others, was approximately $2.0 billion in 2022, is forecasted to be approximately $2.0 billion in 2023 and is forecasted to grow at a CAGR of approximately 13% from 2022-2028.</w:t>
      </w:r>
    </w:p>
    <w:p>
      <w:pPr>
        <w:spacing w:after="0" w:line="1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 In 2015, we completed a phase I/II clinical trial of PRX-102, which was a worldwide, multi-center, open-label, dose ranging study designed to evaluate the safety, tolerability, pharmacokinetics, immunogenicity and efficacy parameters of PRX-102 in adult patients with Fabry disease. Our phase III clinical program, which has now been completed, included the following three separate studies:</w:t>
      </w:r>
    </w:p>
    <w:p>
      <w:pPr>
        <w:spacing w:after="0" w:line="151"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(PB-102-F20), a pivotal 24-month, randomized, double blind, active control study of PRX-102 in adult Fabry patients with deteriorating renal function that was designed to evaluate the safety and efficacy of 1 mg/kg of PRX-102 administered every two weeks compared to agalsidase beta;</w:t>
      </w:r>
    </w:p>
    <w:p>
      <w:pPr>
        <w:spacing w:after="0" w:line="170" w:lineRule="exact"/>
        <w:rPr>
          <w:sz w:val="20"/>
          <w:szCs w:val="20"/>
          <w:color w:val="auto"/>
        </w:rPr>
      </w:pPr>
    </w:p>
    <w:p>
      <w:pPr>
        <w:jc w:val="both"/>
        <w:ind w:left="660" w:right="16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(PB-102-F30), a 12-month open-label, single arm switch-over study evaluating the safety and efficacy of PRX-102\, 1 mg/kg infused every two weeks, in up to 22 Fabry patients previously treated with agalsidase alfa for at least two years and on a stable dose for at least six months; and</w:t>
      </w:r>
    </w:p>
    <w:p>
      <w:pPr>
        <w:spacing w:after="0" w:line="157"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(PB-102-F50), a multicenter, multinational open-label, switch-over study designed to evaluate the safety, efficacy and pharmacokinetics of treatment with 2 mg/kg of PRX-102 administered every four weeks for 52 weeks (a total of 14 infusions). The 2 mg/kg every four weeks dosage was not approved by the EMA or the FDA.</w:t>
      </w:r>
    </w:p>
    <w:p>
      <w:pPr>
        <w:spacing w:after="0" w:line="1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Patients who completed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studies, and the extension of the phase I/II study, were offered the opportunity to continue PRX-102 treatment in one of two long-term open-label extension studies. Overall, 126 subjects who participated in our PRX-102 clinical program have opted, with the advice of the treating physician, to enroll in one of our long-term, open label, extension studies of PRX-102. Such extension studies include 97 patients in the 1 mg/kg every two weeks extension study (PB-102-F60) with a total cumulative exposure of approximately 480 patient years (10 subjects who completed an extension study from the phase I/II study, 18 subjects who completed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69 subjects who completed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and 29 subjects who completed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in the 2 mg/kg every four weeks extension study (PB-102-F51) with a total cumulative exposure of approximately 145 patient years. Two of such subjects are being treated with 1 mg/kg every two weeks. As of March 1, 2023, sponsorship of the two extension studies was transferred to Chiesi, and Chiesi is now administering the open-label extension studies.</w:t>
      </w:r>
    </w:p>
    <w:p>
      <w:pPr>
        <w:spacing w:after="0" w:line="15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 BLA for Elfabrio for the treatment of adult patients with Fabry disease was first submitted to the FDA on May 27, 2020 under the FDA’s Accelerated Approval pathway, but resulted in a CRL. The BLA was resubmitted to the FDA on November 9, 2022.</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MAA was submitted to the EMA on February 7, 2022, after the October 8, 2021 meeting we held, together with Chiesi, with the Rapporteur and Co-Rapporteur of the EMA regarding PRX-102.</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(also referred to as Study PB-102-F20). The FDA review team also concluded that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met its primary efficacy endpoint, which assessed the annualized rate of change in eGFR (estimated glomerular filtration rate) over 104 weeks.</w:t>
      </w:r>
    </w:p>
    <w:p>
      <w:pPr>
        <w:spacing w:after="0" w:line="1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However, the FDA also determined that the results from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did not support a non-inferiority claim to the comparator product due to the lack of data to support a non-inferiority margin.</w:t>
      </w:r>
    </w:p>
    <w:p>
      <w:pPr>
        <w:spacing w:after="0" w:line="143"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In February 2020, we, together with Chiesi, announced an agreement with the FDA for the Initial Pediatric Study Plan (iPSP) for PRX-102, which is intended to be initiated post-marketing approval. The joint announcement was made after completion of discussions with the FDA and receipt of confirmation from the FDA in an official “Agreement Letter” which outlines an agreed-upon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approach to evaluate the safety and efficacy of PRX-102 in pediatric Fabry patients in a clinical trial to be performed by Chiesi with our collaborative efforts.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Chiesi, together with Protalix, participated in an Oral Explanation at a meeting of the EMA’s Committee for Orphan Medicinal Products (COMP) held on March 21, 2023, as part of the Orphan Drug Designation maintenance process. Following the meeting, Chiesi formally withdrew the application for Orphan Drug Designation for PRX-102. The EC first granted Orphan Drug Designation for PRX-102 for the treatment of Fabry disease in December 2017.</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The Clinical Study Report for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was completed in July 2022. The final analysis confirmed the positive topline results (announced in April 2022) and favorable tolerability profile. A total of 78 patients who were previously treated with agalsidase beta for at least one year with an eGFR slope at screening worse than -2 mL/min/1.73 m</w:t>
      </w:r>
      <w:r>
        <w:rPr>
          <w:rFonts w:ascii="Arial" w:cs="Arial" w:eastAsia="Arial" w:hAnsi="Arial"/>
          <w:sz w:val="25"/>
          <w:szCs w:val="25"/>
          <w:color w:val="auto"/>
          <w:vertAlign w:val="superscript"/>
        </w:rPr>
        <w:t>2</w:t>
      </w:r>
      <w:r>
        <w:rPr>
          <w:rFonts w:ascii="Arial" w:cs="Arial" w:eastAsia="Arial" w:hAnsi="Arial"/>
          <w:sz w:val="17"/>
          <w:szCs w:val="17"/>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59"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 xml:space="preserve">The primary endpoint of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is the comparison in the annualized rate of decline of eGFR slope between the agalsidase beta and PRX-102 treatment arms. eGFR is considered a reliable and accepted test to measure kidney function and stage of kidney disease. Additional parameters evaluated include: cardiac assessment,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(a biomarker for monitoring Fabry patients during therapy), pain, quality of life, immunogenicity, Fabry Clinical Events, pharmacokinetics and other parameters.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the original primary analysis (random intercept random slope (RIRS)), the estimated mean eGFR slopes were</w:t>
      </w:r>
    </w:p>
    <w:p>
      <w:pPr>
        <w:spacing w:after="0" w:line="11"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auto"/>
        </w:rPr>
        <w:t>-2.4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/year and -2.3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/year in the PRX-102 and agalsidase beta arms, respectively, and the treatment difference was -0.1 (95% CI: -2.2, 2.1)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/year. Based on the ANCOVA adjusted for continuous baseline proteinuria, the estimated mean eGFR slopes were -2.0 and -3.1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/year in the PRX-102 and agalsidase beta arms, respectively, and the treatment difference was 1.1 (95% CI: -0.8, 3.1)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/year. Based on quantile regression model, the median of the eGFR slope in the PRX-102 arm was -2.514 mL/min/1.73 m</w:t>
      </w:r>
      <w:r>
        <w:rPr>
          <w:rFonts w:ascii="Arial" w:cs="Arial" w:eastAsia="Arial" w:hAnsi="Arial"/>
          <w:sz w:val="23"/>
          <w:szCs w:val="23"/>
          <w:color w:val="auto"/>
          <w:vertAlign w:val="superscript"/>
        </w:rPr>
        <w:t>2</w:t>
      </w:r>
      <w:r>
        <w:rPr>
          <w:rFonts w:ascii="Arial" w:cs="Arial" w:eastAsia="Arial" w:hAnsi="Arial"/>
          <w:sz w:val="16"/>
          <w:szCs w:val="16"/>
          <w:color w:val="auto"/>
        </w:rPr>
        <w:t>/year (95% CI:-3.788, -1.240) and -2.155 mL/min/1.73 m</w:t>
      </w:r>
      <w:r>
        <w:rPr>
          <w:rFonts w:ascii="Arial" w:cs="Arial" w:eastAsia="Arial" w:hAnsi="Arial"/>
          <w:sz w:val="23"/>
          <w:szCs w:val="23"/>
          <w:color w:val="auto"/>
          <w:vertAlign w:val="superscript"/>
        </w:rPr>
        <w:t>2</w:t>
      </w:r>
      <w:r>
        <w:rPr>
          <w:rFonts w:ascii="Arial" w:cs="Arial" w:eastAsia="Arial" w:hAnsi="Arial"/>
          <w:sz w:val="16"/>
          <w:szCs w:val="16"/>
          <w:color w:val="auto"/>
        </w:rPr>
        <w:t>/year (95% CI:-3.805, -0.505) in the agalsidase beta arm, demonstrating a large overlap in the confidence intervals of the two arms. The difference in medians (95% confidence interval) is -0.359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/year (-2.444, 1.726). Additional sensitivity and supportive analyses investigated mean eGFR slopes using other statistical models. These models yielded results similar to the primary analysis and confirming the comparability between the treatment arms. These results supported the robustness of the methodology used for comparisons of treatment effects in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results of the analyses on eGFR slopes were further supported by the analysis of change from baseline in the average eGFR at the last two visits (100 and 104 weeks). The estimated mean changes were -3.0 and -3.8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PRX102 and agalsidase beta arms, respectively. The difference in mean change (PRX-102 – agalsidase beta) was 0.8 (95% CI: -3.0, 4.6)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or annualized change of 0.4 (95% CI: -1.5, 2.3) mL/min/1.73 m</w:t>
      </w:r>
      <w:r>
        <w:rPr>
          <w:rFonts w:ascii="Arial" w:cs="Arial" w:eastAsia="Arial" w:hAnsi="Arial"/>
          <w:sz w:val="23"/>
          <w:szCs w:val="23"/>
          <w:color w:val="auto"/>
          <w:vertAlign w:val="superscript"/>
        </w:rPr>
        <w:t>2</w:t>
      </w:r>
      <w:r>
        <w:rPr>
          <w:rFonts w:ascii="Arial" w:cs="Arial" w:eastAsia="Arial" w:hAnsi="Arial"/>
          <w:sz w:val="16"/>
          <w:szCs w:val="16"/>
          <w:color w:val="auto"/>
        </w:rPr>
        <w:t>/year.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study population (ITT analysis set) was composed of 47 males (61.0%) and 30 females (39.0%), with a mean (range) age of 44.3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(18-60) years. The mean duration of prior treatment with agalsidase beta was approximately six years. At baseline, mean (SD) eGFR was</w:t>
      </w:r>
    </w:p>
    <w:p>
      <w:pPr>
        <w:spacing w:after="0" w:line="226" w:lineRule="auto"/>
        <w:rPr>
          <w:sz w:val="20"/>
          <w:szCs w:val="20"/>
          <w:color w:val="auto"/>
        </w:rPr>
      </w:pPr>
      <w:r>
        <w:rPr>
          <w:rFonts w:ascii="Arial" w:cs="Arial" w:eastAsia="Arial" w:hAnsi="Arial"/>
          <w:sz w:val="16"/>
          <w:szCs w:val="16"/>
          <w:color w:val="auto"/>
        </w:rPr>
        <w:t>73.69 ml/min/1.73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(20.32) and median eGFR was 74.51 ml/min/1.73 m</w:t>
      </w:r>
      <w:r>
        <w:rPr>
          <w:rFonts w:ascii="Arial" w:cs="Arial" w:eastAsia="Arial" w:hAnsi="Arial"/>
          <w:sz w:val="23"/>
          <w:szCs w:val="23"/>
          <w:color w:val="auto"/>
          <w:vertAlign w:val="superscript"/>
        </w:rPr>
        <w:t>2</w:t>
      </w:r>
      <w:r>
        <w:rPr>
          <w:rFonts w:ascii="Arial" w:cs="Arial" w:eastAsia="Arial" w:hAnsi="Arial"/>
          <w:sz w:val="16"/>
          <w:szCs w:val="16"/>
          <w:color w:val="auto"/>
        </w:rPr>
        <w:t>; mean (SD) eGFR slope was -8.10 mL/min/1.73 m</w:t>
      </w:r>
      <w:r>
        <w:rPr>
          <w:rFonts w:ascii="Arial" w:cs="Arial" w:eastAsia="Arial" w:hAnsi="Arial"/>
          <w:sz w:val="23"/>
          <w:szCs w:val="23"/>
          <w:color w:val="auto"/>
          <w:vertAlign w:val="superscript"/>
        </w:rPr>
        <w:t>2</w:t>
      </w:r>
      <w:r>
        <w:rPr>
          <w:rFonts w:ascii="Arial" w:cs="Arial" w:eastAsia="Arial" w:hAnsi="Arial"/>
          <w:sz w:val="16"/>
          <w:szCs w:val="16"/>
          <w:color w:val="auto"/>
        </w:rPr>
        <w:t>/year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(5.92) and median eGFR slope was -7.25 ml/min/1.73 m</w:t>
      </w:r>
      <w:r>
        <w:rPr>
          <w:rFonts w:ascii="Arial" w:cs="Arial" w:eastAsia="Arial" w:hAnsi="Arial"/>
          <w:sz w:val="26"/>
          <w:szCs w:val="26"/>
          <w:color w:val="auto"/>
          <w:vertAlign w:val="superscript"/>
        </w:rPr>
        <w:t>2</w:t>
      </w:r>
      <w:r>
        <w:rPr>
          <w:rFonts w:ascii="Arial" w:cs="Arial" w:eastAsia="Arial" w:hAnsi="Arial"/>
          <w:sz w:val="18"/>
          <w:szCs w:val="18"/>
          <w:color w:val="auto"/>
        </w:rPr>
        <w:t>/year.</w:t>
      </w:r>
    </w:p>
    <w:p>
      <w:pPr>
        <w:spacing w:after="0" w:line="7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A comparable efficacy response was also observed across biomarkers and functional systems relevant to Fabry disease, as demonstrated via secondary endpoints, where in some cases the trend was in favor of PRX-102 and in some in favor of agalsidase beta, but the actual difference between the two arms is always clinically small, supporting the comparability of the two treatments.</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Key secondary endpoints included Urine protein creatinine ratio (UPCR) as indicator of proteinuria, plasma levels of lyso–Gb</w:t>
      </w:r>
      <w:r>
        <w:rPr>
          <w:rFonts w:ascii="Arial" w:cs="Arial" w:eastAsia="Arial" w:hAnsi="Arial"/>
          <w:sz w:val="26"/>
          <w:szCs w:val="26"/>
          <w:color w:val="auto"/>
          <w:vertAlign w:val="subscript"/>
        </w:rPr>
        <w:t>3</w:t>
      </w:r>
      <w:r>
        <w:rPr>
          <w:rFonts w:ascii="Arial" w:cs="Arial" w:eastAsia="Arial" w:hAnsi="Arial"/>
          <w:sz w:val="18"/>
          <w:szCs w:val="18"/>
          <w:color w:val="auto"/>
        </w:rPr>
        <w:t>, imaging marker of cardiac remodeling (Left Ventricular Mass Index, LVMI, by cardiac MRI), disease severity (by Mainz Severity Score Index, MSSI), pain severity (Short Form Brief Pain Inventory, BPI) and quality of life (EQ-5D-5L). Both treatments showed either a stabilization of clinical parameters (e.g., for eGFR, eGFR slope and UPCR) or prevention of further progression of Fabry disease (e.g., LVMI, MSSI).</w:t>
      </w:r>
    </w:p>
    <w:p>
      <w:pPr>
        <w:spacing w:after="0" w:line="144" w:lineRule="exact"/>
        <w:rPr>
          <w:sz w:val="20"/>
          <w:szCs w:val="20"/>
          <w:color w:val="auto"/>
        </w:rPr>
      </w:pPr>
    </w:p>
    <w:p>
      <w:pPr>
        <w:ind w:right="60" w:firstLine="656"/>
        <w:spacing w:after="0" w:line="275" w:lineRule="auto"/>
        <w:tabs>
          <w:tab w:leader="none" w:pos="129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Secondary measures of kidney function</w:t>
      </w:r>
      <w:r>
        <w:rPr>
          <w:rFonts w:ascii="Arial" w:cs="Arial" w:eastAsia="Arial" w:hAnsi="Arial"/>
          <w:sz w:val="17"/>
          <w:szCs w:val="17"/>
          <w:color w:val="auto"/>
        </w:rPr>
        <w:t>. In addition to eGFR levels and slope, the proportion of patients categorized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severe proteinuria (UPCR ≥ 1 gr/gr) in the PRX-102 arm remained stable during the study (at baseline, 7/52 [13.5%] and 6/45 [13.3%] 24-month), while in the agalsidase beta arm, the proportion increased slightly with 3/25 (12.0%) and 4/24 (16.7%), respectively. Mean (SE) UPCR data (post-hoc analysis) for the entire study population remained stable throughout the study with a slight advantage for PRX-102 at 24-months compared to agalsidase beta (Table 1).</w:t>
      </w:r>
    </w:p>
    <w:p>
      <w:pPr>
        <w:spacing w:after="0" w:line="62" w:lineRule="exact"/>
        <w:rPr>
          <w:rFonts w:ascii="Arial" w:cs="Arial" w:eastAsia="Arial" w:hAnsi="Arial"/>
          <w:sz w:val="17"/>
          <w:szCs w:val="17"/>
          <w:color w:val="auto"/>
        </w:rPr>
      </w:pPr>
    </w:p>
    <w:p>
      <w:pPr>
        <w:ind w:right="200" w:firstLine="656"/>
        <w:spacing w:after="0" w:line="368" w:lineRule="auto"/>
        <w:tabs>
          <w:tab w:leader="none" w:pos="129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Biomarkers of Fabry disease</w:t>
      </w:r>
      <w:r>
        <w:rPr>
          <w:rFonts w:ascii="Arial" w:cs="Arial" w:eastAsia="Arial" w:hAnsi="Arial"/>
          <w:sz w:val="16"/>
          <w:szCs w:val="16"/>
          <w:color w:val="auto"/>
        </w:rPr>
        <w:t>. Mean (SE) and median (range) plasma lyso-Gb</w:t>
      </w:r>
      <w:r>
        <w:rPr>
          <w:rFonts w:ascii="Arial" w:cs="Arial" w:eastAsia="Arial" w:hAnsi="Arial"/>
          <w:sz w:val="23"/>
          <w:szCs w:val="23"/>
          <w:color w:val="auto"/>
          <w:vertAlign w:val="subscript"/>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change from baseline to 24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in the PRX-102 arm were 3.30 (1.38) and 1.15 (-32.2 to 32.7) nM for PRX-102, and -8.74 (4.85) and -1.50 (-102.3 to</w:t>
      </w:r>
    </w:p>
    <w:p>
      <w:pPr>
        <w:sectPr>
          <w:pgSz w:w="11900" w:h="16838" w:orient="portrait"/>
          <w:cols w:equalWidth="0" w:num="1">
            <w:col w:w="9920"/>
          </w:cols>
          <w:pgMar w:left="980" w:top="665" w:right="999" w:bottom="1440" w:gutter="0" w:footer="0" w:header="0"/>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74" w:lineRule="auto"/>
        <w:rPr>
          <w:sz w:val="20"/>
          <w:szCs w:val="20"/>
          <w:color w:val="auto"/>
        </w:rPr>
      </w:pPr>
      <w:r>
        <w:rPr>
          <w:rFonts w:ascii="Arial" w:cs="Arial" w:eastAsia="Arial" w:hAnsi="Arial"/>
          <w:sz w:val="16"/>
          <w:szCs w:val="16"/>
          <w:color w:val="auto"/>
        </w:rPr>
        <w:t>2.4) nM for agalsidase beta. As expected, a gender difference was noted, with female Fabry patients exhibiting lower values at baseline and no remarkable changes during the study. Overall, the absolute changes of the Fabry biomarkers were minor in both treatment arms and were considered not clinically significant since there was no indication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re-accumulation nor of disease progression.</w:t>
      </w:r>
    </w:p>
    <w:p>
      <w:pPr>
        <w:spacing w:after="0" w:line="128" w:lineRule="exact"/>
        <w:rPr>
          <w:sz w:val="20"/>
          <w:szCs w:val="20"/>
          <w:color w:val="auto"/>
        </w:rPr>
      </w:pPr>
    </w:p>
    <w:p>
      <w:pPr>
        <w:ind w:right="60" w:firstLine="656"/>
        <w:spacing w:after="0" w:line="272"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Measures of cardiac disease</w:t>
      </w:r>
      <w:r>
        <w:rPr>
          <w:rFonts w:ascii="Arial" w:cs="Arial" w:eastAsia="Arial" w:hAnsi="Arial"/>
          <w:sz w:val="16"/>
          <w:szCs w:val="16"/>
          <w:color w:val="auto"/>
        </w:rPr>
        <w:t>. LVMi was centrally evaluated based on cardiac MRI. An increase in LVMi is indicative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progressing cardiomyopathy, hence preventing an increase in LVMI represents a therapeutic goal in Fabry patients. In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change from baseline in both treatment arms was analyzed by absence/presence of hypertrophy at baseline (defined as a LVMI above 91 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males and LVMI above 77 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females at baseline) and by gender (Kawel-Boehm 2015). Similar results were achieved in the two treatment arms after 24 months, with a slight reduction in the mean (SE) LVMi values in the PRX-102 arm -4.238 (5.731) and a small increase in the agalsidase beta arm 2.417 (9.620) for patients with hypertrophy at baseline. Small differences were observed also in those patients without hypertrophy at baseline in both treatment arms.</w:t>
      </w:r>
    </w:p>
    <w:p>
      <w:pPr>
        <w:spacing w:after="0" w:line="136" w:lineRule="exact"/>
        <w:rPr>
          <w:rFonts w:ascii="Arial" w:cs="Arial" w:eastAsia="Arial" w:hAnsi="Arial"/>
          <w:sz w:val="16"/>
          <w:szCs w:val="16"/>
          <w:color w:val="auto"/>
        </w:rPr>
      </w:pPr>
    </w:p>
    <w:p>
      <w:pPr>
        <w:ind w:right="100" w:firstLine="656"/>
        <w:spacing w:after="0" w:line="296"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Measures of systemic disease burden (MSSI)</w:t>
      </w:r>
      <w:r>
        <w:rPr>
          <w:rFonts w:ascii="Arial" w:cs="Arial" w:eastAsia="Arial" w:hAnsi="Arial"/>
          <w:sz w:val="16"/>
          <w:szCs w:val="16"/>
          <w:color w:val="auto"/>
        </w:rPr>
        <w:t>. Further evidence of the stabilization of the disease is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MSSI overall scores, which remained stable throughout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in both arms, with the baseline score in both groups at the low end of the moderate range (means of 23.18 points in the PRX-102 arm and 25.16 points in the agalsidase beta arm), that slightly decreased (improvement by -2.1 points) in the PRX-102 arm and slightly increased in the agalsidase beta arm (+2.0 points). In this case, the CI of the difference in mean changes did not contain 0, suggesting a difference between the two arms in favor of PRX-102.</w:t>
      </w:r>
    </w:p>
    <w:p>
      <w:pPr>
        <w:spacing w:after="0" w:line="134" w:lineRule="exact"/>
        <w:rPr>
          <w:rFonts w:ascii="Arial" w:cs="Arial" w:eastAsia="Arial" w:hAnsi="Arial"/>
          <w:sz w:val="16"/>
          <w:szCs w:val="16"/>
          <w:color w:val="auto"/>
        </w:rPr>
      </w:pPr>
    </w:p>
    <w:p>
      <w:pPr>
        <w:ind w:right="320" w:firstLine="656"/>
        <w:spacing w:after="0" w:line="342"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Patient reported outcomes</w:t>
      </w:r>
      <w:r>
        <w:rPr>
          <w:rFonts w:ascii="Arial" w:cs="Arial" w:eastAsia="Arial" w:hAnsi="Arial"/>
          <w:sz w:val="16"/>
          <w:szCs w:val="16"/>
          <w:color w:val="auto"/>
        </w:rPr>
        <w:t>. With regards to the patient-reported outcomes (BPI and EQ-5D-5L), the two treatments</w:t>
      </w:r>
      <w:r>
        <w:rPr>
          <w:rFonts w:ascii="Arial" w:cs="Arial" w:eastAsia="Arial" w:hAnsi="Arial"/>
          <w:sz w:val="16"/>
          <w:szCs w:val="16"/>
          <w:i w:val="1"/>
          <w:iCs w:val="1"/>
          <w:color w:val="auto"/>
        </w:rPr>
        <w:t xml:space="preserve"> </w:t>
      </w:r>
      <w:r>
        <w:rPr>
          <w:rFonts w:ascii="Arial" w:cs="Arial" w:eastAsia="Arial" w:hAnsi="Arial"/>
          <w:sz w:val="16"/>
          <w:szCs w:val="16"/>
          <w:color w:val="auto"/>
        </w:rPr>
        <w:t>showed very similar results, with the majority of patients reporting an improvement or no change in both groups, for each domain.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 overview of primary and secondary endpoints collected in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please refer to the Table 1 below.</w:t>
      </w:r>
    </w:p>
    <w:p>
      <w:pPr>
        <w:spacing w:after="0" w:line="18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Table 1: Summary Table of Comparison of Treatment Benefit Data in the </w:t>
      </w:r>
      <w:r>
        <w:rPr>
          <w:rFonts w:ascii="Arial" w:cs="Arial" w:eastAsia="Arial" w:hAnsi="Arial"/>
          <w:sz w:val="18"/>
          <w:szCs w:val="18"/>
          <w:b w:val="1"/>
          <w:bCs w:val="1"/>
          <w:i w:val="1"/>
          <w:iCs w:val="1"/>
          <w:color w:val="auto"/>
        </w:rPr>
        <w:t>BALANCE</w:t>
      </w:r>
      <w:r>
        <w:rPr>
          <w:rFonts w:ascii="Arial" w:cs="Arial" w:eastAsia="Arial" w:hAnsi="Arial"/>
          <w:sz w:val="18"/>
          <w:szCs w:val="18"/>
          <w:b w:val="1"/>
          <w:bCs w:val="1"/>
          <w:color w:val="auto"/>
        </w:rPr>
        <w:t xml:space="preserve"> Study, (Mean (SE) [median]), Efficacy Population</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Parameter</w:t>
            </w:r>
          </w:p>
        </w:tc>
        <w:tc>
          <w:tcPr>
            <w:tcW w:w="2000" w:type="dxa"/>
            <w:vAlign w:val="bottom"/>
            <w:tcBorders>
              <w:top w:val="single" w:sz="8" w:color="auto"/>
              <w:bottom w:val="single" w:sz="8" w:color="auto"/>
              <w:right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PRX-102 (N = 52)</w:t>
            </w:r>
          </w:p>
        </w:tc>
        <w:tc>
          <w:tcPr>
            <w:tcW w:w="230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Agalsidase beta (N = 25)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8"/>
                <w:szCs w:val="18"/>
                <w:color w:val="auto"/>
              </w:rPr>
              <w:t>eGFR</w:t>
            </w:r>
          </w:p>
        </w:tc>
        <w:tc>
          <w:tcPr>
            <w:tcW w:w="200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8"/>
                <w:szCs w:val="18"/>
                <w:b w:val="1"/>
                <w:bCs w:val="1"/>
                <w:color w:val="auto"/>
              </w:rPr>
              <w:t>n</w:t>
            </w:r>
          </w:p>
        </w:tc>
        <w:tc>
          <w:tcPr>
            <w:tcW w:w="52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8"/>
                <w:szCs w:val="18"/>
                <w:b w:val="1"/>
                <w:bCs w:val="1"/>
                <w:color w:val="auto"/>
              </w:rPr>
              <w:t>n</w:t>
            </w:r>
          </w:p>
        </w:tc>
        <w:tc>
          <w:tcPr>
            <w:tcW w:w="5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400" w:type="dxa"/>
            <w:vAlign w:val="bottom"/>
            <w:tcBorders>
              <w:left w:val="single" w:sz="8" w:color="auto"/>
              <w:right w:val="single" w:sz="8" w:color="auto"/>
            </w:tcBorders>
            <w:vMerge w:val="restart"/>
          </w:tcPr>
          <w:p>
            <w:pPr>
              <w:ind w:left="120"/>
              <w:spacing w:after="0" w:line="295" w:lineRule="exact"/>
              <w:rPr>
                <w:sz w:val="20"/>
                <w:szCs w:val="20"/>
                <w:color w:val="auto"/>
              </w:rPr>
            </w:pPr>
            <w:r>
              <w:rPr>
                <w:rFonts w:ascii="Arial" w:cs="Arial" w:eastAsia="Arial" w:hAnsi="Arial"/>
                <w:sz w:val="18"/>
                <w:szCs w:val="18"/>
                <w:color w:val="auto"/>
              </w:rPr>
              <w:t>(ml/min/1.73 m</w:t>
            </w:r>
            <w:r>
              <w:rPr>
                <w:rFonts w:ascii="Arial" w:cs="Arial" w:eastAsia="Arial" w:hAnsi="Arial"/>
                <w:sz w:val="26"/>
                <w:szCs w:val="26"/>
                <w:color w:val="auto"/>
                <w:vertAlign w:val="superscript"/>
              </w:rPr>
              <w:t>2</w:t>
            </w:r>
            <w:r>
              <w:rPr>
                <w:rFonts w:ascii="Arial" w:cs="Arial" w:eastAsia="Arial" w:hAnsi="Arial"/>
                <w:sz w:val="18"/>
                <w:szCs w:val="18"/>
                <w:color w:val="auto"/>
              </w:rPr>
              <w:t>)</w:t>
            </w:r>
          </w:p>
        </w:tc>
        <w:tc>
          <w:tcPr>
            <w:tcW w:w="200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right w:val="single" w:sz="8" w:color="auto"/>
            </w:tcBorders>
            <w:vMerge w:val="continue"/>
          </w:tcPr>
          <w:p>
            <w:pPr>
              <w:spacing w:after="0"/>
              <w:rPr>
                <w:sz w:val="20"/>
                <w:szCs w:val="20"/>
                <w:color w:val="auto"/>
              </w:rPr>
            </w:pP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73.46</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(2.80) [73.45]</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74.16</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(4.19) [74.85]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47</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70.53</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(3.19) [69.35]</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72.05</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(4.69) [74.48]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Change from Baseline</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47</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-3.60 (1.58) [-2.39]</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19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-1.97 (1.51) [-3.20]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8"/>
                <w:szCs w:val="18"/>
                <w:color w:val="auto"/>
              </w:rPr>
              <w:t>eGFR slope (ml/min/1.73</w:t>
            </w:r>
          </w:p>
        </w:tc>
        <w:tc>
          <w:tcPr>
            <w:tcW w:w="20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Baseline</w:t>
            </w:r>
          </w:p>
        </w:tc>
        <w:tc>
          <w:tcPr>
            <w:tcW w:w="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8"/>
                <w:szCs w:val="18"/>
                <w:color w:val="auto"/>
              </w:rPr>
              <w:t>52</w:t>
            </w:r>
          </w:p>
        </w:tc>
        <w:tc>
          <w:tcPr>
            <w:tcW w:w="182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8"/>
                <w:szCs w:val="18"/>
                <w:color w:val="auto"/>
              </w:rPr>
              <w:t>-8.03 (0.92) [-6.70]</w:t>
            </w:r>
          </w:p>
        </w:tc>
        <w:tc>
          <w:tcPr>
            <w:tcW w:w="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8"/>
                <w:szCs w:val="18"/>
                <w:color w:val="auto"/>
              </w:rPr>
              <w:t>25</w:t>
            </w:r>
          </w:p>
        </w:tc>
        <w:tc>
          <w:tcPr>
            <w:tcW w:w="190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8"/>
                <w:szCs w:val="18"/>
                <w:color w:val="auto"/>
              </w:rPr>
              <w:t>-8.25 (0.85) [-7.84]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400" w:type="dxa"/>
            <w:vAlign w:val="bottom"/>
            <w:tcBorders>
              <w:left w:val="single" w:sz="8" w:color="auto"/>
              <w:right w:val="single" w:sz="8" w:color="auto"/>
            </w:tcBorders>
          </w:tcPr>
          <w:p>
            <w:pPr>
              <w:ind w:left="120"/>
              <w:spacing w:after="0" w:line="240" w:lineRule="exact"/>
              <w:rPr>
                <w:sz w:val="20"/>
                <w:szCs w:val="20"/>
                <w:color w:val="auto"/>
              </w:rPr>
            </w:pPr>
            <w:r>
              <w:rPr>
                <w:rFonts w:ascii="Arial" w:cs="Arial" w:eastAsia="Arial" w:hAnsi="Arial"/>
                <w:sz w:val="18"/>
                <w:szCs w:val="18"/>
                <w:color w:val="auto"/>
              </w:rPr>
              <w:t>m</w:t>
            </w:r>
            <w:r>
              <w:rPr>
                <w:rFonts w:ascii="Arial" w:cs="Arial" w:eastAsia="Arial" w:hAnsi="Arial"/>
                <w:sz w:val="26"/>
                <w:szCs w:val="26"/>
                <w:color w:val="auto"/>
                <w:vertAlign w:val="superscript"/>
              </w:rPr>
              <w:t>2</w:t>
            </w:r>
            <w:r>
              <w:rPr>
                <w:rFonts w:ascii="Arial" w:cs="Arial" w:eastAsia="Arial" w:hAnsi="Arial"/>
                <w:sz w:val="18"/>
                <w:szCs w:val="18"/>
                <w:color w:val="auto"/>
              </w:rPr>
              <w:t>/yr)</w:t>
            </w:r>
          </w:p>
        </w:tc>
        <w:tc>
          <w:tcPr>
            <w:tcW w:w="2000" w:type="dxa"/>
            <w:vAlign w:val="bottom"/>
            <w:tcBorders>
              <w:bottom w:val="single" w:sz="8" w:color="AEABAB"/>
              <w:right w:val="single" w:sz="8" w:color="auto"/>
            </w:tcBorders>
          </w:tcPr>
          <w:p>
            <w:pPr>
              <w:spacing w:after="0"/>
              <w:rPr>
                <w:sz w:val="20"/>
                <w:szCs w:val="20"/>
                <w:color w:val="auto"/>
              </w:rPr>
            </w:pPr>
          </w:p>
        </w:tc>
        <w:tc>
          <w:tcPr>
            <w:tcW w:w="400" w:type="dxa"/>
            <w:vAlign w:val="bottom"/>
            <w:tcBorders>
              <w:bottom w:val="single" w:sz="8" w:color="AEABAB"/>
              <w:right w:val="single" w:sz="8" w:color="auto"/>
            </w:tcBorders>
          </w:tcPr>
          <w:p>
            <w:pPr>
              <w:spacing w:after="0"/>
              <w:rPr>
                <w:sz w:val="20"/>
                <w:szCs w:val="20"/>
                <w:color w:val="auto"/>
              </w:rPr>
            </w:pPr>
          </w:p>
        </w:tc>
        <w:tc>
          <w:tcPr>
            <w:tcW w:w="1820" w:type="dxa"/>
            <w:vAlign w:val="bottom"/>
            <w:tcBorders>
              <w:bottom w:val="single" w:sz="8" w:color="AEABAB"/>
              <w:right w:val="single" w:sz="8" w:color="auto"/>
            </w:tcBorders>
            <w:gridSpan w:val="2"/>
          </w:tcPr>
          <w:p>
            <w:pPr>
              <w:ind w:left="80"/>
              <w:spacing w:after="0"/>
              <w:rPr>
                <w:sz w:val="20"/>
                <w:szCs w:val="20"/>
                <w:color w:val="auto"/>
              </w:rPr>
            </w:pPr>
            <w:r>
              <w:rPr>
                <w:rFonts w:ascii="Arial" w:cs="Arial" w:eastAsia="Arial" w:hAnsi="Arial"/>
                <w:sz w:val="18"/>
                <w:szCs w:val="18"/>
                <w:color w:val="auto"/>
              </w:rPr>
              <w:t>Range: -30.5; 6.3</w:t>
            </w:r>
          </w:p>
        </w:tc>
        <w:tc>
          <w:tcPr>
            <w:tcW w:w="400" w:type="dxa"/>
            <w:vAlign w:val="bottom"/>
            <w:tcBorders>
              <w:bottom w:val="single" w:sz="8" w:color="AEABAB"/>
              <w:right w:val="single" w:sz="8" w:color="auto"/>
            </w:tcBorders>
          </w:tcPr>
          <w:p>
            <w:pPr>
              <w:spacing w:after="0"/>
              <w:rPr>
                <w:sz w:val="20"/>
                <w:szCs w:val="20"/>
                <w:color w:val="auto"/>
              </w:rPr>
            </w:pPr>
          </w:p>
        </w:tc>
        <w:tc>
          <w:tcPr>
            <w:tcW w:w="1900" w:type="dxa"/>
            <w:vAlign w:val="bottom"/>
            <w:tcBorders>
              <w:bottom w:val="single" w:sz="8" w:color="AEABAB"/>
              <w:right w:val="single" w:sz="8" w:color="auto"/>
            </w:tcBorders>
            <w:gridSpan w:val="2"/>
          </w:tcPr>
          <w:p>
            <w:pPr>
              <w:ind w:left="80"/>
              <w:spacing w:after="0"/>
              <w:rPr>
                <w:sz w:val="20"/>
                <w:szCs w:val="20"/>
                <w:color w:val="auto"/>
              </w:rPr>
            </w:pPr>
            <w:r>
              <w:rPr>
                <w:rFonts w:ascii="Arial" w:cs="Arial" w:eastAsia="Arial" w:hAnsi="Arial"/>
                <w:sz w:val="18"/>
                <w:szCs w:val="18"/>
                <w:color w:val="auto"/>
              </w:rPr>
              <w:t>Range: -20.3; -2.8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Month 24</w:t>
            </w:r>
          </w:p>
        </w:tc>
        <w:tc>
          <w:tcPr>
            <w:tcW w:w="4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51</w:t>
            </w:r>
          </w:p>
        </w:tc>
        <w:tc>
          <w:tcPr>
            <w:tcW w:w="18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-2.38 (1.25) [-2.51]</w:t>
            </w:r>
          </w:p>
        </w:tc>
        <w:tc>
          <w:tcPr>
            <w:tcW w:w="4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25</w:t>
            </w:r>
          </w:p>
        </w:tc>
        <w:tc>
          <w:tcPr>
            <w:tcW w:w="190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-2.31 (0.71) [-2.16]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Q1; Q3: -4.8; 0.8</w:t>
            </w:r>
          </w:p>
        </w:tc>
        <w:tc>
          <w:tcPr>
            <w:tcW w:w="4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Q1; Q3: -4.6; -0.5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8"/>
                <w:szCs w:val="18"/>
                <w:color w:val="auto"/>
                <w:w w:val="98"/>
              </w:rPr>
              <w:t>Reaching kidney therapeutic</w:t>
            </w:r>
          </w:p>
        </w:tc>
        <w:tc>
          <w:tcPr>
            <w:tcW w:w="20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Month 24</w:t>
            </w:r>
          </w:p>
        </w:tc>
        <w:tc>
          <w:tcPr>
            <w:tcW w:w="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8"/>
                <w:szCs w:val="18"/>
                <w:color w:val="auto"/>
              </w:rPr>
              <w:t>52</w:t>
            </w:r>
          </w:p>
        </w:tc>
        <w:tc>
          <w:tcPr>
            <w:tcW w:w="182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8"/>
                <w:szCs w:val="18"/>
                <w:color w:val="auto"/>
              </w:rPr>
              <w:t>41 patients (80.4%)</w:t>
            </w:r>
          </w:p>
        </w:tc>
        <w:tc>
          <w:tcPr>
            <w:tcW w:w="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8"/>
                <w:szCs w:val="18"/>
                <w:color w:val="auto"/>
              </w:rPr>
              <w:t>25</w:t>
            </w:r>
          </w:p>
        </w:tc>
        <w:tc>
          <w:tcPr>
            <w:tcW w:w="190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8"/>
                <w:szCs w:val="18"/>
                <w:color w:val="auto"/>
              </w:rPr>
              <w:t>20 patients (80.0%)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400" w:type="dxa"/>
            <w:vAlign w:val="bottom"/>
            <w:tcBorders>
              <w:left w:val="single" w:sz="8" w:color="auto"/>
              <w:bottom w:val="single" w:sz="8" w:color="auto"/>
              <w:right w:val="single" w:sz="8" w:color="auto"/>
            </w:tcBorders>
          </w:tcPr>
          <w:p>
            <w:pPr>
              <w:ind w:left="120"/>
              <w:spacing w:after="0" w:line="253" w:lineRule="exact"/>
              <w:rPr>
                <w:sz w:val="20"/>
                <w:szCs w:val="20"/>
                <w:color w:val="auto"/>
              </w:rPr>
            </w:pPr>
            <w:r>
              <w:rPr>
                <w:rFonts w:ascii="Arial" w:cs="Arial" w:eastAsia="Arial" w:hAnsi="Arial"/>
                <w:sz w:val="18"/>
                <w:szCs w:val="18"/>
                <w:color w:val="auto"/>
              </w:rPr>
              <w:t>goal</w:t>
            </w:r>
            <w:r>
              <w:rPr>
                <w:rFonts w:ascii="Arial" w:cs="Arial" w:eastAsia="Arial" w:hAnsi="Arial"/>
                <w:sz w:val="26"/>
                <w:szCs w:val="26"/>
                <w:color w:val="auto"/>
                <w:vertAlign w:val="superscript"/>
              </w:rPr>
              <w:t>a</w:t>
            </w:r>
          </w:p>
        </w:tc>
        <w:tc>
          <w:tcPr>
            <w:tcW w:w="200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UPCR</w:t>
            </w: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0.441</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(0.084)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0.284</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(0.097)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0.480</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(0.118)</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0.489</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(0.162)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from Baseline</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0.088</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(0.067)</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0.197</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(0.085)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(nM)</w:t>
            </w: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26.22</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(3.78) [15.20]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32.14</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(7.08) [17.60]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29.22</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(4.48) [18.80]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19.65</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(3.60) [15.30]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Change from Baseline</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3.30 (1.38) [1.15]</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19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-8.74 (4.85) [-1.50]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17"/>
                <w:szCs w:val="17"/>
                <w:color w:val="auto"/>
              </w:rPr>
              <w:t>LVMI (g/m</w:t>
            </w:r>
            <w:r>
              <w:rPr>
                <w:rFonts w:ascii="Arial" w:cs="Arial" w:eastAsia="Arial" w:hAnsi="Arial"/>
                <w:sz w:val="25"/>
                <w:szCs w:val="25"/>
                <w:color w:val="auto"/>
                <w:vertAlign w:val="superscript"/>
              </w:rPr>
              <w:t>2</w:t>
            </w:r>
            <w:r>
              <w:rPr>
                <w:rFonts w:ascii="Arial" w:cs="Arial" w:eastAsia="Arial" w:hAnsi="Arial"/>
                <w:sz w:val="17"/>
                <w:szCs w:val="17"/>
                <w:color w:val="auto"/>
              </w:rPr>
              <w:t>)</w:t>
            </w: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75.97</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(5.13)</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82.22</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(6.34)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71.56</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(5.20)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82.43</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(8.39)</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from Baseline</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28</w:t>
            </w:r>
          </w:p>
        </w:tc>
        <w:tc>
          <w:tcPr>
            <w:tcW w:w="1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-0.64 (2.69)</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19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0.29 (3.73)</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00" w:type="dxa"/>
            <w:vAlign w:val="bottom"/>
            <w:tcBorders>
              <w:left w:val="single" w:sz="8" w:color="auto"/>
              <w:right w:val="single" w:sz="8" w:color="auto"/>
            </w:tcBorders>
          </w:tcPr>
          <w:p>
            <w:pPr>
              <w:ind w:left="120"/>
              <w:spacing w:after="0" w:line="210" w:lineRule="exact"/>
              <w:rPr>
                <w:sz w:val="20"/>
                <w:szCs w:val="20"/>
                <w:color w:val="auto"/>
              </w:rPr>
            </w:pPr>
            <w:r>
              <w:rPr>
                <w:rFonts w:ascii="Arial" w:cs="Arial" w:eastAsia="Arial" w:hAnsi="Arial"/>
                <w:sz w:val="17"/>
                <w:szCs w:val="17"/>
                <w:color w:val="auto"/>
              </w:rPr>
              <w:t>MSSI (overall score)</w:t>
            </w:r>
            <w:r>
              <w:rPr>
                <w:rFonts w:ascii="Arial" w:cs="Arial" w:eastAsia="Arial" w:hAnsi="Arial"/>
                <w:sz w:val="24"/>
                <w:szCs w:val="24"/>
                <w:color w:val="auto"/>
                <w:vertAlign w:val="superscript"/>
              </w:rPr>
              <w:t>a</w:t>
            </w: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49</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23.18</w:t>
            </w:r>
          </w:p>
        </w:tc>
        <w:tc>
          <w:tcPr>
            <w:tcW w:w="130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(1.42)</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25.16</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(2.14)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000" w:type="dxa"/>
            <w:vAlign w:val="bottom"/>
            <w:tcBorders>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1820" w:type="dxa"/>
            <w:vAlign w:val="bottom"/>
            <w:tcBorders>
              <w:bottom w:val="single" w:sz="8" w:color="AEABAB"/>
              <w:right w:val="single" w:sz="8" w:color="auto"/>
            </w:tcBorders>
            <w:gridSpan w:val="2"/>
          </w:tcPr>
          <w:p>
            <w:pPr>
              <w:ind w:left="80"/>
              <w:spacing w:after="0"/>
              <w:rPr>
                <w:sz w:val="20"/>
                <w:szCs w:val="20"/>
                <w:color w:val="auto"/>
              </w:rPr>
            </w:pPr>
            <w:r>
              <w:rPr>
                <w:rFonts w:ascii="Arial" w:cs="Arial" w:eastAsia="Arial" w:hAnsi="Arial"/>
                <w:sz w:val="18"/>
                <w:szCs w:val="18"/>
                <w:color w:val="auto"/>
              </w:rPr>
              <w:t>22.11 (1.80)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93"/>
              </w:rPr>
              <w:t>27.09</w:t>
            </w:r>
          </w:p>
        </w:tc>
        <w:tc>
          <w:tcPr>
            <w:tcW w:w="138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(2.30)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Change from Baseline</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44</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-2.07 (0.77)</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23</w:t>
            </w:r>
          </w:p>
        </w:tc>
        <w:tc>
          <w:tcPr>
            <w:tcW w:w="19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2.04 (1.10)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18"/>
                <w:szCs w:val="18"/>
                <w:color w:val="auto"/>
              </w:rPr>
              <w:t>BPI (score for pain at its</w:t>
            </w:r>
          </w:p>
        </w:tc>
        <w:tc>
          <w:tcPr>
            <w:tcW w:w="20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Baseline</w:t>
            </w:r>
          </w:p>
        </w:tc>
        <w:tc>
          <w:tcPr>
            <w:tcW w:w="40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52</w:t>
            </w:r>
          </w:p>
        </w:tc>
        <w:tc>
          <w:tcPr>
            <w:tcW w:w="1820" w:type="dxa"/>
            <w:vAlign w:val="bottom"/>
            <w:tcBorders>
              <w:right w:val="single" w:sz="8" w:color="auto"/>
            </w:tcBorders>
            <w:gridSpan w:val="2"/>
          </w:tcPr>
          <w:p>
            <w:pPr>
              <w:ind w:left="80"/>
              <w:spacing w:after="0" w:line="192" w:lineRule="exact"/>
              <w:rPr>
                <w:sz w:val="20"/>
                <w:szCs w:val="20"/>
                <w:color w:val="auto"/>
              </w:rPr>
            </w:pPr>
            <w:r>
              <w:rPr>
                <w:rFonts w:ascii="Arial" w:cs="Arial" w:eastAsia="Arial" w:hAnsi="Arial"/>
                <w:sz w:val="18"/>
                <w:szCs w:val="18"/>
                <w:color w:val="auto"/>
              </w:rPr>
              <w:t>3.5 (0.4)</w:t>
            </w:r>
          </w:p>
        </w:tc>
        <w:tc>
          <w:tcPr>
            <w:tcW w:w="40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25</w:t>
            </w:r>
          </w:p>
        </w:tc>
        <w:tc>
          <w:tcPr>
            <w:tcW w:w="1900" w:type="dxa"/>
            <w:vAlign w:val="bottom"/>
            <w:tcBorders>
              <w:right w:val="single" w:sz="8" w:color="auto"/>
            </w:tcBorders>
            <w:gridSpan w:val="2"/>
          </w:tcPr>
          <w:p>
            <w:pPr>
              <w:ind w:left="80"/>
              <w:spacing w:after="0" w:line="192" w:lineRule="exact"/>
              <w:rPr>
                <w:sz w:val="20"/>
                <w:szCs w:val="20"/>
                <w:color w:val="auto"/>
              </w:rPr>
            </w:pPr>
            <w:r>
              <w:rPr>
                <w:rFonts w:ascii="Arial" w:cs="Arial" w:eastAsia="Arial" w:hAnsi="Arial"/>
                <w:sz w:val="18"/>
                <w:szCs w:val="18"/>
                <w:color w:val="auto"/>
              </w:rPr>
              <w:t>2.6 (0.6)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worst)</w:t>
            </w:r>
            <w:r>
              <w:rPr>
                <w:rFonts w:ascii="Arial" w:cs="Arial" w:eastAsia="Arial" w:hAnsi="Arial"/>
                <w:sz w:val="26"/>
                <w:szCs w:val="26"/>
                <w:color w:val="auto"/>
                <w:vertAlign w:val="superscript"/>
              </w:rPr>
              <w:t>b</w:t>
            </w:r>
          </w:p>
        </w:tc>
        <w:tc>
          <w:tcPr>
            <w:tcW w:w="2000" w:type="dxa"/>
            <w:vAlign w:val="bottom"/>
            <w:tcBorders>
              <w:top w:val="single" w:sz="8" w:color="AEABAB"/>
              <w:bottom w:val="single" w:sz="8" w:color="AEABAB"/>
              <w:right w:val="single" w:sz="8" w:color="auto"/>
            </w:tcBorders>
          </w:tcPr>
          <w:p>
            <w:pPr>
              <w:ind w:left="100"/>
              <w:spacing w:after="0"/>
              <w:rPr>
                <w:sz w:val="20"/>
                <w:szCs w:val="20"/>
                <w:color w:val="auto"/>
              </w:rPr>
            </w:pPr>
            <w:r>
              <w:rPr>
                <w:rFonts w:ascii="Arial" w:cs="Arial" w:eastAsia="Arial" w:hAnsi="Arial"/>
                <w:sz w:val="18"/>
                <w:szCs w:val="18"/>
                <w:color w:val="auto"/>
              </w:rPr>
              <w:t>Month 24</w:t>
            </w:r>
          </w:p>
        </w:tc>
        <w:tc>
          <w:tcPr>
            <w:tcW w:w="400" w:type="dxa"/>
            <w:vAlign w:val="bottom"/>
            <w:tcBorders>
              <w:top w:val="single" w:sz="8" w:color="AEABAB"/>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1820" w:type="dxa"/>
            <w:vAlign w:val="bottom"/>
            <w:tcBorders>
              <w:top w:val="single" w:sz="8" w:color="AEABAB"/>
              <w:bottom w:val="single" w:sz="8" w:color="AEABAB"/>
              <w:right w:val="single" w:sz="8" w:color="auto"/>
            </w:tcBorders>
            <w:gridSpan w:val="2"/>
          </w:tcPr>
          <w:p>
            <w:pPr>
              <w:ind w:left="80"/>
              <w:spacing w:after="0"/>
              <w:rPr>
                <w:sz w:val="20"/>
                <w:szCs w:val="20"/>
                <w:color w:val="auto"/>
              </w:rPr>
            </w:pPr>
            <w:r>
              <w:rPr>
                <w:rFonts w:ascii="Arial" w:cs="Arial" w:eastAsia="Arial" w:hAnsi="Arial"/>
                <w:sz w:val="18"/>
                <w:szCs w:val="18"/>
                <w:color w:val="auto"/>
              </w:rPr>
              <w:t>3.3 (0.5)</w:t>
            </w:r>
          </w:p>
        </w:tc>
        <w:tc>
          <w:tcPr>
            <w:tcW w:w="400" w:type="dxa"/>
            <w:vAlign w:val="bottom"/>
            <w:tcBorders>
              <w:top w:val="single" w:sz="8" w:color="AEABAB"/>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1900" w:type="dxa"/>
            <w:vAlign w:val="bottom"/>
            <w:tcBorders>
              <w:top w:val="single" w:sz="8" w:color="AEABAB"/>
              <w:bottom w:val="single" w:sz="8" w:color="AEABAB"/>
              <w:right w:val="single" w:sz="8" w:color="auto"/>
            </w:tcBorders>
            <w:gridSpan w:val="2"/>
          </w:tcPr>
          <w:p>
            <w:pPr>
              <w:ind w:left="80"/>
              <w:spacing w:after="0"/>
              <w:rPr>
                <w:sz w:val="20"/>
                <w:szCs w:val="20"/>
                <w:color w:val="auto"/>
              </w:rPr>
            </w:pPr>
            <w:r>
              <w:rPr>
                <w:rFonts w:ascii="Arial" w:cs="Arial" w:eastAsia="Arial" w:hAnsi="Arial"/>
                <w:sz w:val="18"/>
                <w:szCs w:val="18"/>
                <w:color w:val="auto"/>
              </w:rPr>
              <w:t>3.0 (0.7)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2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w w:val="98"/>
              </w:rPr>
              <w:t>Change from Baseline</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45   -0.1 (0.5)</w:t>
            </w:r>
          </w:p>
        </w:tc>
        <w:tc>
          <w:tcPr>
            <w:tcW w:w="1600" w:type="dxa"/>
            <w:vAlign w:val="bottom"/>
          </w:tcPr>
          <w:p>
            <w:pPr>
              <w:jc w:val="right"/>
              <w:spacing w:after="0"/>
              <w:rPr>
                <w:sz w:val="20"/>
                <w:szCs w:val="20"/>
                <w:color w:val="auto"/>
              </w:rPr>
            </w:pPr>
            <w:r>
              <w:rPr>
                <w:rFonts w:ascii="Arial" w:cs="Arial" w:eastAsia="Arial" w:hAnsi="Arial"/>
                <w:sz w:val="18"/>
                <w:szCs w:val="18"/>
                <w:color w:val="auto"/>
              </w:rPr>
              <w:t>22   0.6 (0.6)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5657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ind w:right="320"/>
        <w:spacing w:after="0" w:line="234" w:lineRule="auto"/>
        <w:rPr>
          <w:sz w:val="20"/>
          <w:szCs w:val="20"/>
          <w:color w:val="auto"/>
        </w:rPr>
      </w:pPr>
      <w:r>
        <w:rPr>
          <w:rFonts w:ascii="Arial" w:cs="Arial" w:eastAsia="Arial" w:hAnsi="Arial"/>
          <w:sz w:val="14"/>
          <w:szCs w:val="14"/>
          <w:color w:val="auto"/>
        </w:rPr>
        <w:t>BPI=brief pain inventory; eGFR=estimated glomerular filtration rate; lyso-Gb</w:t>
      </w:r>
      <w:r>
        <w:rPr>
          <w:rFonts w:ascii="Arial" w:cs="Arial" w:eastAsia="Arial" w:hAnsi="Arial"/>
          <w:sz w:val="21"/>
          <w:szCs w:val="21"/>
          <w:color w:val="auto"/>
          <w:vertAlign w:val="subscript"/>
        </w:rPr>
        <w:t>3</w:t>
      </w:r>
      <w:r>
        <w:rPr>
          <w:rFonts w:ascii="Arial" w:cs="Arial" w:eastAsia="Arial" w:hAnsi="Arial"/>
          <w:sz w:val="14"/>
          <w:szCs w:val="14"/>
          <w:color w:val="auto"/>
        </w:rPr>
        <w:t>=globotriaosylsphingosine; LVMI=Left Ventricular Mass Index; MSSI=Mainz Severity Score Index; UPCR=Urine Protein Creatinine Ratio.</w:t>
      </w:r>
    </w:p>
    <w:p>
      <w:pPr>
        <w:spacing w:after="0" w:line="151" w:lineRule="exact"/>
        <w:rPr>
          <w:sz w:val="20"/>
          <w:szCs w:val="20"/>
          <w:color w:val="auto"/>
        </w:rPr>
      </w:pPr>
    </w:p>
    <w:p>
      <w:pPr>
        <w:ind w:left="80" w:hanging="72"/>
        <w:spacing w:after="0"/>
        <w:tabs>
          <w:tab w:leader="none" w:pos="8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 xml:space="preserve">Wanner 2018; </w:t>
      </w:r>
      <w:r>
        <w:rPr>
          <w:rFonts w:ascii="Arial" w:cs="Arial" w:eastAsia="Arial" w:hAnsi="Arial"/>
          <w:sz w:val="18"/>
          <w:szCs w:val="18"/>
          <w:color w:val="auto"/>
          <w:vertAlign w:val="superscript"/>
        </w:rPr>
        <w:t>b</w:t>
      </w:r>
      <w:r>
        <w:rPr>
          <w:rFonts w:ascii="Arial" w:cs="Arial" w:eastAsia="Arial" w:hAnsi="Arial"/>
          <w:sz w:val="13"/>
          <w:szCs w:val="13"/>
          <w:color w:val="auto"/>
        </w:rPr>
        <w:t xml:space="preserve"> Higher scores indicate higher symptom severity.</w:t>
      </w:r>
    </w:p>
    <w:p>
      <w:pPr>
        <w:spacing w:after="0" w:line="12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57"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the agalsidase beta arm.</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who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Of the patients who completed the trial from both the PRX-102 and agalsidase beta treatment arms, 69 have opted, with the advice of the treating physician, to receive PRX-102 1 mg/kg every two weeks in the long-term open-label extension study which is now sponsored by Chiesi.</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5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was completed in December 2019. In the study, patients were screened and evaluated over three months while continuing agalsidase alfa treatment.</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Final results of the data generated in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ind w:right="100"/>
        <w:spacing w:after="0" w:line="201" w:lineRule="auto"/>
        <w:rPr>
          <w:sz w:val="20"/>
          <w:szCs w:val="20"/>
          <w:color w:val="auto"/>
        </w:rPr>
      </w:pPr>
      <w:r>
        <w:rPr>
          <w:rFonts w:ascii="Arial" w:cs="Arial" w:eastAsia="Arial" w:hAnsi="Arial"/>
          <w:sz w:val="16"/>
          <w:szCs w:val="16"/>
          <w:color w:val="auto"/>
        </w:rPr>
        <w:t>the study, the mean annualized eGFR slope of the study participants improved from -5.90 mL/min/1.73 m</w:t>
      </w:r>
      <w:r>
        <w:rPr>
          <w:rFonts w:ascii="Arial" w:cs="Arial" w:eastAsia="Arial" w:hAnsi="Arial"/>
          <w:sz w:val="23"/>
          <w:szCs w:val="23"/>
          <w:color w:val="auto"/>
          <w:vertAlign w:val="superscript"/>
        </w:rPr>
        <w:t>2</w:t>
      </w:r>
      <w:r>
        <w:rPr>
          <w:rFonts w:ascii="Arial" w:cs="Arial" w:eastAsia="Arial" w:hAnsi="Arial"/>
          <w:sz w:val="16"/>
          <w:szCs w:val="16"/>
          <w:color w:val="auto"/>
        </w:rPr>
        <w:t>/year while on agalsidase alfa to -1.19 mL/min/1.73 m</w:t>
      </w:r>
      <w:r>
        <w:rPr>
          <w:rFonts w:ascii="Arial" w:cs="Arial" w:eastAsia="Arial" w:hAnsi="Arial"/>
          <w:sz w:val="23"/>
          <w:szCs w:val="23"/>
          <w:color w:val="auto"/>
          <w:vertAlign w:val="superscript"/>
        </w:rPr>
        <w:t>2</w:t>
      </w:r>
      <w:r>
        <w:rPr>
          <w:rFonts w:ascii="Arial" w:cs="Arial" w:eastAsia="Arial" w:hAnsi="Arial"/>
          <w:sz w:val="16"/>
          <w:szCs w:val="16"/>
          <w:color w:val="auto"/>
        </w:rPr>
        <w:t>/year on PRX-102 in all patients. Male patients improved from -6.36 mL/min/1.73 m</w:t>
      </w:r>
      <w:r>
        <w:rPr>
          <w:rFonts w:ascii="Arial" w:cs="Arial" w:eastAsia="Arial" w:hAnsi="Arial"/>
          <w:sz w:val="23"/>
          <w:szCs w:val="23"/>
          <w:color w:val="auto"/>
          <w:vertAlign w:val="superscript"/>
        </w:rPr>
        <w:t>2</w:t>
      </w:r>
      <w:r>
        <w:rPr>
          <w:rFonts w:ascii="Arial" w:cs="Arial" w:eastAsia="Arial" w:hAnsi="Arial"/>
          <w:sz w:val="16"/>
          <w:szCs w:val="16"/>
          <w:color w:val="auto"/>
        </w:rPr>
        <w:t>/year to</w:t>
      </w:r>
    </w:p>
    <w:p>
      <w:pPr>
        <w:spacing w:after="0" w:line="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-1.73 mL/min/1.73 m</w:t>
      </w:r>
      <w:r>
        <w:rPr>
          <w:rFonts w:ascii="Arial" w:cs="Arial" w:eastAsia="Arial" w:hAnsi="Arial"/>
          <w:sz w:val="26"/>
          <w:szCs w:val="26"/>
          <w:color w:val="auto"/>
          <w:vertAlign w:val="superscript"/>
        </w:rPr>
        <w:t>2</w:t>
      </w:r>
      <w:r>
        <w:rPr>
          <w:rFonts w:ascii="Arial" w:cs="Arial" w:eastAsia="Arial" w:hAnsi="Arial"/>
          <w:sz w:val="18"/>
          <w:szCs w:val="18"/>
          <w:color w:val="auto"/>
        </w:rPr>
        <w:t>/year and female patients improved from -5.03 mL/min/1.73 m</w:t>
      </w:r>
      <w:r>
        <w:rPr>
          <w:rFonts w:ascii="Arial" w:cs="Arial" w:eastAsia="Arial" w:hAnsi="Arial"/>
          <w:sz w:val="26"/>
          <w:szCs w:val="26"/>
          <w:color w:val="auto"/>
          <w:vertAlign w:val="superscript"/>
        </w:rPr>
        <w:t>2</w:t>
      </w:r>
      <w:r>
        <w:rPr>
          <w:rFonts w:ascii="Arial" w:cs="Arial" w:eastAsia="Arial" w:hAnsi="Arial"/>
          <w:sz w:val="18"/>
          <w:szCs w:val="18"/>
          <w:color w:val="auto"/>
        </w:rPr>
        <w:t>/year to -0.21 mL/min/1.73 m</w:t>
      </w:r>
      <w:r>
        <w:rPr>
          <w:rFonts w:ascii="Arial" w:cs="Arial" w:eastAsia="Arial" w:hAnsi="Arial"/>
          <w:sz w:val="26"/>
          <w:szCs w:val="26"/>
          <w:color w:val="auto"/>
          <w:vertAlign w:val="superscript"/>
        </w:rPr>
        <w:t>2</w:t>
      </w:r>
      <w:r>
        <w:rPr>
          <w:rFonts w:ascii="Arial" w:cs="Arial" w:eastAsia="Arial" w:hAnsi="Arial"/>
          <w:sz w:val="18"/>
          <w:szCs w:val="18"/>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PRX-102 was well-tolerated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with all adverse events being transient in nature without sequelae. Of the 22 patients enrolled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w:t>
      </w:r>
    </w:p>
    <w:p>
      <w:pPr>
        <w:spacing w:after="0" w:line="1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 immunogenicity assessment indicated that four out of 20 patients (20%) developed persistent ADAs over the course of the study, of which two had neutralizing activity.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Baseline characteristics of the 20 patients who completed the study, ranging from ages 28 to 60 years, were as follows: mean eGFR</w:t>
      </w:r>
    </w:p>
    <w:p>
      <w:pPr>
        <w:spacing w:after="0" w:line="34" w:lineRule="exact"/>
        <w:rPr>
          <w:sz w:val="20"/>
          <w:szCs w:val="20"/>
          <w:color w:val="auto"/>
        </w:rPr>
      </w:pPr>
    </w:p>
    <w:p>
      <w:pPr>
        <w:jc w:val="both"/>
        <w:ind w:right="80"/>
        <w:spacing w:after="0" w:line="187" w:lineRule="auto"/>
        <w:rPr>
          <w:sz w:val="20"/>
          <w:szCs w:val="20"/>
          <w:color w:val="auto"/>
        </w:rPr>
      </w:pPr>
      <w:r>
        <w:rPr>
          <w:rFonts w:ascii="Arial" w:cs="Arial" w:eastAsia="Arial" w:hAnsi="Arial"/>
          <w:sz w:val="18"/>
          <w:szCs w:val="18"/>
          <w:color w:val="auto"/>
        </w:rPr>
        <w:t>75.87 mL/min/1.73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males, and 86.14 mL/min/1.73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females and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were 51.81 nM and 13.81 nM in males and females, respectively. While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levels remain slightly high, particularly within the male cohort, continuous reduction in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levels was observed of 19.55 nM (32.35%) in males and 4.57 nM (29.81%) in females.</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patients who completed the trial, 18 have opted, with the advice of the treating physician, to continue receiving PRX-102 1 mg/kg every two weeks in a long-term open-label extension study which now sponsored by Chiesi.</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which studied the 2 mg/kg every four weeks dosage, was completed in June 2020. This dosage was not approved by the EMA or the FDA.</w:t>
      </w:r>
    </w:p>
    <w:p>
      <w:pPr>
        <w:spacing w:after="0" w:line="14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as a Fabry biomarker, as well as other parameters. In addition, participating patients were evaluated to assess the safety and tolerability of PRX-102.</w:t>
      </w:r>
    </w:p>
    <w:p>
      <w:pPr>
        <w:spacing w:after="0" w:line="135" w:lineRule="exact"/>
        <w:rPr>
          <w:sz w:val="20"/>
          <w:szCs w:val="20"/>
          <w:color w:val="auto"/>
        </w:rPr>
      </w:pPr>
    </w:p>
    <w:p>
      <w:pPr>
        <w:ind w:right="300"/>
        <w:spacing w:after="0" w:line="232" w:lineRule="auto"/>
        <w:rPr>
          <w:sz w:val="20"/>
          <w:szCs w:val="20"/>
          <w:color w:val="auto"/>
        </w:rPr>
      </w:pPr>
      <w:r>
        <w:rPr>
          <w:rFonts w:ascii="Arial" w:cs="Arial" w:eastAsia="Arial" w:hAnsi="Arial"/>
          <w:sz w:val="18"/>
          <w:szCs w:val="18"/>
          <w:color w:val="auto"/>
        </w:rPr>
        <w:t xml:space="preserve">We announced final results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7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0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pacing w:after="0" w:line="10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ectPr>
          <w:pgSz w:w="11900" w:h="16838" w:orient="portrait"/>
          <w:cols w:equalWidth="0" w:num="1">
            <w:col w:w="9920"/>
          </w:cols>
          <w:pgMar w:left="980" w:top="665" w:right="99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Study outcome measures show that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concentrations remained stable during the study with a mean change (±SE) of</w:t>
      </w:r>
    </w:p>
    <w:p>
      <w:pPr>
        <w:spacing w:after="0" w:line="8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3.01 nM (0.94) from baseline (19.36 nM ±3.35) to Week 52 (22.23 ±3.60 nM). Mean absolute eGFR values were stable during the 52-week treatment period, with a mean change from baseline of -1.27 mL/min/1.73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(1.39). Mean (SE) eGFR slope, at the end of the study, for the overall population, was -2.92 (1.05) mL/min/1.73 m</w:t>
      </w:r>
      <w:r>
        <w:rPr>
          <w:rFonts w:ascii="Arial" w:cs="Arial" w:eastAsia="Arial" w:hAnsi="Arial"/>
          <w:sz w:val="26"/>
          <w:szCs w:val="26"/>
          <w:color w:val="auto"/>
          <w:vertAlign w:val="superscript"/>
        </w:rPr>
        <w:t>2</w:t>
      </w:r>
      <w:r>
        <w:rPr>
          <w:rFonts w:ascii="Arial" w:cs="Arial" w:eastAsia="Arial" w:hAnsi="Arial"/>
          <w:sz w:val="18"/>
          <w:szCs w:val="18"/>
          <w:color w:val="auto"/>
        </w:rPr>
        <w:t>/year indicating stability.</w:t>
      </w:r>
    </w:p>
    <w:p>
      <w:pPr>
        <w:spacing w:after="0" w:line="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I/II Study</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Sixteen adult, naïve Fabry patients (9 male and 7 female) completed our phase I/II clinical trial of PRX-102, each in one of three dosing groups, 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studies.</w:t>
      </w:r>
    </w:p>
    <w:p>
      <w:pPr>
        <w:spacing w:after="0" w:line="60"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The adult symptomatic, ERT-naïve Fabry disease patients enrolled in the phase I/II study were evaluated for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in kidney biopsies and for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 by the quantitative BLISS methodology. Biopsies were available from 14 patients. The outcome of ≥ 50% reduction in the average number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burden and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 the circulation. A high correlation was found between the two Fabry disease biomarkers, reduction of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and the reduction of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over six months of treatment.</w:t>
      </w:r>
    </w:p>
    <w:p>
      <w:pPr>
        <w:spacing w:after="0" w:line="15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3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9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development cost reimbursements of $45.0 million, and is entitled to approximately $1.0 billion in potential milestone payments and tiered royalties of 15% - 35% (ex-US) and 15% - 40% (US). During the quarter ended June 30, 2023, we received net proceeds of $20.0 million representing a milestone payment earned upon the FDA’s approval of Elfabrio for adult Fabry patients.</w:t>
      </w:r>
    </w:p>
    <w:p>
      <w:pPr>
        <w:spacing w:after="0" w:line="121"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of 15% to 40% of its net sales under the Chiesi US Agreement to Protalix Ltd., depending on the amount of annual sales, subject to certain terms and conditions, as consideration for product supply.</w:t>
      </w:r>
    </w:p>
    <w:p>
      <w:pPr>
        <w:spacing w:after="0" w:line="16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August 29, 2022, we entered into the F/F Agreement and the Letter Agreement with Chiesi.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our obligations and those of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1, 2023, sponsorship of the two extension studies was transferred to Chiesi, and Chiesi is now administering the extension studies.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1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4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1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The global market for Gaucher disease, that includes Sanofi’s Cerezyme</w:t>
      </w:r>
      <w:r>
        <w:rPr>
          <w:rFonts w:ascii="Arial" w:cs="Arial" w:eastAsia="Arial" w:hAnsi="Arial"/>
          <w:sz w:val="26"/>
          <w:szCs w:val="26"/>
          <w:color w:val="auto"/>
          <w:vertAlign w:val="superscript"/>
        </w:rPr>
        <w:t>®</w:t>
      </w:r>
      <w:r>
        <w:rPr>
          <w:rFonts w:ascii="Arial" w:cs="Arial" w:eastAsia="Arial" w:hAnsi="Arial"/>
          <w:sz w:val="18"/>
          <w:szCs w:val="18"/>
          <w:color w:val="auto"/>
        </w:rPr>
        <w:t>, Shire’s Vpriv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Sanofi’s Cerdelga</w:t>
      </w:r>
      <w:r>
        <w:rPr>
          <w:rFonts w:ascii="Arial" w:cs="Arial" w:eastAsia="Arial" w:hAnsi="Arial"/>
          <w:sz w:val="26"/>
          <w:szCs w:val="26"/>
          <w:color w:val="auto"/>
          <w:vertAlign w:val="superscript"/>
        </w:rPr>
        <w:t>®</w:t>
      </w:r>
      <w:r>
        <w:rPr>
          <w:rFonts w:ascii="Arial" w:cs="Arial" w:eastAsia="Arial" w:hAnsi="Arial"/>
          <w:sz w:val="18"/>
          <w:szCs w:val="18"/>
          <w:color w:val="auto"/>
        </w:rPr>
        <w:t>, among others, was $1.6 billion in 2022, is forecasted to be approximately $1.6 billion in 2023 and is forecasted to grow at a CAGR of approximately 3.1% from 2022-2028.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ectPr>
          <w:pgSz w:w="11900" w:h="16838" w:orient="portrait"/>
          <w:cols w:equalWidth="0" w:num="1">
            <w:col w:w="9920"/>
          </w:cols>
          <w:pgMar w:left="980" w:top="665" w:right="99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first 10-year period after the execution of the October 2015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(i.e., until October 2030).</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maintain distribution rights to Elelyso in Brazil through a supply and technology transfer agreement with Fiocruz, an arm of the Brazilian MoH.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Uricase (PRX-115)</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PRX-115 is our plant cell-expressed recombinant PEGylated uricase (urate oxidase) – a chemically modified enzyme under development for the potential treatment of severe gout. We use ProCellEx to express an optimized recombinant uricase enzyme under development for the potential treatment of severe gout which we are designing to lower uric acid levels while having low immunogenicity and increased half-life in the circulation. Pre-clinical data demonstrates stable PK profile and long half-life, low immunogenic risk and high specific activity which supports the potential of PRX-115 to be a safe and effective treatment for severe gout. Results from the one-month multiple dosing toxicity studies in two species demonstrate that PRX-115 is well tolerated.</w:t>
      </w:r>
    </w:p>
    <w:p>
      <w:pPr>
        <w:spacing w:after="0" w:line="1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March 21, 2023, the first patient was dosed in our phase I First in Human (FIH) clinical trial of PRX-115, a double-blind, placebo-controlled trial designed to evaluate the safety, pharmacokinetics, pharmacodynamics (reduction of uric acid) and immunogenicity of PRX-115 in patients with elevated uric acid levels (&gt;6.0 mg/dL). The trial is a single ascending dose (SAD) study with up to seven cohorts, and patients are to be randomized 3:1 to receive a single intravenous (IV) dose of PRX-115 or a placebo. The study is being conducted at New Zealand Clinical Research (NZCR) under the New Zealand Medicines and Medical Devices Safety Authority (MedSafe) and the Health and Disability Ethics Committee (HDEC) guidelines, and is expected to enroll approximately 56 patients with no previous exposure to PEGylated uricase. As of the date hereof, 16 patients have been dosed in this trial.</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leads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Severe gout is generally described as a state of gout in which there is a presence of monosodium urate crystals with any of the following: frequent recurrent gout flares, chronic gouty arthritis, subcutaneous tophi or disease elements of gout seen via imaging. It is estimated that approximately 2% of the gout patient population is considered to have chronic refractory disease, and we believe the incidence of severe gout is higher.</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Currently available urate-lowering therapies, or ULTs, can be effective in treating gout. However, we believe that new effective, safe therapies are needed to treat severe gout and chronic refractory gout regardless of treatment history. One treatment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(pegloticase) for treatment of chronic gout refractory to conventional therapy (gout patients who have contraindication/failure of other lowering uric acid treatments) and (ii) Elitek</w:t>
      </w:r>
      <w:r>
        <w:rPr>
          <w:rFonts w:ascii="Arial" w:cs="Arial" w:eastAsia="Arial" w:hAnsi="Arial"/>
          <w:sz w:val="25"/>
          <w:szCs w:val="25"/>
          <w:color w:val="auto"/>
          <w:vertAlign w:val="superscript"/>
        </w:rPr>
        <w:t>®</w:t>
      </w:r>
      <w:r>
        <w:rPr>
          <w:rFonts w:ascii="Arial" w:cs="Arial" w:eastAsia="Arial" w:hAnsi="Arial"/>
          <w:sz w:val="17"/>
          <w:szCs w:val="17"/>
          <w:color w:val="auto"/>
        </w:rPr>
        <w:t>, indicated for the treatment of tumor lysis syndrome but not gout. Both have a black box warning for anaphylaxis and other major side-effects. In particular, 89% of patients treated with Krystexxa developed an immunogenic response associated with a failure to maintain normalization of serum uric acid levels over a 6-month therapy cycle. In addition, a recent phase IV study demonstrates that co-treatment with Krystexxa and methotrexate prolongs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8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DNase I design for long and customized systemically circulating in the bloodstream, may potentially enable effective treatment of acute and chronic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key element of our overall strategy is to establish a broad portfolio of patents to protect our proprietary technology, proprietary product and product candidates and their methods of use. As of June 30, 2023, we hold a broad portfolio of over 80 patents in Europe, the United States, Israel and additional countries worldwide, as well as over 45 pending patent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significant accounting policies are more fully described in Note 1 to our consolidated financial statements appearing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There have been no material changes to our critical accounting policies since we filed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2022.</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As applicable to these consolidated financial statements, the most significant estimates and assumptions relate to the assessment of sales reserves and valuation allowances.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the three months ended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Selling Goods</w:t>
      </w:r>
    </w:p>
    <w:p>
      <w:pPr>
        <w:spacing w:after="0" w:line="19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recorded revenues from selling goods of $15.1 million during the three months ended June 30, 2023, an increase of $11.7 million, or 344%, compared to revenues of $3.4 million for the three months ended June 30, 2022. The increase resulted primarily from an increase of $11.7 million in sales to Chiesi, following the approvals by the FDA and the EMA of Elfabrio.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license and R&amp;D services of $20.0 million for the three months ended June 30, 2023, an increase of</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$14.6 million, or 270%, compared to revenues of $5.4 million for the three months ended June 30, 2022. The increase resulted from the $20.0 million regulatory milestone payment from Chiesi in connection with the FDA approval of Elfabrio. Revenues from license and R&amp;D services are comprised primarily of revenues we recognized in connection with the Chiesi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goods sold was $6.1 million for the three months ended June 30, 2023 an increase of $2.0 million, or 49%, from cost of goods sold of $4.1 million for the three months ended June 30, 2022. The increase in cost of goods sold was primarily the result of the increase in sales of Elfabrio drug substance to Chiesi and royalties payable to the Israel Innovation Authority in connection with the Chiesi agreements.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For the three months ended June 30, 2023, our total research and development expenses were approximately $4.5 million comprised of approximately $1.7 million in subcontractor-related expenses, approximately $2.0 million of salary and related expenses, approximately $0.1 million of materials-related expenses and approximately $0.7 million of other expenses. For the three months ended June 30, 2022, our total research and development expenses were approximately $7.6 million comprised of approximately $4.4 million in subcontractor-related expenses, approximately $1.6 million of salary and related expenses, approximately $0.7 million of materials-related expenses and approximately $0.9 million of other expenses.</w:t>
      </w:r>
    </w:p>
    <w:p>
      <w:pPr>
        <w:spacing w:after="0" w:line="17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Total decrease in research and developments expenses was $3.1 million, or 41%, for the three months ended June 30, 2023 compared to the three months ended June 30, 2022. The decrease in research and development expenses primarily resulted from the completion of our Fabry clinical program and the regulatory processes related to the BLA and MAA review of Elfabrio by the applicable regulatory agencies.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Selling, general and administrative expenses were $4.0 million for the three months ended June 30, 2023, an increase of $1.4 million, or 54%, compared to $2.6 million for the three months ended June 30, 2022. The increase resulted primarily from an increase of approximately $1.2 million in salary and related expenses due to one-time cash bonuses.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Financial expenses, net were $0.8 million for the three months ended June 30, 2023, compared to financial income, net of $0.2 million for the three months ended June 30, 2022. The increase resulted primarily from an increase of $0.6 million in costs related to exchange rates as well as an increase in our convertible notes related expenses of $0.3 million net of a gain recognized due to conversions of a portion of the 2024 Notes of $0.4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three months ended June 30, 2023, we recorded income taxes of approximately $0.3 million which were primarily the result of the provision for current taxes in respect of Section 174 of the TCJA. Section 174 eliminated the option to immediately deduct research and development expenses in the year incurred and requires us to capitalize and amortize these expenditures over 15 years (for out of U.S.-based research and development). In addition, during the three months ended June 30, 2023, we released a valuation allowance related to deferred tax assets of the U.S. jurisdiction that resulted in a net benefit to tax expense of $3.1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Selling Goods</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recorded revenues from selling goods of $20.1 million during the six months ended June 30, 2023, an increase of $7.7 million, or 62%, compared to revenues of $12.4 million for the six months ended June 30, 2022. The increase resulted primarily from an increase of $11.5 million in sales to Chiesi, following the approvals by the FDA and the EMA of Elfabrio, which was partially offset by a decrease of $2.7 million in sales to Brazil and a decrease of $1.0 million in sales to Pfizer, both resulting from timing differences.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license and R&amp;D services of $24.5 million for the six months ended June 30, 2023,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$12.1 million, or 98%, compared to revenues of $12.4 million for the six months ended June 30, 2022. The increase resulted from the</w:t>
      </w:r>
    </w:p>
    <w:p>
      <w:pPr>
        <w:spacing w:after="0" w:line="3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$20.0 million regulatory milestone payment from Chiesi in connection with the FDA approval of Elfabrio which was partially offset by a decrease of $7.9 million in revenues recognized in connection with the Chiesi Agreements. Revenues from license and R&amp;D services are comprised primarily of revenues we recognized in connection with the Chiesi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Cost of goods sold was $9.2 million for the six months ended June 30, 2023, a decrease of $0.9 million, or 9%, from cost of goods sold of $10.1 million for the six months ended June 30, 2022. The decrease in cost of goods sold was primarily the result of a decrease</w:t>
      </w: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sales of goods to Brazil and to Pfizer which was partially offset by an increase in sales of Elfabrio drug substance to Chiesi. Sales to Chiesi included certain drug substance costs which had already been recognized as research and development expenses as it was produced as part of research and development activities. Accordingly, the related cost of goods sold does not include the costs of such drug substance.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For the six months ended June 30, 2023, our total research and development expenses were approximately $10.3 million comprised of approximately $5.2 million in subcontractor-related expenses, approximately $3.6 million of salary and related expenses, approximately $0.3 million of materials-related expenses and approximately $1.2 million of other expenses. For the six months ended June 30, 2022, our total research and development expenses were approximately $16.3 million comprised of approximately $10.2 million in subcontractor-related expenses, approximately $3.7 million of salary and related expenses, approximately $0.9 million of materials-related expenses and approximately $1.5 million of other expenses.</w:t>
      </w:r>
    </w:p>
    <w:p>
      <w:pPr>
        <w:spacing w:after="0" w:line="17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Total decrease in research and developments expenses was $6.0 million, or 37%, for the six months ended June 30, 2023 compared to the six months ended June 30, 2022. The decrease in research and development expenses primarily resulted from the completion of our Fabry clinical program and of the regulatory processes related to the BLA and MAA review of Elfabrio by the applicable regulatory agencies.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expenses were $7.1 million for the six months ended June 30, 2023, an increase of $1.3 million, or 22%, compared to $5.8 million for the six months ended June 30, 2022. The increase resulted primarily from an increase of approximately $0.9 million in salary and related expenses due to one-time cash bonuses, an increase of $0.2 million in professional fees and of $0.2 million in travel, conferences and employee training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Financial expenses, net were $1.3 million for the six months ended June 30, 2023, an increase of $1.1 million, or 550%, compared to $0.2 million for the six months ended June 30, 2022. The increase was primarily due to an increase of $0.7 million in costs related to exchange rates as well as an increase in our convertible notes related expenses of $0.3 million net of a gain recognized due to conversions of a portion of the 2024 Notes of $0.4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In the six months ended June 30, 2023, we recorded income taxes of approximately $0.5 million which were primarily the result of the provision for current taxes in respect of Section 174 of the TCJA. Section 174 eliminated the option to immediately deduct research and development expenses in the year incurred and requires us to capitalize and amortize these expenditures over 15 years (for out of U.S.-based research and development). In addition, during the six months ended June 30, 2023, we released a valuation allowance related to deferred tax assets of the U.S. jurisdiction that resulted in a net benefit to tax expense of $3.1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Our sources of liquidity includes our cash and cash equivalents balance. At June 30, 2023, we had $48.2 million in cash and cash equivalents. We have primarily financed our operations through equity and debt financings, business collaborations, and grants funding.</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 ended December 31, 2022, we raised gross proceeds equal to approximately $8.7 million from the sale of 7,473,038 shares of our common stock under our ATM program. During the six months ended June 30, 2023, we raised gross proceeds equal to approximately $24.9 million from sales of common stock under our ATM program through the sale of 12,560,150 shares of our common stock of which 4,347,668 shares were sold, and gross proceeds of approximately $10.0 million were raised, in the three months ended June 30, 2023.</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25, 2021, we completed exchanges, or the Exchanges, of a substantial majority of our then outstanding 7.50% Senior Secured Convertible Notes due 2021, or the 2021 Notes, with institutional note holders of a substantial majority of the 2021 Notes. The Exchanges involved the exchange of an aggregate of $54.65 million principal amount of our 2021 Notes for an aggregate of</w:t>
      </w: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$28.75 million principal amount of newly issued 7.50% Senior Secured Convertible Notes due 2024, or the 2024 Notes, $25.90 million in cash, and approximately $1.1 million in cash representing accrued and unpaid interest through the closing date. The initial conversion rate for the 2024 Notes is 563.2216 shares of our common stock for each $1,000 principal amount of 2024 Notes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 As a result of the conversion of 2024 Notes during the six months ended June 30, 2023, the total principal amount of our remaining 2024 Notes outstanding decreased by approximately $8.3 million. As of June 30, 2023, the total principal amount of our 2024 Notes outstanding was $20.42 million.</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2024 Notes were issued pursuant to the Indenture dated as of August 24, 2021 between us, the guarantors party thereto, The Bank of New York Mellon Trust Company, N.A., as trustee and Wilmington Savings Fund Society, FSB, as collateral agent, or the 2024 Indenture. Interest on the Notes are payable semi-annually at a rate of 7.50% per annum. The 2024 Notes will mature on September 1, 2024, unless earlier purchased, converted, exchanged or redeemed, and are guaranteed by our subsidiaries. The 2024 Notes are secured by perfected liens on all of our assets, including those of our subsidiaries. Under the terms of the 2024 Indenture, we are required to comply with </w:t>
      </w:r>
      <w:r>
        <w:rPr>
          <w:rFonts w:ascii="Arial" w:cs="Arial" w:eastAsia="Arial" w:hAnsi="Arial"/>
          <w:sz w:val="16"/>
          <w:szCs w:val="16"/>
          <w:color w:val="222222"/>
        </w:rPr>
        <w:t>certain covenants, including the requirement to</w:t>
      </w:r>
      <w:r>
        <w:rPr>
          <w:rFonts w:ascii="Arial" w:cs="Arial" w:eastAsia="Arial" w:hAnsi="Arial"/>
          <w:sz w:val="16"/>
          <w:szCs w:val="16"/>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June 30, 2023, we were in compliance with all covenants.</w:t>
      </w:r>
    </w:p>
    <w:p>
      <w:pPr>
        <w:spacing w:after="0" w:line="1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cash and cash equivalents as of June 30, 2023 are sufficient to satisfy our capital needs for at least 12 months from the date that these financial statements are issued.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cash generated from operations was $2.0 million for the six months ended June 30, 2023. The net income for the six months ended June 30, 2023 of $16.2 million was decreased by an $13.2 million decrease in contracts liability, a $3.1 million increase in deferred tax assets and a $2.8 million increase in inventories. The net income was increased by a $3.6 million increase in accounts payable and accruals, $1.0 million in share-based compensation and $0.6 million in depreciation. Net cash provided by investing activities for the six months ended June 30, 2023 was $4.5 million and consisted primarily of proceeds from sale of short-term deposits. Net cash provided by financing activities was $24.7 million resulting primarily from the sale of common stock under our ATM program.</w:t>
      </w:r>
    </w:p>
    <w:p>
      <w:pPr>
        <w:spacing w:after="0" w:line="13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used in operations was $13.2 million for the six months ended June 30, 2022. The net loss for the six months ended June 30, 2022 of $7.6 million was increased by a $2.6 million decrease in contracts liability, a $4.9 million decrease in accounts payable and accruals and $1.0 million financial income, net (mainly exchange differences), and was partially offset by a $1.4 million decrease in inventories and a $1.1 million in share-based compensation. Net cash used in investing activities for the six months ended June 30, 2022 was $15.9 million and consisted primarily of investment in bank deposits. Net cash provided by financing activities was $2.6 million resulting mainly from the sale of common stock under our ATM program.</w:t>
      </w:r>
    </w:p>
    <w:p>
      <w:pPr>
        <w:spacing w:after="0" w:line="1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As a result of our significant research and development expenditures and the lack of significant revenue from sales of taliglucerase alfa, we have generated operating losses from our continuing operations since our inception. Our outstanding 2024 Notes are secured by a perfected lien on all of our assets. Under the terms of the 2024 Indenture, we are required to comply with </w:t>
      </w:r>
      <w:r>
        <w:rPr>
          <w:rFonts w:ascii="Arial" w:cs="Arial" w:eastAsia="Arial" w:hAnsi="Arial"/>
          <w:sz w:val="17"/>
          <w:szCs w:val="17"/>
          <w:color w:val="222222"/>
        </w:rPr>
        <w:t>certain covenants, including the</w:t>
      </w:r>
      <w:r>
        <w:rPr>
          <w:rFonts w:ascii="Arial" w:cs="Arial" w:eastAsia="Arial" w:hAnsi="Arial"/>
          <w:sz w:val="17"/>
          <w:szCs w:val="17"/>
          <w:color w:val="auto"/>
        </w:rPr>
        <w:t xml:space="preserve"> </w:t>
      </w:r>
      <w:r>
        <w:rPr>
          <w:rFonts w:ascii="Arial" w:cs="Arial" w:eastAsia="Arial" w:hAnsi="Arial"/>
          <w:sz w:val="17"/>
          <w:szCs w:val="17"/>
          <w:color w:val="222222"/>
        </w:rPr>
        <w:t xml:space="preserve">requirement to </w:t>
      </w:r>
      <w:r>
        <w:rPr>
          <w:rFonts w:ascii="Arial" w:cs="Arial" w:eastAsia="Arial" w:hAnsi="Arial"/>
          <w:sz w:val="17"/>
          <w:szCs w:val="17"/>
          <w:color w:val="000000"/>
        </w:rPr>
        <w:t>maintain a minimum cash balance of at least $7.5 million. Failure to comply with such covenants may result in an event</w:t>
      </w:r>
      <w:r>
        <w:rPr>
          <w:rFonts w:ascii="Arial" w:cs="Arial" w:eastAsia="Arial" w:hAnsi="Arial"/>
          <w:sz w:val="17"/>
          <w:szCs w:val="17"/>
          <w:color w:val="222222"/>
        </w:rPr>
        <w:t xml:space="preserve"> </w:t>
      </w:r>
      <w:r>
        <w:rPr>
          <w:rFonts w:ascii="Arial" w:cs="Arial" w:eastAsia="Arial" w:hAnsi="Arial"/>
          <w:sz w:val="17"/>
          <w:szCs w:val="17"/>
          <w:color w:val="000000"/>
        </w:rPr>
        <w:t>of default under the 2024 Indenture and, accordingly, may result in the acceleration of the payment of the notes or in additional interest payments. As of June 30, 2023, we were in compliance with all covenants.</w:t>
      </w:r>
    </w:p>
    <w:p>
      <w:pPr>
        <w:spacing w:after="0" w:line="13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six months ended June 30, 2023, we issued, in the aggregate, 538,822 shares of our common stock in connection with cash and cashless exercises of our outstanding warrants to purchase shares of our common stock at an exercise price equal to $2.36 per share which were initially issued on March 18, 2020 as part of our private placement of common stock and warrants, or the 2020 Warrants. In connection with the exercises, we generated net proceeds equal to $0.7 million and retired 2020 Warrants to purchase 1,146,810 shares of common stock. As of June 30, 2023, 2020 Warrants to purchase 13,439,712 shares were outstanding.</w:t>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during the six months ended June 30, 2023, we issued, in the aggregate, 4,691,623 shares of our common stock in connection with a number of conversions of 2024 Notes. In connection with such conversions, during the six months ended June 30, 2023, we paid to the converting holders $0.9 million representing cash payments due to accrued but unpaid interest, make-whole interest payments and payments in lieu of fractional shares. As a result of the conversion of 2024 Notes during the six months ended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June 30, 2023, the total principal amount of our remaining 2024 Notes outstanding decreased by approximately $8.3 million. As of June 30, 2023, the total principal amount of our 2024 Notes outstanding was $20.42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8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expect to continue to incur expenditures in the near future as we increase our research and developments efforts with respect to our product candidates. We cannot anticipate the costs or the timing of the occurrence of such costs. We also expect to increase the revenues generated from the sales of our approved drug products. To the extent we need to obtain additional financing in excess of such anticipated revenues, it may be more difficult for us to do so given the volatility of the price of our common stock. Our material cash needs for the next 24 months will include, among other expenses, (i) costs of preclinical and clinical trials, (ii) employee salaries,</w:t>
      </w:r>
    </w:p>
    <w:p>
      <w:pPr>
        <w:spacing w:after="0" w:line="2" w:lineRule="exact"/>
        <w:rPr>
          <w:sz w:val="20"/>
          <w:szCs w:val="20"/>
          <w:color w:val="auto"/>
        </w:rPr>
      </w:pPr>
    </w:p>
    <w:p>
      <w:pPr>
        <w:ind w:right="180" w:firstLine="8"/>
        <w:spacing w:after="0" w:line="253"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for rent and operation of our manufacturing facilities, (iv) fees to our consultants and legal advisors, patent advisors and fees for service providers in connection with our research and development efforts, (v) payments of principal and interest on our outstanding 2024 Notes and (vi) tax payments. We believe that the funds currently available to us are sufficient to satisfy our capital needs for at least 12 months.</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83" w:lineRule="exact"/>
        <w:rPr>
          <w:sz w:val="20"/>
          <w:szCs w:val="20"/>
          <w:color w:val="auto"/>
        </w:rPr>
      </w:pPr>
    </w:p>
    <w:p>
      <w:pPr>
        <w:ind w:left="1000" w:right="32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Chiesi’s progress in commercializing Elfabrio;</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84" w:lineRule="exact"/>
        <w:rPr>
          <w:rFonts w:ascii="Arial" w:cs="Arial" w:eastAsia="Arial" w:hAnsi="Arial"/>
          <w:sz w:val="18"/>
          <w:szCs w:val="18"/>
          <w:color w:val="auto"/>
        </w:rPr>
      </w:pPr>
    </w:p>
    <w:p>
      <w:pPr>
        <w:ind w:left="1000" w:right="72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to finance our future cash needs through sales of our approved drug products (Elelyso and Elfabrio), corporate collaborations, licensing or similar arrangements, public or private equity offerings and/or debt financings. We currently do not have any commitments for future external funding, except with respect to milestone payments and royalties that may become payable under the Chiesi Agreements. As of June 30, 2023, shares of our common stock for total gross proceeds of approximately $6.4 million remain available to be sold under our 2023 Sales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and six months ended June 30,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June 30, 2023 and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ectPr>
          <w:pgSz w:w="11900" w:h="16838" w:orient="portrait"/>
          <w:cols w:equalWidth="0" w:num="1">
            <w:col w:w="9880"/>
          </w:cols>
          <w:pgMar w:left="980" w:top="665" w:right="1039" w:bottom="1440" w:gutter="0" w:footer="0" w:header="0"/>
        </w:sectPr>
      </w:pP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388"/>
              <w:spacing w:after="0" w:line="142"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408"/>
              <w:spacing w:after="0" w:line="142"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6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Average rate for period</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3.648</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3.346</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3.592</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3.272</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Rate at period-end</w:t>
            </w:r>
          </w:p>
        </w:tc>
        <w:tc>
          <w:tcPr>
            <w:tcW w:w="620" w:type="dxa"/>
            <w:vAlign w:val="bottom"/>
          </w:tcPr>
          <w:p>
            <w:pPr>
              <w:jc w:val="right"/>
              <w:ind w:right="1"/>
              <w:spacing w:after="0"/>
              <w:rPr>
                <w:sz w:val="20"/>
                <w:szCs w:val="20"/>
                <w:color w:val="auto"/>
              </w:rPr>
            </w:pPr>
            <w:r>
              <w:rPr>
                <w:rFonts w:ascii="Arial" w:cs="Arial" w:eastAsia="Arial" w:hAnsi="Arial"/>
                <w:sz w:val="18"/>
                <w:szCs w:val="18"/>
                <w:color w:val="auto"/>
              </w:rPr>
              <w:t>3.700</w:t>
            </w: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3.500</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3.700</w:t>
            </w: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3.500</w:t>
            </w: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2023 that have materially affected, or that are reasonably likely to materially affect, our internal control over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our Annual Report on Form 10-K for the year ended December 31, 2022.</w:t>
      </w:r>
    </w:p>
    <w:p>
      <w:pPr>
        <w:spacing w:after="0" w:line="14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current products or future product candidates may cause serious adverse events, or SAEs, undesirable side effects or have other properties that could halt their clinical development, prevent, delay, or cause the withdrawal of their regulatory approval, limit their commercial potential, or result in material negative consequences.</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with most infused products, use of our products or any current or future product candidates could be associated with undesirable side effects or adverse events which can vary in severity and frequency. From time to time, we have observed serious adverse events in clinical studies of our products and product candidates. For example, while conducting clinical trials we have observed treatable anaphylactic reactions. In addition, as indicated in the boxed warning with which Elfabrio was approved by the FDA, patients treated with Elfabrio have experienced hypersensitivity reactions, including anaphylaxis. There are postmarketing requirements under the U.S. Federal Food, Drug, and Cosmetic Act included with the approval of Elfabrio by the FDA. For example, the FDA requires that a worldwide descriptive study be conducted that collects prospective and retrospective data in women and their offspring exposed to Elfabrio during pregnancy and/or lactation to assess risk of pregnancy and material complications, adverse effects on the developing fetus and neonate, and adverse effects on the infant. Furthermore, the approval of pharmaceutical products generally includes requirements related to the preparation of a Risk Evaluation and Mitigation Strategy, or REMS, or a risk management plan as required by the EMA, which could include a medication guide outlining the risks of such side effects for distribution to patients, a communication plan for healthcare providers and/or other elements to assure safe use. For example, Chiesi must follow a risk management plan agreed upon with the EMA with respect to Elfabrio, which includes risk minimization measures in connection with risks associated with hypersensitivity reactions and possible medication errors in the home infusion setting. Our product candidates, if approved, may also be subject to certain post-authorization reporting requirements. As an example, the EMA has required that Chiesi submit pharmacovigilance documents intended to provide post-authorization evaluation of Elfabrio’s risk-benefit balance at defined time points after authorization, beginning within six months of authorization, and that we agree with the National Competent Authority on an educational program about home administration prior to use of Elfabrio in the home setting. Any of the foregoing, including the boxed warning, could prevent us or our collaborators from achieving or maintaining market acceptance of a product or a particular product candidate and could materially harm our business, results of operations, and prospects, and could adversely impact our financial condition, results of operations, ability to raise additional financing or the market price of our common stock.</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8"/>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20" w:type="dxa"/>
            <w:vAlign w:val="bottom"/>
            <w:gridSpan w:val="3"/>
          </w:tcPr>
          <w:p>
            <w:pPr>
              <w:jc w:val="center"/>
              <w:ind w:right="551"/>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8"/>
              </w:rPr>
              <w:t>File Number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2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57"/>
        </w:trPr>
        <w:tc>
          <w:tcPr>
            <w:tcW w:w="860" w:type="dxa"/>
            <w:vAlign w:val="bottom"/>
          </w:tcPr>
          <w:p>
            <w:pPr>
              <w:jc w:val="center"/>
              <w:ind w:right="51"/>
              <w:spacing w:after="0" w:line="157" w:lineRule="exact"/>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21"/>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3200" w:type="dxa"/>
            <w:vAlign w:val="bottom"/>
            <w:tcBorders>
              <w:bottom w:val="single" w:sz="8" w:color="0000EE"/>
            </w:tcBorders>
            <w:gridSpan w:val="13"/>
          </w:tcPr>
          <w:p>
            <w:pPr>
              <w:spacing w:after="0" w:line="190"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Certificate of Incorporation of the Company</w:t>
              </w:r>
            </w:hyperlink>
          </w:p>
        </w:tc>
        <w:tc>
          <w:tcPr>
            <w:tcW w:w="420" w:type="dxa"/>
            <w:vAlign w:val="bottom"/>
            <w:gridSpan w:val="11"/>
          </w:tcPr>
          <w:p>
            <w:pPr>
              <w:spacing w:after="0"/>
              <w:rPr>
                <w:sz w:val="16"/>
                <w:szCs w:val="16"/>
                <w:color w:val="auto"/>
              </w:rPr>
            </w:pPr>
          </w:p>
        </w:tc>
        <w:tc>
          <w:tcPr>
            <w:tcW w:w="1640" w:type="dxa"/>
            <w:vAlign w:val="bottom"/>
            <w:gridSpan w:val="2"/>
          </w:tcPr>
          <w:p>
            <w:pPr>
              <w:jc w:val="right"/>
              <w:ind w:right="13"/>
              <w:spacing w:after="0" w:line="190" w:lineRule="exact"/>
              <w:rPr>
                <w:sz w:val="20"/>
                <w:szCs w:val="20"/>
                <w:color w:val="auto"/>
              </w:rPr>
            </w:pPr>
            <w:r>
              <w:rPr>
                <w:rFonts w:ascii="Arial" w:cs="Arial" w:eastAsia="Arial" w:hAnsi="Arial"/>
                <w:sz w:val="18"/>
                <w:szCs w:val="18"/>
                <w:color w:val="auto"/>
              </w:rPr>
              <w:t>8-K   001-33357</w:t>
            </w: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520" w:type="dxa"/>
            <w:vAlign w:val="bottom"/>
          </w:tcPr>
          <w:p>
            <w:pPr>
              <w:jc w:val="center"/>
              <w:ind w:left="31"/>
              <w:spacing w:after="0" w:line="190" w:lineRule="exact"/>
              <w:rPr>
                <w:sz w:val="20"/>
                <w:szCs w:val="20"/>
                <w:color w:val="auto"/>
              </w:rPr>
            </w:pPr>
            <w:r>
              <w:rPr>
                <w:rFonts w:ascii="Arial" w:cs="Arial" w:eastAsia="Arial" w:hAnsi="Arial"/>
                <w:sz w:val="18"/>
                <w:szCs w:val="18"/>
                <w:color w:val="auto"/>
                <w:w w:val="94"/>
              </w:rPr>
              <w:t>April 1, 2016</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3560" w:type="dxa"/>
            <w:vAlign w:val="bottom"/>
            <w:tcBorders>
              <w:bottom w:val="single" w:sz="8" w:color="0000EE"/>
            </w:tcBorders>
            <w:gridSpan w:val="23"/>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Amendment to Certificate of Incorporation of the</w:t>
              </w:r>
            </w:hyperlink>
          </w:p>
        </w:tc>
        <w:tc>
          <w:tcPr>
            <w:tcW w:w="60" w:type="dxa"/>
            <w:vAlign w:val="bottom"/>
          </w:tcPr>
          <w:p>
            <w:pPr>
              <w:spacing w:after="0"/>
              <w:rPr>
                <w:sz w:val="21"/>
                <w:szCs w:val="21"/>
                <w:color w:val="auto"/>
              </w:rPr>
            </w:pPr>
          </w:p>
        </w:tc>
        <w:tc>
          <w:tcPr>
            <w:tcW w:w="1640" w:type="dxa"/>
            <w:vAlign w:val="bottom"/>
            <w:gridSpan w:val="2"/>
          </w:tcPr>
          <w:p>
            <w:pPr>
              <w:jc w:val="right"/>
              <w:ind w:right="13"/>
              <w:spacing w:after="0"/>
              <w:rPr>
                <w:sz w:val="20"/>
                <w:szCs w:val="20"/>
                <w:color w:val="auto"/>
              </w:rPr>
            </w:pPr>
            <w:r>
              <w:rPr>
                <w:rFonts w:ascii="Arial" w:cs="Arial" w:eastAsia="Arial" w:hAnsi="Arial"/>
                <w:sz w:val="18"/>
                <w:szCs w:val="18"/>
                <w:color w:val="auto"/>
                <w:w w:val="97"/>
              </w:rPr>
              <w:t>Def 14A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520" w:type="dxa"/>
            <w:vAlign w:val="bottom"/>
          </w:tcPr>
          <w:p>
            <w:pPr>
              <w:jc w:val="center"/>
              <w:ind w:left="31"/>
              <w:spacing w:after="0"/>
              <w:rPr>
                <w:sz w:val="20"/>
                <w:szCs w:val="20"/>
                <w:color w:val="auto"/>
              </w:rPr>
            </w:pPr>
            <w:r>
              <w:rPr>
                <w:rFonts w:ascii="Arial" w:cs="Arial" w:eastAsia="Arial" w:hAnsi="Arial"/>
                <w:sz w:val="18"/>
                <w:szCs w:val="18"/>
                <w:color w:val="auto"/>
                <w:w w:val="90"/>
              </w:rPr>
              <w:t>July 1, 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20" w:type="dxa"/>
            <w:vAlign w:val="bottom"/>
            <w:gridSpan w:val="24"/>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Company</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3.3</w:t>
            </w:r>
          </w:p>
        </w:tc>
        <w:tc>
          <w:tcPr>
            <w:tcW w:w="2640" w:type="dxa"/>
            <w:vAlign w:val="bottom"/>
            <w:tcBorders>
              <w:bottom w:val="single" w:sz="8" w:color="0000EE"/>
            </w:tcBorders>
            <w:gridSpan w:val="8"/>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Second Amendment to Certificate of</w:t>
              </w:r>
            </w:hyperlink>
          </w:p>
        </w:tc>
        <w:tc>
          <w:tcPr>
            <w:tcW w:w="980" w:type="dxa"/>
            <w:vAlign w:val="bottom"/>
            <w:gridSpan w:val="16"/>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520" w:type="dxa"/>
            <w:vAlign w:val="bottom"/>
          </w:tcPr>
          <w:p>
            <w:pPr>
              <w:jc w:val="center"/>
              <w:ind w:left="11"/>
              <w:spacing w:after="0"/>
              <w:rPr>
                <w:sz w:val="20"/>
                <w:szCs w:val="20"/>
                <w:color w:val="auto"/>
              </w:rPr>
            </w:pPr>
            <w:r>
              <w:rPr>
                <w:rFonts w:ascii="Arial" w:cs="Arial" w:eastAsia="Arial" w:hAnsi="Arial"/>
                <w:sz w:val="18"/>
                <w:szCs w:val="18"/>
                <w:color w:val="auto"/>
                <w:w w:val="90"/>
              </w:rPr>
              <w:t>October 17, 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20" w:type="dxa"/>
            <w:vAlign w:val="bottom"/>
            <w:gridSpan w:val="24"/>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Incorporation of the Company</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3.4</w:t>
            </w:r>
          </w:p>
        </w:tc>
        <w:tc>
          <w:tcPr>
            <w:tcW w:w="3540" w:type="dxa"/>
            <w:vAlign w:val="bottom"/>
            <w:tcBorders>
              <w:bottom w:val="single" w:sz="8" w:color="0000EE"/>
            </w:tcBorders>
            <w:gridSpan w:val="22"/>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Third Amendment to Certificate of Incorporation</w:t>
              </w:r>
            </w:hyperlink>
          </w:p>
        </w:tc>
        <w:tc>
          <w:tcPr>
            <w:tcW w:w="80" w:type="dxa"/>
            <w:vAlign w:val="bottom"/>
            <w:gridSpan w:val="2"/>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20" w:type="dxa"/>
            <w:vAlign w:val="bottom"/>
          </w:tcPr>
          <w:p>
            <w:pPr>
              <w:jc w:val="center"/>
              <w:ind w:left="11"/>
              <w:spacing w:after="0"/>
              <w:rPr>
                <w:sz w:val="20"/>
                <w:szCs w:val="20"/>
                <w:color w:val="auto"/>
              </w:rPr>
            </w:pPr>
            <w:r>
              <w:rPr>
                <w:rFonts w:ascii="Arial" w:cs="Arial" w:eastAsia="Arial" w:hAnsi="Arial"/>
                <w:sz w:val="18"/>
                <w:szCs w:val="18"/>
                <w:color w:val="auto"/>
                <w:w w:val="89"/>
              </w:rPr>
              <w:t>December 19, 2019</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of the Company</w:t>
              </w:r>
            </w:hyperlink>
          </w:p>
        </w:tc>
        <w:tc>
          <w:tcPr>
            <w:tcW w:w="246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3.5</w:t>
            </w:r>
          </w:p>
        </w:tc>
        <w:tc>
          <w:tcPr>
            <w:tcW w:w="3620" w:type="dxa"/>
            <w:vAlign w:val="bottom"/>
            <w:tcBorders>
              <w:bottom w:val="single" w:sz="8" w:color="0000EE"/>
            </w:tcBorders>
            <w:gridSpan w:val="24"/>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Fourth Amendment to Certificate of Incorporation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520" w:type="dxa"/>
            <w:vAlign w:val="bottom"/>
          </w:tcPr>
          <w:p>
            <w:pPr>
              <w:jc w:val="center"/>
              <w:ind w:left="31"/>
              <w:spacing w:after="0"/>
              <w:rPr>
                <w:sz w:val="20"/>
                <w:szCs w:val="20"/>
                <w:color w:val="auto"/>
              </w:rPr>
            </w:pPr>
            <w:r>
              <w:rPr>
                <w:rFonts w:ascii="Arial" w:cs="Arial" w:eastAsia="Arial" w:hAnsi="Arial"/>
                <w:sz w:val="18"/>
                <w:szCs w:val="18"/>
                <w:color w:val="auto"/>
                <w:w w:val="91"/>
              </w:rPr>
              <w:t>August 15, 2022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of the Company</w:t>
              </w:r>
            </w:hyperlink>
          </w:p>
        </w:tc>
        <w:tc>
          <w:tcPr>
            <w:tcW w:w="246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3.6</w:t>
            </w:r>
          </w:p>
        </w:tc>
        <w:tc>
          <w:tcPr>
            <w:tcW w:w="3620" w:type="dxa"/>
            <w:vAlign w:val="bottom"/>
            <w:gridSpan w:val="24"/>
          </w:tcPr>
          <w:p>
            <w:pPr>
              <w:spacing w:after="0"/>
              <w:rPr>
                <w:sz w:val="20"/>
                <w:szCs w:val="20"/>
                <w:color w:val="auto"/>
              </w:rPr>
            </w:pPr>
            <w:r>
              <w:rPr>
                <w:rFonts w:ascii="Arial" w:cs="Arial" w:eastAsia="Arial" w:hAnsi="Arial"/>
                <w:sz w:val="18"/>
                <w:szCs w:val="18"/>
                <w:color w:val="0000EE"/>
                <w:w w:val="96"/>
              </w:rPr>
              <w:t>Fifth Amendment to Certificate of Incorporation</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of the Company</w:t>
            </w:r>
          </w:p>
        </w:tc>
        <w:tc>
          <w:tcPr>
            <w:tcW w:w="2320" w:type="dxa"/>
            <w:vAlign w:val="bottom"/>
            <w:tcBorders>
              <w:top w:val="single" w:sz="8" w:color="0000EE"/>
            </w:tcBorders>
            <w:gridSpan w:val="18"/>
          </w:tcPr>
          <w:p>
            <w:pPr>
              <w:spacing w:after="0"/>
              <w:rPr>
                <w:sz w:val="17"/>
                <w:szCs w:val="17"/>
                <w:color w:val="auto"/>
              </w:rPr>
            </w:pPr>
          </w:p>
        </w:tc>
        <w:tc>
          <w:tcPr>
            <w:tcW w:w="14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3.7</w:t>
            </w:r>
          </w:p>
        </w:tc>
        <w:tc>
          <w:tcPr>
            <w:tcW w:w="3620" w:type="dxa"/>
            <w:vAlign w:val="bottom"/>
            <w:gridSpan w:val="24"/>
          </w:tcPr>
          <w:p>
            <w:pPr>
              <w:spacing w:after="0"/>
              <w:rPr>
                <w:rFonts w:ascii="Arial" w:cs="Arial" w:eastAsia="Arial" w:hAnsi="Arial"/>
                <w:sz w:val="18"/>
                <w:szCs w:val="18"/>
                <w:color w:val="0000EE"/>
              </w:rPr>
            </w:pPr>
            <w:hyperlink r:id="rId60">
              <w:r>
                <w:rPr>
                  <w:rFonts w:ascii="Arial" w:cs="Arial" w:eastAsia="Arial" w:hAnsi="Arial"/>
                  <w:sz w:val="18"/>
                  <w:szCs w:val="18"/>
                  <w:color w:val="0000EE"/>
                </w:rPr>
                <w:t>Bylaws of the Company</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20" w:type="dxa"/>
            <w:vAlign w:val="bottom"/>
          </w:tcPr>
          <w:p>
            <w:pPr>
              <w:jc w:val="center"/>
              <w:ind w:left="31"/>
              <w:spacing w:after="0"/>
              <w:rPr>
                <w:sz w:val="20"/>
                <w:szCs w:val="20"/>
                <w:color w:val="auto"/>
              </w:rPr>
            </w:pPr>
            <w:r>
              <w:rPr>
                <w:rFonts w:ascii="Arial" w:cs="Arial" w:eastAsia="Arial" w:hAnsi="Arial"/>
                <w:sz w:val="18"/>
                <w:szCs w:val="18"/>
                <w:color w:val="auto"/>
                <w:w w:val="94"/>
              </w:rPr>
              <w:t>April 1, 2016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3180" w:type="dxa"/>
            <w:vAlign w:val="bottom"/>
            <w:tcBorders>
              <w:bottom w:val="single" w:sz="8" w:color="0000EE"/>
            </w:tcBorders>
            <w:gridSpan w:val="12"/>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Form of Restricted Stock Agreement/Notice</w:t>
              </w:r>
            </w:hyperlink>
          </w:p>
        </w:tc>
        <w:tc>
          <w:tcPr>
            <w:tcW w:w="440" w:type="dxa"/>
            <w:vAlign w:val="bottom"/>
            <w:gridSpan w:val="12"/>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91"/>
              </w:rPr>
              <w:t>July 18, 2012</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2060" w:type="dxa"/>
            <w:vAlign w:val="bottom"/>
            <w:tcBorders>
              <w:bottom w:val="single" w:sz="8" w:color="0000EE"/>
            </w:tcBorders>
            <w:gridSpan w:val="5"/>
          </w:tcPr>
          <w:p>
            <w:pPr>
              <w:spacing w:after="0"/>
              <w:rPr>
                <w:rFonts w:ascii="Arial" w:cs="Arial" w:eastAsia="Arial" w:hAnsi="Arial"/>
                <w:sz w:val="18"/>
                <w:szCs w:val="18"/>
                <w:color w:val="0000EE"/>
                <w:w w:val="92"/>
              </w:rPr>
            </w:pPr>
            <w:hyperlink r:id="rId62">
              <w:r>
                <w:rPr>
                  <w:rFonts w:ascii="Arial" w:cs="Arial" w:eastAsia="Arial" w:hAnsi="Arial"/>
                  <w:sz w:val="18"/>
                  <w:szCs w:val="18"/>
                  <w:color w:val="0000EE"/>
                  <w:w w:val="92"/>
                </w:rPr>
                <w:t>Description of Capital Stock</w:t>
              </w:r>
            </w:hyperlink>
          </w:p>
        </w:tc>
        <w:tc>
          <w:tcPr>
            <w:tcW w:w="1560" w:type="dxa"/>
            <w:vAlign w:val="bottom"/>
            <w:gridSpan w:val="19"/>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91"/>
              </w:rPr>
              <w:t>February 27, 2023</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3620" w:type="dxa"/>
            <w:vAlign w:val="bottom"/>
            <w:gridSpan w:val="24"/>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Warrant</w:t>
              </w:r>
            </w:hyperlink>
          </w:p>
        </w:tc>
        <w:tc>
          <w:tcPr>
            <w:tcW w:w="1640" w:type="dxa"/>
            <w:vAlign w:val="bottom"/>
            <w:gridSpan w:val="2"/>
          </w:tcPr>
          <w:p>
            <w:pPr>
              <w:jc w:val="right"/>
              <w:ind w:right="13"/>
              <w:spacing w:after="0"/>
              <w:rPr>
                <w:sz w:val="20"/>
                <w:szCs w:val="20"/>
                <w:color w:val="auto"/>
              </w:rPr>
            </w:pPr>
            <w:r>
              <w:rPr>
                <w:rFonts w:ascii="Arial" w:cs="Arial" w:eastAsia="Arial" w:hAnsi="Arial"/>
                <w:sz w:val="18"/>
                <w:szCs w:val="18"/>
                <w:color w:val="auto"/>
              </w:rPr>
              <w:t>8-K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3380" w:type="dxa"/>
            <w:vAlign w:val="bottom"/>
            <w:tcBorders>
              <w:bottom w:val="single" w:sz="8" w:color="0000EE"/>
            </w:tcBorders>
            <w:gridSpan w:val="18"/>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Form of Stock Option Agreement (Executives)</w:t>
              </w:r>
            </w:hyperlink>
          </w:p>
        </w:tc>
        <w:tc>
          <w:tcPr>
            <w:tcW w:w="240" w:type="dxa"/>
            <w:vAlign w:val="bottom"/>
            <w:gridSpan w:val="6"/>
          </w:tcPr>
          <w:p>
            <w:pPr>
              <w:spacing w:after="0"/>
              <w:rPr>
                <w:sz w:val="21"/>
                <w:szCs w:val="21"/>
                <w:color w:val="auto"/>
              </w:rPr>
            </w:pPr>
          </w:p>
        </w:tc>
        <w:tc>
          <w:tcPr>
            <w:tcW w:w="1640" w:type="dxa"/>
            <w:vAlign w:val="bottom"/>
            <w:gridSpan w:val="2"/>
          </w:tcPr>
          <w:p>
            <w:pPr>
              <w:jc w:val="right"/>
              <w:ind w:right="13"/>
              <w:spacing w:after="0"/>
              <w:rPr>
                <w:sz w:val="20"/>
                <w:szCs w:val="20"/>
                <w:color w:val="auto"/>
              </w:rPr>
            </w:pPr>
            <w:r>
              <w:rPr>
                <w:rFonts w:ascii="Arial" w:cs="Arial" w:eastAsia="Arial" w:hAnsi="Arial"/>
                <w:sz w:val="18"/>
                <w:szCs w:val="18"/>
                <w:color w:val="auto"/>
              </w:rPr>
              <w:t>10-Q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89"/>
              </w:rPr>
              <w:t>August 10, 2020</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3620" w:type="dxa"/>
            <w:vAlign w:val="bottom"/>
            <w:gridSpan w:val="24"/>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Stock Option Agreement (Standard)</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89"/>
              </w:rPr>
              <w:t>August 10, 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3480" w:type="dxa"/>
            <w:vAlign w:val="bottom"/>
            <w:tcBorders>
              <w:bottom w:val="single" w:sz="8" w:color="0000EE"/>
            </w:tcBorders>
            <w:gridSpan w:val="20"/>
          </w:tcPr>
          <w:p>
            <w:pPr>
              <w:spacing w:after="0"/>
              <w:rPr>
                <w:rFonts w:ascii="Arial" w:cs="Arial" w:eastAsia="Arial" w:hAnsi="Arial"/>
                <w:sz w:val="18"/>
                <w:szCs w:val="18"/>
                <w:color w:val="0000EE"/>
                <w:w w:val="88"/>
              </w:rPr>
            </w:pPr>
            <w:hyperlink r:id="rId66">
              <w:r>
                <w:rPr>
                  <w:rFonts w:ascii="Arial" w:cs="Arial" w:eastAsia="Arial" w:hAnsi="Arial"/>
                  <w:sz w:val="18"/>
                  <w:szCs w:val="18"/>
                  <w:color w:val="0000EE"/>
                  <w:w w:val="88"/>
                </w:rPr>
                <w:t>Indenture, dated as of August 24, 2021, between</w:t>
              </w:r>
            </w:hyperlink>
          </w:p>
        </w:tc>
        <w:tc>
          <w:tcPr>
            <w:tcW w:w="140" w:type="dxa"/>
            <w:vAlign w:val="bottom"/>
            <w:gridSpan w:val="4"/>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89"/>
              </w:rPr>
              <w:t>August 26, 2021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20" w:type="dxa"/>
            <w:vAlign w:val="bottom"/>
            <w:gridSpan w:val="24"/>
          </w:tcPr>
          <w:p>
            <w:pPr>
              <w:spacing w:after="0" w:line="196"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Protalix BioTherapeutics, Inc., the guarantors</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8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party thereto, The Bank of New York Mellon</w:t>
              </w:r>
            </w:hyperlink>
          </w:p>
        </w:tc>
        <w:tc>
          <w:tcPr>
            <w:tcW w:w="34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Trust Company, N.A., as trustee and Wilmington</w:t>
              </w:r>
            </w:hyperlink>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Savings Fund Society, FSB, as collateral agent</w:t>
              </w:r>
            </w:hyperlink>
          </w:p>
        </w:tc>
        <w:tc>
          <w:tcPr>
            <w:tcW w:w="2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Form of Exchange Note (2024)</w:t>
              </w:r>
            </w:hyperlink>
          </w:p>
        </w:tc>
        <w:tc>
          <w:tcPr>
            <w:tcW w:w="1360" w:type="dxa"/>
            <w:vAlign w:val="bottom"/>
            <w:gridSpan w:val="17"/>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2"/>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520" w:type="dxa"/>
            <w:vAlign w:val="bottom"/>
          </w:tcPr>
          <w:p>
            <w:pPr>
              <w:jc w:val="center"/>
              <w:ind w:left="51"/>
              <w:spacing w:after="0"/>
              <w:rPr>
                <w:sz w:val="20"/>
                <w:szCs w:val="20"/>
                <w:color w:val="auto"/>
              </w:rPr>
            </w:pPr>
            <w:r>
              <w:rPr>
                <w:rFonts w:ascii="Arial" w:cs="Arial" w:eastAsia="Arial" w:hAnsi="Arial"/>
                <w:sz w:val="18"/>
                <w:szCs w:val="18"/>
                <w:color w:val="auto"/>
                <w:w w:val="89"/>
              </w:rPr>
              <w:t>August 26, 2021</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3620" w:type="dxa"/>
            <w:vAlign w:val="bottom"/>
            <w:gridSpan w:val="24"/>
          </w:tcPr>
          <w:p>
            <w:pPr>
              <w:spacing w:after="0"/>
              <w:rPr>
                <w:sz w:val="20"/>
                <w:szCs w:val="20"/>
                <w:color w:val="auto"/>
              </w:rPr>
            </w:pPr>
            <w:r>
              <w:rPr>
                <w:rFonts w:ascii="Arial" w:cs="Arial" w:eastAsia="Arial" w:hAnsi="Arial"/>
                <w:sz w:val="18"/>
                <w:szCs w:val="18"/>
                <w:color w:val="0000EE"/>
                <w:w w:val="90"/>
              </w:rPr>
              <w:t>Amended and Restated Pro BioTherapeutics, Inc.</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2006 Stock Incentive Plan, as amended</w:t>
            </w:r>
          </w:p>
        </w:tc>
        <w:tc>
          <w:tcPr>
            <w:tcW w:w="720" w:type="dxa"/>
            <w:vAlign w:val="bottom"/>
            <w:tcBorders>
              <w:top w:val="single" w:sz="8" w:color="0000EE"/>
            </w:tcBorders>
            <w:gridSpan w:val="13"/>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35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3"/>
              </w:rPr>
              <w:t>Certification of Chief Executive Officer pursuant</w:t>
            </w:r>
          </w:p>
        </w:tc>
        <w:tc>
          <w:tcPr>
            <w:tcW w:w="8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8"/>
              </w:rPr>
              <w:t>to Rule 13a-14(a) as adopted pursuant to Section</w:t>
            </w:r>
          </w:p>
        </w:tc>
        <w:tc>
          <w:tcPr>
            <w:tcW w:w="1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80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3620" w:type="dxa"/>
            <w:vAlign w:val="bottom"/>
            <w:gridSpan w:val="24"/>
          </w:tcPr>
          <w:p>
            <w:pPr>
              <w:spacing w:after="0"/>
              <w:rPr>
                <w:sz w:val="20"/>
                <w:szCs w:val="20"/>
                <w:color w:val="auto"/>
              </w:rPr>
            </w:pPr>
            <w:r>
              <w:rPr>
                <w:rFonts w:ascii="Arial" w:cs="Arial" w:eastAsia="Arial" w:hAnsi="Arial"/>
                <w:sz w:val="18"/>
                <w:szCs w:val="18"/>
                <w:color w:val="0000EE"/>
                <w:w w:val="96"/>
              </w:rPr>
              <w:t>Certification of Chief Financial Officer pursuant</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8"/>
              </w:rPr>
              <w:t>to Rule 13a-14(a) as adopted pursuant to Section</w:t>
            </w:r>
          </w:p>
        </w:tc>
        <w:tc>
          <w:tcPr>
            <w:tcW w:w="1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80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3620" w:type="dxa"/>
            <w:vAlign w:val="bottom"/>
            <w:gridSpan w:val="24"/>
          </w:tcPr>
          <w:p>
            <w:pPr>
              <w:spacing w:after="0"/>
              <w:rPr>
                <w:sz w:val="20"/>
                <w:szCs w:val="20"/>
                <w:color w:val="auto"/>
              </w:rPr>
            </w:pPr>
            <w:r>
              <w:rPr>
                <w:rFonts w:ascii="Arial" w:cs="Arial" w:eastAsia="Arial" w:hAnsi="Arial"/>
                <w:sz w:val="18"/>
                <w:szCs w:val="18"/>
                <w:color w:val="0000EE"/>
                <w:w w:val="94"/>
              </w:rPr>
              <w:t>18 U.S.C. Section 1350, as adopted pursuant to</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620" w:type="dxa"/>
            <w:vAlign w:val="bottom"/>
            <w:gridSpan w:val="24"/>
          </w:tcPr>
          <w:p>
            <w:pPr>
              <w:spacing w:after="0" w:line="196" w:lineRule="exact"/>
              <w:rPr>
                <w:sz w:val="20"/>
                <w:szCs w:val="20"/>
                <w:color w:val="auto"/>
              </w:rPr>
            </w:pPr>
            <w:r>
              <w:rPr>
                <w:rFonts w:ascii="Arial" w:cs="Arial" w:eastAsia="Arial" w:hAnsi="Arial"/>
                <w:sz w:val="18"/>
                <w:szCs w:val="18"/>
                <w:color w:val="0000EE"/>
                <w:w w:val="94"/>
              </w:rPr>
              <w:t>Section 906 of the Sarbanes-Oxley Act of 2002,</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Certification of Chief Executive Officer</w:t>
            </w:r>
          </w:p>
        </w:tc>
        <w:tc>
          <w:tcPr>
            <w:tcW w:w="600" w:type="dxa"/>
            <w:vAlign w:val="bottom"/>
            <w:tcBorders>
              <w:top w:val="single" w:sz="8" w:color="0000EE"/>
            </w:tcBorders>
            <w:gridSpan w:val="9"/>
          </w:tcPr>
          <w:p>
            <w:pPr>
              <w:spacing w:after="0"/>
              <w:rPr>
                <w:sz w:val="17"/>
                <w:szCs w:val="17"/>
                <w:color w:val="auto"/>
              </w:rPr>
            </w:pPr>
          </w:p>
        </w:tc>
        <w:tc>
          <w:tcPr>
            <w:tcW w:w="14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3620" w:type="dxa"/>
            <w:vAlign w:val="bottom"/>
            <w:gridSpan w:val="24"/>
          </w:tcPr>
          <w:p>
            <w:pPr>
              <w:spacing w:after="0"/>
              <w:rPr>
                <w:sz w:val="20"/>
                <w:szCs w:val="20"/>
                <w:color w:val="auto"/>
              </w:rPr>
            </w:pPr>
            <w:r>
              <w:rPr>
                <w:rFonts w:ascii="Arial" w:cs="Arial" w:eastAsia="Arial" w:hAnsi="Arial"/>
                <w:sz w:val="18"/>
                <w:szCs w:val="18"/>
                <w:color w:val="0000EE"/>
                <w:w w:val="94"/>
              </w:rPr>
              <w:t>18 U.S.C. Section 1350, as adopted pursuant to</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580" w:type="dxa"/>
            <w:vAlign w:val="bottom"/>
            <w:gridSpan w:val="10"/>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620" w:type="dxa"/>
            <w:vAlign w:val="bottom"/>
            <w:gridSpan w:val="24"/>
          </w:tcPr>
          <w:p>
            <w:pPr>
              <w:spacing w:after="0" w:line="196" w:lineRule="exact"/>
              <w:rPr>
                <w:sz w:val="20"/>
                <w:szCs w:val="20"/>
                <w:color w:val="auto"/>
              </w:rPr>
            </w:pPr>
            <w:r>
              <w:rPr>
                <w:rFonts w:ascii="Arial" w:cs="Arial" w:eastAsia="Arial" w:hAnsi="Arial"/>
                <w:sz w:val="18"/>
                <w:szCs w:val="18"/>
                <w:color w:val="0000EE"/>
                <w:w w:val="94"/>
              </w:rPr>
              <w:t>Section 906 of the Sarbanes-Oxley Act of 2002,</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Certification of Chief Financial Officer</w:t>
            </w:r>
          </w:p>
        </w:tc>
        <w:tc>
          <w:tcPr>
            <w:tcW w:w="14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620" w:type="dxa"/>
            <w:vAlign w:val="bottom"/>
            <w:gridSpan w:val="24"/>
          </w:tcPr>
          <w:p>
            <w:pPr>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20" w:type="dxa"/>
            <w:vAlign w:val="bottom"/>
            <w:gridSpan w:val="24"/>
          </w:tcPr>
          <w:p>
            <w:pPr>
              <w:spacing w:after="0"/>
              <w:rPr>
                <w:sz w:val="20"/>
                <w:szCs w:val="20"/>
                <w:color w:val="auto"/>
              </w:rPr>
            </w:pPr>
            <w:r>
              <w:rPr>
                <w:rFonts w:ascii="Arial" w:cs="Arial" w:eastAsia="Arial" w:hAnsi="Arial"/>
                <w:sz w:val="18"/>
                <w:szCs w:val="18"/>
                <w:color w:val="333333"/>
                <w:w w:val="91"/>
              </w:rPr>
              <w:t>document does not appear in the Interactive Data</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20" w:type="dxa"/>
            <w:vAlign w:val="bottom"/>
            <w:gridSpan w:val="24"/>
          </w:tcPr>
          <w:p>
            <w:pPr>
              <w:spacing w:after="0"/>
              <w:rPr>
                <w:sz w:val="20"/>
                <w:szCs w:val="20"/>
                <w:color w:val="auto"/>
              </w:rPr>
            </w:pPr>
            <w:r>
              <w:rPr>
                <w:rFonts w:ascii="Arial" w:cs="Arial" w:eastAsia="Arial" w:hAnsi="Arial"/>
                <w:sz w:val="18"/>
                <w:szCs w:val="18"/>
                <w:color w:val="333333"/>
                <w:w w:val="92"/>
              </w:rPr>
              <w:t>File because its XBRL tags are embedded within</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620" w:type="dxa"/>
            <w:vAlign w:val="bottom"/>
            <w:gridSpan w:val="24"/>
          </w:tcPr>
          <w:p>
            <w:pPr>
              <w:spacing w:after="0"/>
              <w:rPr>
                <w:sz w:val="20"/>
                <w:szCs w:val="20"/>
                <w:color w:val="auto"/>
              </w:rPr>
            </w:pPr>
            <w:r>
              <w:rPr>
                <w:rFonts w:ascii="Arial" w:cs="Arial" w:eastAsia="Arial" w:hAnsi="Arial"/>
                <w:sz w:val="18"/>
                <w:szCs w:val="18"/>
                <w:color w:val="333333"/>
              </w:rPr>
              <w:t>the Inline XBRL document</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3"/>
              </w:rPr>
              <w:t>101.SCH</w:t>
            </w:r>
          </w:p>
        </w:tc>
        <w:tc>
          <w:tcPr>
            <w:tcW w:w="362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62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jc w:val="center"/>
              <w:ind w:right="91"/>
              <w:spacing w:after="0"/>
              <w:rPr>
                <w:sz w:val="20"/>
                <w:szCs w:val="20"/>
                <w:color w:val="auto"/>
              </w:rPr>
            </w:pPr>
            <w:r>
              <w:rPr>
                <w:rFonts w:ascii="Arial" w:cs="Arial" w:eastAsia="Arial" w:hAnsi="Arial"/>
                <w:sz w:val="18"/>
                <w:szCs w:val="18"/>
                <w:color w:val="auto"/>
                <w:w w:val="97"/>
              </w:rPr>
              <w:t>101.CAL</w:t>
            </w:r>
          </w:p>
        </w:tc>
        <w:tc>
          <w:tcPr>
            <w:tcW w:w="3620" w:type="dxa"/>
            <w:vAlign w:val="bottom"/>
            <w:gridSpan w:val="24"/>
          </w:tcPr>
          <w:p>
            <w:pPr>
              <w:spacing w:after="0"/>
              <w:rPr>
                <w:sz w:val="20"/>
                <w:szCs w:val="20"/>
                <w:color w:val="auto"/>
              </w:rPr>
            </w:pPr>
            <w:r>
              <w:rPr>
                <w:rFonts w:ascii="Arial" w:cs="Arial" w:eastAsia="Arial" w:hAnsi="Arial"/>
                <w:sz w:val="18"/>
                <w:szCs w:val="18"/>
                <w:color w:val="auto"/>
                <w:w w:val="99"/>
              </w:rPr>
              <w:t>Inline XBRL Taxonomy Extension Calculation</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6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jc w:val="center"/>
              <w:ind w:right="111"/>
              <w:spacing w:after="0"/>
              <w:rPr>
                <w:sz w:val="20"/>
                <w:szCs w:val="20"/>
                <w:color w:val="auto"/>
              </w:rPr>
            </w:pPr>
            <w:r>
              <w:rPr>
                <w:rFonts w:ascii="Arial" w:cs="Arial" w:eastAsia="Arial" w:hAnsi="Arial"/>
                <w:sz w:val="18"/>
                <w:szCs w:val="18"/>
                <w:color w:val="auto"/>
                <w:w w:val="92"/>
              </w:rPr>
              <w:t>101.DEF</w:t>
            </w:r>
          </w:p>
        </w:tc>
        <w:tc>
          <w:tcPr>
            <w:tcW w:w="362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6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97" w:lineRule="auto"/>
        <w:rPr>
          <w:sz w:val="20"/>
          <w:szCs w:val="20"/>
          <w:color w:val="auto"/>
        </w:rPr>
      </w:pPr>
      <w:r>
        <w:rPr>
          <w:rFonts w:ascii="Arial" w:cs="Arial" w:eastAsia="Arial" w:hAnsi="Arial"/>
          <w:sz w:val="13"/>
          <w:szCs w:val="13"/>
          <w:b w:val="1"/>
          <w:bCs w:val="1"/>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ectPr>
          <w:pgSz w:w="11900" w:h="16838" w:orient="portrait"/>
          <w:cols w:equalWidth="0" w:num="2">
            <w:col w:w="8520" w:space="160"/>
            <w:col w:w="1160"/>
          </w:cols>
          <w:pgMar w:left="980" w:top="665" w:right="1079" w:bottom="1440" w:gutter="0" w:footer="0" w:header="0"/>
        </w:sectPr>
      </w:pPr>
    </w:p>
    <w:p>
      <w:pPr>
        <w:jc w:val="center"/>
        <w:ind w:right="-9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7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56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762"/>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Labels</w:t>
            </w:r>
          </w:p>
        </w:tc>
        <w:tc>
          <w:tcPr>
            <w:tcW w:w="2560" w:type="dxa"/>
            <w:vAlign w:val="bottom"/>
          </w:tcPr>
          <w:p>
            <w:pPr>
              <w:ind w:left="244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6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Presentation</w:t>
            </w:r>
          </w:p>
        </w:tc>
        <w:tc>
          <w:tcPr>
            <w:tcW w:w="2560" w:type="dxa"/>
            <w:vAlign w:val="bottom"/>
          </w:tcPr>
          <w:p>
            <w:pPr>
              <w:ind w:left="244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60" w:type="dxa"/>
            <w:vAlign w:val="bottom"/>
          </w:tcPr>
          <w:p>
            <w:pPr>
              <w:spacing w:after="0"/>
              <w:rPr>
                <w:sz w:val="20"/>
                <w:szCs w:val="20"/>
                <w:color w:val="auto"/>
              </w:rPr>
            </w:pPr>
          </w:p>
        </w:tc>
      </w:tr>
    </w:tbl>
    <w:p>
      <w:pPr>
        <w:spacing w:after="0" w:line="80" w:lineRule="exact"/>
        <w:rPr>
          <w:sz w:val="20"/>
          <w:szCs w:val="20"/>
          <w:color w:val="auto"/>
        </w:rPr>
      </w:pPr>
    </w:p>
    <w:p>
      <w:pPr>
        <w:ind w:left="860" w:right="5460" w:hanging="853"/>
        <w:spacing w:after="0" w:line="263"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329"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PROTALIX BIOTHERAPEUTICS, INC.</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6"/>
          <w:szCs w:val="16"/>
          <w:color w:val="auto"/>
        </w:rPr>
        <w:t>By: /s/ Dror Bashan</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-130175</wp:posOffset>
            </wp:positionV>
            <wp:extent cx="2992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7"/>
          <w:szCs w:val="17"/>
          <w:color w:val="auto"/>
        </w:rPr>
        <w:t>By: /s/ Eyal Rubin</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-130175</wp:posOffset>
            </wp:positionV>
            <wp:extent cx="29921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 Treasurer and</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38" w:name="page39"/>
    <w:bookmarkEnd w:id="38"/>
    <w:p>
      <w:pPr>
        <w:jc w:val="right"/>
        <w:ind w:right="219"/>
        <w:spacing w:after="0"/>
        <w:rPr>
          <w:sz w:val="20"/>
          <w:szCs w:val="20"/>
          <w:color w:val="auto"/>
        </w:rPr>
      </w:pPr>
      <w:r>
        <w:rPr>
          <w:rFonts w:ascii="Arial" w:cs="Arial" w:eastAsia="Arial" w:hAnsi="Arial"/>
          <w:sz w:val="22"/>
          <w:szCs w:val="22"/>
          <w:b w:val="1"/>
          <w:bCs w:val="1"/>
          <w:color w:val="auto"/>
        </w:rPr>
        <w:t>Exhibit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FIFTH CERTIFICATE OF AMENDMENT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OF INCORPORATION OF</w:t>
      </w:r>
    </w:p>
    <w:p>
      <w:pPr>
        <w:jc w:val="center"/>
        <w:ind w:right="19"/>
        <w:spacing w:after="0"/>
        <w:rPr>
          <w:sz w:val="20"/>
          <w:szCs w:val="20"/>
          <w:color w:val="auto"/>
        </w:rPr>
      </w:pPr>
      <w:r>
        <w:rPr>
          <w:rFonts w:ascii="Arial" w:cs="Arial" w:eastAsia="Arial" w:hAnsi="Arial"/>
          <w:sz w:val="22"/>
          <w:szCs w:val="22"/>
          <w:b w:val="1"/>
          <w:bCs w:val="1"/>
          <w:color w:val="auto"/>
        </w:rPr>
        <w:t>PROTALIX BIOTHERAPEUTICS,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(Pursuant to Section 242 of the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General Corporation Law of the State of Delaware)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Protalix BioTherapeutics, Inc., a corporation organized and existing under the laws of the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State of Delaware, hereby certifies as follows:</w:t>
      </w:r>
    </w:p>
    <w:p>
      <w:pPr>
        <w:spacing w:after="0" w:line="215" w:lineRule="exact"/>
        <w:rPr>
          <w:sz w:val="20"/>
          <w:szCs w:val="20"/>
          <w:color w:val="auto"/>
        </w:rPr>
      </w:pPr>
    </w:p>
    <w:p>
      <w:pPr>
        <w:ind w:left="200" w:right="239" w:firstLine="657"/>
        <w:spacing w:after="0" w:line="248" w:lineRule="auto"/>
        <w:tabs>
          <w:tab w:leader="none" w:pos="1658"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name of the corporation is Protalix BioTherapeutics, Inc. (the “Corporation”). The Certificate of Incorporation of the Corporation was filed with the Secretary of the State of Delaware on March 30, 2016, as amended by that Certificate of Amendment dated August 16, 2016, that Second Certificate of Amendment dated January 15, 2019, that Third Certificate of Amendment dated December 16, 2019 and that Fourth Certificate of Amendment dated August 2, 2022 (the “Certificate of Incorporation”).</w:t>
      </w:r>
    </w:p>
    <w:p>
      <w:pPr>
        <w:spacing w:after="0" w:line="203" w:lineRule="exact"/>
        <w:rPr>
          <w:rFonts w:ascii="Arial" w:cs="Arial" w:eastAsia="Arial" w:hAnsi="Arial"/>
          <w:sz w:val="21"/>
          <w:szCs w:val="21"/>
          <w:color w:val="auto"/>
        </w:rPr>
      </w:pPr>
    </w:p>
    <w:p>
      <w:pPr>
        <w:ind w:left="200" w:right="279" w:firstLine="657"/>
        <w:spacing w:after="0" w:line="238" w:lineRule="auto"/>
        <w:tabs>
          <w:tab w:leader="none" w:pos="1658"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This Certificate of Amendment to Certificate of Incorporation of the Corporation was duly adopted by the Board of Directors of the Corporation pursuant to a resolution setting forth the proposed amendment of the Certificate of Incorporation and declaring said amendment to be advisable.</w:t>
      </w:r>
    </w:p>
    <w:p>
      <w:pPr>
        <w:spacing w:after="0" w:line="211" w:lineRule="exact"/>
        <w:rPr>
          <w:rFonts w:ascii="Arial" w:cs="Arial" w:eastAsia="Arial" w:hAnsi="Arial"/>
          <w:sz w:val="22"/>
          <w:szCs w:val="22"/>
          <w:color w:val="auto"/>
        </w:rPr>
      </w:pPr>
    </w:p>
    <w:p>
      <w:pPr>
        <w:ind w:left="200" w:right="219" w:firstLine="657"/>
        <w:spacing w:after="0" w:line="250" w:lineRule="auto"/>
        <w:tabs>
          <w:tab w:leader="none" w:pos="1692" w:val="left"/>
        </w:tabs>
        <w:numPr>
          <w:ilvl w:val="0"/>
          <w:numId w:val="24"/>
        </w:numPr>
        <w:rPr>
          <w:rFonts w:ascii="Arial" w:cs="Arial" w:eastAsia="Arial" w:hAnsi="Arial"/>
          <w:sz w:val="22"/>
          <w:szCs w:val="22"/>
          <w:color w:val="auto"/>
        </w:rPr>
      </w:pPr>
      <w:r>
        <w:rPr>
          <w:rFonts w:ascii="Arial" w:cs="Arial" w:eastAsia="Arial" w:hAnsi="Arial"/>
          <w:sz w:val="22"/>
          <w:szCs w:val="22"/>
          <w:color w:val="auto"/>
        </w:rPr>
        <w:t>Article III of the Certificate of Incorporation, as amended, is hereby amended and restated in its entirety as follows:</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“The Corporation is authorized to issue the following shares of capital stock:</w:t>
      </w:r>
    </w:p>
    <w:p>
      <w:pPr>
        <w:spacing w:after="0" w:line="20" w:lineRule="exact"/>
        <w:rPr>
          <w:sz w:val="20"/>
          <w:szCs w:val="20"/>
          <w:color w:val="auto"/>
        </w:rPr>
      </w:pPr>
    </w:p>
    <w:p>
      <w:pPr>
        <w:ind w:left="1500" w:right="359" w:firstLine="5"/>
        <w:spacing w:after="0" w:line="233" w:lineRule="auto"/>
        <w:tabs>
          <w:tab w:leader="none" w:pos="1794" w:val="left"/>
        </w:tabs>
        <w:numPr>
          <w:ilvl w:val="0"/>
          <w:numId w:val="25"/>
        </w:numPr>
        <w:rPr>
          <w:rFonts w:ascii="Arial" w:cs="Arial" w:eastAsia="Arial" w:hAnsi="Arial"/>
          <w:sz w:val="22"/>
          <w:szCs w:val="22"/>
          <w:color w:val="auto"/>
        </w:rPr>
      </w:pPr>
      <w:r>
        <w:rPr>
          <w:rFonts w:ascii="Arial" w:cs="Arial" w:eastAsia="Arial" w:hAnsi="Arial"/>
          <w:sz w:val="22"/>
          <w:szCs w:val="22"/>
          <w:color w:val="auto"/>
        </w:rPr>
        <w:t>185,000,000 shares of common stock, par value $.001 per share (the “Common Stock”); and (b) 100,000,000 shares of preferred stock, par value $.0001 per share (the “Preferred Stock”). The voting rights, the rights of redemption and other relative rights and preferences of the Preferred Stock shall be established by the Board of Directors.</w:t>
      </w:r>
    </w:p>
    <w:p>
      <w:pPr>
        <w:spacing w:after="0" w:line="212" w:lineRule="exact"/>
        <w:rPr>
          <w:sz w:val="20"/>
          <w:szCs w:val="20"/>
          <w:color w:val="auto"/>
        </w:rPr>
      </w:pPr>
    </w:p>
    <w:p>
      <w:pPr>
        <w:ind w:left="1500" w:right="239"/>
        <w:spacing w:after="0" w:line="282" w:lineRule="auto"/>
        <w:rPr>
          <w:sz w:val="20"/>
          <w:szCs w:val="20"/>
          <w:color w:val="auto"/>
        </w:rPr>
      </w:pPr>
      <w:r>
        <w:rPr>
          <w:rFonts w:ascii="Arial" w:cs="Arial" w:eastAsia="Arial" w:hAnsi="Arial"/>
          <w:sz w:val="19"/>
          <w:szCs w:val="19"/>
          <w:color w:val="auto"/>
        </w:rPr>
        <w:t>The Board of Directors may authorize the issuance of such stock to such persons upon such terms and for such consideration in cash, property or services as the Board of Directors may determine and as may be allowed by law. The just valuation of such property or services shall be fixed by the Board of Directors. All such stock when issued shall be fully paid and exempt from assessment.”</w:t>
      </w:r>
    </w:p>
    <w:p>
      <w:pPr>
        <w:spacing w:after="0" w:line="174" w:lineRule="exact"/>
        <w:rPr>
          <w:sz w:val="20"/>
          <w:szCs w:val="20"/>
          <w:color w:val="auto"/>
        </w:rPr>
      </w:pPr>
    </w:p>
    <w:p>
      <w:pPr>
        <w:ind w:left="200" w:right="359" w:firstLine="657"/>
        <w:spacing w:after="0" w:line="250" w:lineRule="auto"/>
        <w:tabs>
          <w:tab w:leader="none" w:pos="16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aforesaid amendment was duly adopted in accordance with the provisions of Section 242 of the General Corporation Law of the State of Delaware.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658495</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39" w:name="page40"/>
    <w:bookmarkEnd w:id="39"/>
    <w:p>
      <w:pPr>
        <w:ind w:left="200" w:right="739"/>
        <w:spacing w:after="0"/>
        <w:rPr>
          <w:sz w:val="20"/>
          <w:szCs w:val="20"/>
          <w:color w:val="auto"/>
        </w:rPr>
      </w:pPr>
      <w:r>
        <w:rPr>
          <w:rFonts w:ascii="Arial" w:cs="Arial" w:eastAsia="Arial" w:hAnsi="Arial"/>
          <w:sz w:val="22"/>
          <w:szCs w:val="22"/>
          <w:color w:val="auto"/>
        </w:rPr>
        <w:t>IN WITNESS WHEREOF, the Corporation has caused this Certificate of Amendment to Certificate of Incorporation to be signed by its duly authorized President and Chief Executive Officer this 25th day of July, 2023.</w:t>
      </w:r>
    </w:p>
    <w:p>
      <w:pPr>
        <w:spacing w:after="0" w:line="213"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PROTALIX BIOTHERAPEUTICS, INC.</w:t>
      </w: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By: /s/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6985</wp:posOffset>
            </wp:positionV>
            <wp:extent cx="25457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2"/>
          <w:szCs w:val="22"/>
          <w:color w:val="auto"/>
        </w:rPr>
        <w:t>Dror Bashan</w:t>
      </w:r>
    </w:p>
    <w:p>
      <w:pPr>
        <w:ind w:left="4800"/>
        <w:spacing w:after="0"/>
        <w:rPr>
          <w:sz w:val="20"/>
          <w:szCs w:val="20"/>
          <w:color w:val="auto"/>
        </w:rPr>
      </w:pPr>
      <w:r>
        <w:rPr>
          <w:rFonts w:ascii="Arial" w:cs="Arial" w:eastAsia="Arial" w:hAnsi="Arial"/>
          <w:sz w:val="19"/>
          <w:szCs w:val="19"/>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669290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0" w:name="page41"/>
    <w:bookmarkEnd w:id="40"/>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ind w:right="219"/>
        <w:spacing w:after="0" w:line="275" w:lineRule="auto"/>
        <w:rPr>
          <w:sz w:val="20"/>
          <w:szCs w:val="20"/>
          <w:color w:val="auto"/>
        </w:rPr>
      </w:pPr>
      <w:r>
        <w:rPr>
          <w:rFonts w:ascii="Arial" w:cs="Arial" w:eastAsia="Arial" w:hAnsi="Arial"/>
          <w:sz w:val="18"/>
          <w:szCs w:val="18"/>
          <w:b w:val="1"/>
          <w:bCs w:val="1"/>
          <w:color w:val="auto"/>
        </w:rPr>
        <w:t>PROTALIX BIOTHERAPEUTICS, INC. AMENDED AND RESTATED 2006 STOCK INCENTIVE PLAN, AS AMENDED (June 28, 2023)</w:t>
      </w:r>
    </w:p>
    <w:p>
      <w:pPr>
        <w:spacing w:after="0" w:line="353" w:lineRule="exact"/>
        <w:rPr>
          <w:sz w:val="20"/>
          <w:szCs w:val="20"/>
          <w:color w:val="auto"/>
        </w:rPr>
      </w:pPr>
    </w:p>
    <w:p>
      <w:pPr>
        <w:ind w:right="439" w:firstLine="647"/>
        <w:spacing w:after="0" w:line="263"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56" w:lineRule="exact"/>
        <w:rPr>
          <w:rFonts w:ascii="Arial" w:cs="Arial" w:eastAsia="Arial" w:hAnsi="Arial"/>
          <w:sz w:val="18"/>
          <w:szCs w:val="18"/>
          <w:color w:val="auto"/>
        </w:rPr>
      </w:pPr>
    </w:p>
    <w:p>
      <w:pPr>
        <w:ind w:right="219" w:firstLine="647"/>
        <w:spacing w:after="0" w:line="286" w:lineRule="auto"/>
        <w:tabs>
          <w:tab w:leader="none" w:pos="129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supercede the definition contained in this Section 2.</w:t>
      </w:r>
    </w:p>
    <w:p>
      <w:pPr>
        <w:spacing w:after="0" w:line="124" w:lineRule="exact"/>
        <w:rPr>
          <w:rFonts w:ascii="Arial" w:cs="Arial" w:eastAsia="Arial" w:hAnsi="Arial"/>
          <w:sz w:val="17"/>
          <w:szCs w:val="17"/>
          <w:color w:val="auto"/>
        </w:rPr>
      </w:pPr>
    </w:p>
    <w:p>
      <w:pPr>
        <w:ind w:left="1940" w:hanging="645"/>
        <w:spacing w:after="0"/>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3(I) Option</w:t>
      </w:r>
      <w:r>
        <w:rPr>
          <w:rFonts w:ascii="Arial" w:cs="Arial" w:eastAsia="Arial" w:hAnsi="Arial"/>
          <w:sz w:val="18"/>
          <w:szCs w:val="18"/>
          <w:color w:val="auto"/>
        </w:rPr>
        <w:t>” means Award granted under Section 3(I).</w:t>
      </w:r>
    </w:p>
    <w:p>
      <w:pPr>
        <w:spacing w:after="0" w:line="184" w:lineRule="exact"/>
        <w:rPr>
          <w:rFonts w:ascii="Arial" w:cs="Arial" w:eastAsia="Arial" w:hAnsi="Arial"/>
          <w:sz w:val="18"/>
          <w:szCs w:val="18"/>
          <w:color w:val="auto"/>
        </w:rPr>
      </w:pPr>
    </w:p>
    <w:p>
      <w:pPr>
        <w:ind w:left="1940" w:hanging="645"/>
        <w:spacing w:after="0"/>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102 Option</w:t>
      </w:r>
      <w:r>
        <w:rPr>
          <w:rFonts w:ascii="Arial" w:cs="Arial" w:eastAsia="Arial" w:hAnsi="Arial"/>
          <w:sz w:val="18"/>
          <w:szCs w:val="18"/>
          <w:color w:val="auto"/>
        </w:rPr>
        <w:t>” means Award granted under Section 102.</w:t>
      </w:r>
    </w:p>
    <w:p>
      <w:pPr>
        <w:spacing w:after="0" w:line="198" w:lineRule="exact"/>
        <w:rPr>
          <w:rFonts w:ascii="Arial" w:cs="Arial" w:eastAsia="Arial" w:hAnsi="Arial"/>
          <w:sz w:val="18"/>
          <w:szCs w:val="18"/>
          <w:color w:val="auto"/>
        </w:rPr>
      </w:pPr>
    </w:p>
    <w:p>
      <w:pPr>
        <w:ind w:left="1940" w:hanging="645"/>
        <w:spacing w:after="0"/>
        <w:tabs>
          <w:tab w:leader="none" w:pos="1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the Committees appointed to administer the Plan.</w:t>
      </w:r>
    </w:p>
    <w:p>
      <w:pPr>
        <w:spacing w:after="0" w:line="196" w:lineRule="exact"/>
        <w:rPr>
          <w:rFonts w:ascii="Arial" w:cs="Arial" w:eastAsia="Arial" w:hAnsi="Arial"/>
          <w:sz w:val="17"/>
          <w:szCs w:val="17"/>
          <w:color w:val="auto"/>
        </w:rPr>
      </w:pPr>
    </w:p>
    <w:p>
      <w:pPr>
        <w:ind w:left="1940" w:hanging="645"/>
        <w:spacing w:after="0"/>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t>
      </w:r>
      <w:r>
        <w:rPr>
          <w:rFonts w:ascii="Arial" w:cs="Arial" w:eastAsia="Arial" w:hAnsi="Arial"/>
          <w:sz w:val="18"/>
          <w:szCs w:val="18"/>
          <w:u w:val="single" w:color="auto"/>
          <w:color w:val="auto"/>
        </w:rPr>
        <w:t>Associate</w:t>
      </w:r>
      <w:r>
        <w:rPr>
          <w:rFonts w:ascii="Arial" w:cs="Arial" w:eastAsia="Arial" w:hAnsi="Arial"/>
          <w:sz w:val="18"/>
          <w:szCs w:val="18"/>
          <w:color w:val="auto"/>
        </w:rPr>
        <w:t>” shall have the respective meanings ascribed to such terms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Rule 12b-2 promulgated under the Exchange Act.</w:t>
      </w:r>
    </w:p>
    <w:p>
      <w:pPr>
        <w:spacing w:after="0" w:line="170" w:lineRule="exact"/>
        <w:rPr>
          <w:sz w:val="20"/>
          <w:szCs w:val="20"/>
          <w:color w:val="auto"/>
        </w:rPr>
      </w:pPr>
    </w:p>
    <w:p>
      <w:pPr>
        <w:ind w:right="499" w:firstLine="1295"/>
        <w:spacing w:after="0" w:line="259" w:lineRule="auto"/>
        <w:tabs>
          <w:tab w:leader="none" w:pos="1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59" w:lineRule="exact"/>
        <w:rPr>
          <w:rFonts w:ascii="Arial" w:cs="Arial" w:eastAsia="Arial" w:hAnsi="Arial"/>
          <w:sz w:val="18"/>
          <w:szCs w:val="18"/>
          <w:color w:val="auto"/>
        </w:rPr>
      </w:pPr>
    </w:p>
    <w:p>
      <w:pPr>
        <w:ind w:right="379" w:firstLine="1295"/>
        <w:spacing w:after="0" w:line="254" w:lineRule="auto"/>
        <w:tabs>
          <w:tab w:leader="none" w:pos="1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w:t>
      </w:r>
      <w:r>
        <w:rPr>
          <w:rFonts w:ascii="Arial" w:cs="Arial" w:eastAsia="Arial" w:hAnsi="Arial"/>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54" w:lineRule="exact"/>
        <w:rPr>
          <w:rFonts w:ascii="Arial" w:cs="Arial" w:eastAsia="Arial" w:hAnsi="Arial"/>
          <w:sz w:val="18"/>
          <w:szCs w:val="18"/>
          <w:color w:val="auto"/>
        </w:rPr>
      </w:pPr>
    </w:p>
    <w:p>
      <w:pPr>
        <w:ind w:right="639" w:firstLine="1295"/>
        <w:spacing w:after="0" w:line="277" w:lineRule="auto"/>
        <w:tabs>
          <w:tab w:leader="none" w:pos="1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grant of an Option, SAR, Dividend Equivalent Right, Restricted Stock, Restricted Stock Unit or other right or benefit under the Plan.</w:t>
      </w:r>
    </w:p>
    <w:p>
      <w:pPr>
        <w:spacing w:after="0" w:line="129" w:lineRule="exact"/>
        <w:rPr>
          <w:rFonts w:ascii="Arial" w:cs="Arial" w:eastAsia="Arial" w:hAnsi="Arial"/>
          <w:sz w:val="18"/>
          <w:szCs w:val="18"/>
          <w:color w:val="auto"/>
        </w:rPr>
      </w:pPr>
    </w:p>
    <w:p>
      <w:pPr>
        <w:ind w:right="279" w:firstLine="1295"/>
        <w:spacing w:after="0" w:line="277" w:lineRule="auto"/>
        <w:tabs>
          <w:tab w:leader="none" w:pos="1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agreement evidencing the grant of an Award executed by the Company and the Grantee, including any amendments thereto.</w:t>
      </w:r>
    </w:p>
    <w:p>
      <w:pPr>
        <w:spacing w:after="0" w:line="143" w:lineRule="exact"/>
        <w:rPr>
          <w:rFonts w:ascii="Arial" w:cs="Arial" w:eastAsia="Arial" w:hAnsi="Arial"/>
          <w:sz w:val="18"/>
          <w:szCs w:val="18"/>
          <w:color w:val="auto"/>
        </w:rPr>
      </w:pPr>
    </w:p>
    <w:p>
      <w:pPr>
        <w:ind w:left="1940" w:hanging="645"/>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right="279" w:firstLine="1295"/>
        <w:spacing w:after="0" w:line="268" w:lineRule="auto"/>
        <w:tabs>
          <w:tab w:leader="none" w:pos="1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which is materially detrimental to the Company or a Related Entity as reasonably determined in good faith by a unanimous decision of members of the Board entitled to vote thereon; (ii) dishonesty, intentional misconduct or material breach of any agreement with the Company or a Related Entity; (iii) commission of a crime involving dishonesty, breach of trust, or physical or emotional harm to any person; (iv) embezzlement of funds of the Company or a Related Entity; (v) ownership, direct or indirect (i.e., by means of a holding company or family member), of an interest in a person or entity (other than a minority interest in a publicly traded company) in competition with the products or services of the Company or a Related Entity, including those products or services contemplated in a plan adopted by the Board; (vi) any breach of the Grantee’s fiduciary duties or duties of care to the Company or a Related Entity (except for conduct taken in good faith); (vii) any material failure to carry out a reasonable and legitimate directive of the Board; or (viii) any material breach of an Employee's undertakings of confidentiality and non competition.</w:t>
      </w:r>
    </w:p>
    <w:p>
      <w:pPr>
        <w:spacing w:after="0" w:line="141" w:lineRule="exact"/>
        <w:rPr>
          <w:rFonts w:ascii="Arial" w:cs="Arial" w:eastAsia="Arial" w:hAnsi="Arial"/>
          <w:sz w:val="17"/>
          <w:szCs w:val="17"/>
          <w:color w:val="auto"/>
        </w:rPr>
      </w:pPr>
    </w:p>
    <w:p>
      <w:pPr>
        <w:ind w:right="359" w:firstLine="1295"/>
        <w:spacing w:after="0" w:line="277" w:lineRule="auto"/>
        <w:tabs>
          <w:tab w:leader="none" w:pos="1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change in ownership or control of the Company effected through either of the following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580390</wp:posOffset>
            </wp:positionV>
            <wp:extent cx="566610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39"/>
          </w:cols>
          <w:pgMar w:left="1320" w:top="652" w:right="1440" w:bottom="1440" w:gutter="0" w:footer="0" w:header="0"/>
        </w:sectPr>
      </w:pPr>
    </w:p>
    <w:bookmarkStart w:id="41" w:name="page42"/>
    <w:bookmarkEnd w:id="41"/>
    <w:p>
      <w:pPr>
        <w:ind w:left="1" w:right="239" w:firstLine="1943"/>
        <w:spacing w:after="0" w:line="254" w:lineRule="auto"/>
        <w:tabs>
          <w:tab w:leader="none" w:pos="2593"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spacing w:after="0" w:line="154" w:lineRule="exact"/>
        <w:rPr>
          <w:rFonts w:ascii="Arial" w:cs="Arial" w:eastAsia="Arial" w:hAnsi="Arial"/>
          <w:sz w:val="18"/>
          <w:szCs w:val="18"/>
          <w:color w:val="auto"/>
        </w:rPr>
      </w:pPr>
    </w:p>
    <w:p>
      <w:pPr>
        <w:ind w:left="1" w:right="439" w:firstLine="1943"/>
        <w:spacing w:after="0" w:line="286" w:lineRule="auto"/>
        <w:tabs>
          <w:tab w:leader="none" w:pos="2593" w:val="left"/>
        </w:tabs>
        <w:numPr>
          <w:ilvl w:val="2"/>
          <w:numId w:val="29"/>
        </w:numPr>
        <w:rPr>
          <w:rFonts w:ascii="Arial" w:cs="Arial" w:eastAsia="Arial" w:hAnsi="Arial"/>
          <w:sz w:val="17"/>
          <w:szCs w:val="17"/>
          <w:color w:val="auto"/>
        </w:rPr>
      </w:pPr>
      <w:r>
        <w:rPr>
          <w:rFonts w:ascii="Arial" w:cs="Arial" w:eastAsia="Arial" w:hAnsi="Arial"/>
          <w:sz w:val="17"/>
          <w:szCs w:val="17"/>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138" w:lineRule="exact"/>
        <w:rPr>
          <w:rFonts w:ascii="Arial" w:cs="Arial" w:eastAsia="Arial" w:hAnsi="Arial"/>
          <w:sz w:val="17"/>
          <w:szCs w:val="17"/>
          <w:color w:val="auto"/>
        </w:rPr>
      </w:pPr>
    </w:p>
    <w:p>
      <w:pPr>
        <w:ind w:left="1941" w:hanging="645"/>
        <w:spacing w:after="0"/>
        <w:tabs>
          <w:tab w:leader="none" w:pos="19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84" w:lineRule="exact"/>
        <w:rPr>
          <w:rFonts w:ascii="Arial" w:cs="Arial" w:eastAsia="Arial" w:hAnsi="Arial"/>
          <w:sz w:val="18"/>
          <w:szCs w:val="18"/>
          <w:color w:val="auto"/>
        </w:rPr>
      </w:pPr>
    </w:p>
    <w:p>
      <w:pPr>
        <w:ind w:left="1941" w:hanging="645"/>
        <w:spacing w:after="0"/>
        <w:tabs>
          <w:tab w:leader="none" w:pos="1941"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any committee composed of members of the Board appointed by the Board</w:t>
      </w:r>
    </w:p>
    <w:p>
      <w:pPr>
        <w:spacing w:after="0" w:line="46"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to administer the Plan.</w:t>
      </w:r>
    </w:p>
    <w:p>
      <w:pPr>
        <w:spacing w:after="0" w:line="170" w:lineRule="exact"/>
        <w:rPr>
          <w:rFonts w:ascii="Arial" w:cs="Arial" w:eastAsia="Arial" w:hAnsi="Arial"/>
          <w:sz w:val="16"/>
          <w:szCs w:val="16"/>
          <w:color w:val="auto"/>
        </w:rPr>
      </w:pPr>
    </w:p>
    <w:p>
      <w:pPr>
        <w:ind w:left="1941" w:hanging="645"/>
        <w:spacing w:after="0"/>
        <w:tabs>
          <w:tab w:leader="none" w:pos="19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98" w:lineRule="exact"/>
        <w:rPr>
          <w:rFonts w:ascii="Arial" w:cs="Arial" w:eastAsia="Arial" w:hAnsi="Arial"/>
          <w:sz w:val="18"/>
          <w:szCs w:val="18"/>
          <w:color w:val="auto"/>
        </w:rPr>
      </w:pPr>
    </w:p>
    <w:p>
      <w:pPr>
        <w:ind w:left="1" w:right="559" w:firstLine="1295"/>
        <w:spacing w:after="0" w:line="277" w:lineRule="auto"/>
        <w:tabs>
          <w:tab w:leader="none" w:pos="19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Protalix BioTherapeutics, Inc., a Delaware corporation, or any successor entity that adopts the Plan in connection with a Corporate Transaction.</w:t>
      </w:r>
    </w:p>
    <w:p>
      <w:pPr>
        <w:spacing w:after="0" w:line="129" w:lineRule="exact"/>
        <w:rPr>
          <w:rFonts w:ascii="Arial" w:cs="Arial" w:eastAsia="Arial" w:hAnsi="Arial"/>
          <w:sz w:val="18"/>
          <w:szCs w:val="18"/>
          <w:color w:val="auto"/>
        </w:rPr>
      </w:pPr>
    </w:p>
    <w:p>
      <w:pPr>
        <w:ind w:left="1" w:right="279" w:firstLine="1295"/>
        <w:spacing w:after="0" w:line="263" w:lineRule="auto"/>
        <w:tabs>
          <w:tab w:leader="none" w:pos="19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43" w:lineRule="exact"/>
        <w:rPr>
          <w:rFonts w:ascii="Arial" w:cs="Arial" w:eastAsia="Arial" w:hAnsi="Arial"/>
          <w:sz w:val="18"/>
          <w:szCs w:val="18"/>
          <w:color w:val="auto"/>
        </w:rPr>
      </w:pPr>
    </w:p>
    <w:p>
      <w:pPr>
        <w:jc w:val="both"/>
        <w:ind w:left="1" w:right="359" w:firstLine="1295"/>
        <w:spacing w:after="0" w:line="301" w:lineRule="auto"/>
        <w:tabs>
          <w:tab w:leader="none" w:pos="194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30" w:lineRule="exact"/>
        <w:rPr>
          <w:rFonts w:ascii="Arial" w:cs="Arial" w:eastAsia="Arial" w:hAnsi="Arial"/>
          <w:sz w:val="16"/>
          <w:szCs w:val="16"/>
          <w:color w:val="auto"/>
        </w:rPr>
      </w:pPr>
    </w:p>
    <w:p>
      <w:pPr>
        <w:ind w:left="1" w:right="399" w:firstLine="1295"/>
        <w:spacing w:after="0" w:line="284" w:lineRule="auto"/>
        <w:tabs>
          <w:tab w:leader="none" w:pos="194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w:t>
      </w:r>
    </w:p>
    <w:p>
      <w:pPr>
        <w:ind w:left="1" w:right="259" w:hanging="1"/>
        <w:spacing w:after="0" w:line="288" w:lineRule="auto"/>
        <w:tabs>
          <w:tab w:leader="none" w:pos="2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127" w:lineRule="exact"/>
        <w:rPr>
          <w:rFonts w:ascii="Arial" w:cs="Arial" w:eastAsia="Arial" w:hAnsi="Arial"/>
          <w:sz w:val="16"/>
          <w:szCs w:val="16"/>
          <w:color w:val="auto"/>
        </w:rPr>
      </w:pPr>
    </w:p>
    <w:p>
      <w:pPr>
        <w:ind w:left="1" w:right="299" w:firstLine="1295"/>
        <w:spacing w:after="0" w:line="263" w:lineRule="auto"/>
        <w:tabs>
          <w:tab w:leader="none" w:pos="19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43" w:lineRule="exact"/>
        <w:rPr>
          <w:rFonts w:ascii="Arial" w:cs="Arial" w:eastAsia="Arial" w:hAnsi="Arial"/>
          <w:sz w:val="18"/>
          <w:szCs w:val="18"/>
          <w:color w:val="auto"/>
        </w:rPr>
      </w:pPr>
    </w:p>
    <w:p>
      <w:pPr>
        <w:ind w:left="1" w:right="339" w:firstLine="1943"/>
        <w:spacing w:after="0" w:line="308" w:lineRule="auto"/>
        <w:tabs>
          <w:tab w:leader="none" w:pos="2593" w:val="left"/>
        </w:tabs>
        <w:numPr>
          <w:ilvl w:val="2"/>
          <w:numId w:val="31"/>
        </w:numPr>
        <w:rPr>
          <w:rFonts w:ascii="Arial" w:cs="Arial" w:eastAsia="Arial" w:hAnsi="Arial"/>
          <w:sz w:val="17"/>
          <w:szCs w:val="17"/>
          <w:color w:val="auto"/>
        </w:rPr>
      </w:pPr>
      <w:r>
        <w:rPr>
          <w:rFonts w:ascii="Arial" w:cs="Arial" w:eastAsia="Arial" w:hAnsi="Arial"/>
          <w:sz w:val="17"/>
          <w:szCs w:val="17"/>
          <w:color w:val="auto"/>
        </w:rPr>
        <w:t>a merger or consolidation in which the Company is not the surviving entity, except for a transaction the principal purpose of which is to change the state in which the Company is incorporated;</w:t>
      </w:r>
    </w:p>
    <w:p>
      <w:pPr>
        <w:spacing w:after="0" w:line="119" w:lineRule="exact"/>
        <w:rPr>
          <w:rFonts w:ascii="Arial" w:cs="Arial" w:eastAsia="Arial" w:hAnsi="Arial"/>
          <w:sz w:val="17"/>
          <w:szCs w:val="17"/>
          <w:color w:val="auto"/>
        </w:rPr>
      </w:pPr>
    </w:p>
    <w:p>
      <w:pPr>
        <w:ind w:left="2601" w:hanging="657"/>
        <w:spacing w:after="0"/>
        <w:tabs>
          <w:tab w:leader="none" w:pos="2601"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sale, transfer or other disposition of all or substantially all of the assets of the</w:t>
      </w:r>
    </w:p>
    <w:p>
      <w:pPr>
        <w:spacing w:after="0" w:line="34"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70" w:lineRule="exact"/>
        <w:rPr>
          <w:rFonts w:ascii="Arial" w:cs="Arial" w:eastAsia="Arial" w:hAnsi="Arial"/>
          <w:sz w:val="17"/>
          <w:szCs w:val="17"/>
          <w:color w:val="auto"/>
        </w:rPr>
      </w:pPr>
    </w:p>
    <w:p>
      <w:pPr>
        <w:ind w:left="2601" w:hanging="657"/>
        <w:spacing w:after="0"/>
        <w:tabs>
          <w:tab w:leader="none" w:pos="2601"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44" w:lineRule="exact"/>
        <w:rPr>
          <w:sz w:val="20"/>
          <w:szCs w:val="20"/>
          <w:color w:val="auto"/>
        </w:rPr>
      </w:pPr>
    </w:p>
    <w:p>
      <w:pPr>
        <w:jc w:val="center"/>
        <w:ind w:right="218"/>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566610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141"/>
          </w:cols>
          <w:pgMar w:left="1319" w:top="908" w:right="1440" w:bottom="1440" w:gutter="0" w:footer="0" w:header="0"/>
        </w:sectPr>
      </w:pPr>
    </w:p>
    <w:bookmarkStart w:id="42" w:name="page43"/>
    <w:bookmarkEnd w:id="42"/>
    <w:p>
      <w:pPr>
        <w:ind w:left="1" w:right="239" w:firstLine="1943"/>
        <w:spacing w:after="0" w:line="291" w:lineRule="auto"/>
        <w:tabs>
          <w:tab w:leader="none" w:pos="2593"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any reverse merger or series of related transactions culminating in a reverse merger (including, but not limited to, a tender offer followed by a reverse merger) in which the Company is the surviving entity but</w:t>
      </w:r>
    </w:p>
    <w:p>
      <w:pPr>
        <w:ind w:left="1" w:right="259" w:hanging="1"/>
        <w:spacing w:after="0" w:line="253" w:lineRule="auto"/>
        <w:tabs>
          <w:tab w:leader="none" w:pos="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of Common Stock outstanding immediately prior to such merger are converted or exchanged by virtue of the merger into other property, whether in the form of securities, cash or otherwise, or (B) in which securities possessing more than forty percent (40%)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50" w:lineRule="exact"/>
        <w:rPr>
          <w:rFonts w:ascii="Arial" w:cs="Arial" w:eastAsia="Arial" w:hAnsi="Arial"/>
          <w:sz w:val="18"/>
          <w:szCs w:val="18"/>
          <w:color w:val="auto"/>
        </w:rPr>
      </w:pPr>
    </w:p>
    <w:p>
      <w:pPr>
        <w:ind w:left="1" w:right="239" w:firstLine="1943"/>
        <w:spacing w:after="0" w:line="291" w:lineRule="auto"/>
        <w:tabs>
          <w:tab w:leader="none" w:pos="2593" w:val="left"/>
        </w:tabs>
        <w:numPr>
          <w:ilvl w:val="2"/>
          <w:numId w:val="33"/>
        </w:numPr>
        <w:rPr>
          <w:rFonts w:ascii="Arial" w:cs="Arial" w:eastAsia="Arial" w:hAnsi="Arial"/>
          <w:sz w:val="16"/>
          <w:szCs w:val="16"/>
          <w:color w:val="auto"/>
        </w:rPr>
      </w:pPr>
      <w:r>
        <w:rPr>
          <w:rFonts w:ascii="Arial" w:cs="Arial" w:eastAsia="Arial" w:hAnsi="Arial"/>
          <w:sz w:val="16"/>
          <w:szCs w:val="16"/>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 (provided however that the Administrator shall have no discretion in connection with a Corporate Transaction for the purchase of all or substantially all of the shares of the Company unless the principal purpose of such transaction is to change the state in which the Company is incorporated).</w:t>
      </w:r>
    </w:p>
    <w:p>
      <w:pPr>
        <w:spacing w:after="0" w:line="139" w:lineRule="exact"/>
        <w:rPr>
          <w:rFonts w:ascii="Arial" w:cs="Arial" w:eastAsia="Arial" w:hAnsi="Arial"/>
          <w:sz w:val="16"/>
          <w:szCs w:val="16"/>
          <w:color w:val="auto"/>
        </w:rPr>
      </w:pPr>
    </w:p>
    <w:p>
      <w:pPr>
        <w:ind w:left="1941" w:hanging="645"/>
        <w:spacing w:after="0"/>
        <w:tabs>
          <w:tab w:leader="none" w:pos="1941"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an Employee who is a “covered employee” under Section 162(m)</w:t>
      </w:r>
    </w:p>
    <w:p>
      <w:pPr>
        <w:spacing w:after="0" w:line="46"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(3) of the Code.</w:t>
      </w:r>
    </w:p>
    <w:p>
      <w:pPr>
        <w:spacing w:after="0" w:line="170" w:lineRule="exact"/>
        <w:rPr>
          <w:rFonts w:ascii="Arial" w:cs="Arial" w:eastAsia="Arial" w:hAnsi="Arial"/>
          <w:sz w:val="16"/>
          <w:szCs w:val="16"/>
          <w:color w:val="auto"/>
        </w:rPr>
      </w:pPr>
    </w:p>
    <w:p>
      <w:pPr>
        <w:ind w:left="1941" w:hanging="645"/>
        <w:spacing w:after="0"/>
        <w:tabs>
          <w:tab w:leader="none" w:pos="19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or the board of directors of any Related Entity.</w:t>
      </w:r>
    </w:p>
    <w:p>
      <w:pPr>
        <w:spacing w:after="0" w:line="184" w:lineRule="exact"/>
        <w:rPr>
          <w:rFonts w:ascii="Arial" w:cs="Arial" w:eastAsia="Arial" w:hAnsi="Arial"/>
          <w:sz w:val="18"/>
          <w:szCs w:val="18"/>
          <w:color w:val="auto"/>
        </w:rPr>
      </w:pPr>
    </w:p>
    <w:p>
      <w:pPr>
        <w:ind w:left="1" w:right="419" w:firstLine="1295"/>
        <w:spacing w:after="0" w:line="272" w:lineRule="auto"/>
        <w:tabs>
          <w:tab w:leader="none" w:pos="19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50" w:lineRule="exact"/>
        <w:rPr>
          <w:rFonts w:ascii="Arial" w:cs="Arial" w:eastAsia="Arial" w:hAnsi="Arial"/>
          <w:sz w:val="17"/>
          <w:szCs w:val="17"/>
          <w:color w:val="auto"/>
        </w:rPr>
      </w:pPr>
    </w:p>
    <w:p>
      <w:pPr>
        <w:ind w:left="1" w:right="379" w:firstLine="1295"/>
        <w:spacing w:after="0" w:line="277" w:lineRule="auto"/>
        <w:tabs>
          <w:tab w:leader="none" w:pos="19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a right entitling the Grantee to compensation measured by dividends paid with respect to Common Stock.</w:t>
      </w:r>
    </w:p>
    <w:p>
      <w:pPr>
        <w:spacing w:after="0" w:line="129" w:lineRule="exact"/>
        <w:rPr>
          <w:rFonts w:ascii="Arial" w:cs="Arial" w:eastAsia="Arial" w:hAnsi="Arial"/>
          <w:sz w:val="18"/>
          <w:szCs w:val="18"/>
          <w:color w:val="auto"/>
        </w:rPr>
      </w:pPr>
    </w:p>
    <w:p>
      <w:pPr>
        <w:jc w:val="both"/>
        <w:ind w:left="1" w:right="439" w:firstLine="1295"/>
        <w:spacing w:after="0" w:line="279" w:lineRule="auto"/>
        <w:tabs>
          <w:tab w:leader="none" w:pos="19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30" w:lineRule="exact"/>
        <w:rPr>
          <w:rFonts w:ascii="Arial" w:cs="Arial" w:eastAsia="Arial" w:hAnsi="Arial"/>
          <w:sz w:val="17"/>
          <w:szCs w:val="17"/>
          <w:color w:val="auto"/>
        </w:rPr>
      </w:pPr>
    </w:p>
    <w:p>
      <w:pPr>
        <w:ind w:left="1941" w:hanging="645"/>
        <w:spacing w:after="0"/>
        <w:tabs>
          <w:tab w:leader="none" w:pos="19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98" w:lineRule="exact"/>
        <w:rPr>
          <w:rFonts w:ascii="Arial" w:cs="Arial" w:eastAsia="Arial" w:hAnsi="Arial"/>
          <w:sz w:val="18"/>
          <w:szCs w:val="18"/>
          <w:color w:val="auto"/>
        </w:rPr>
      </w:pPr>
    </w:p>
    <w:p>
      <w:pPr>
        <w:ind w:left="1941" w:hanging="645"/>
        <w:spacing w:after="0"/>
        <w:tabs>
          <w:tab w:leader="none" w:pos="1941"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Common Stock determined as follows:</w:t>
      </w:r>
    </w:p>
    <w:p>
      <w:pPr>
        <w:spacing w:after="0" w:line="207" w:lineRule="exact"/>
        <w:rPr>
          <w:rFonts w:ascii="Arial" w:cs="Arial" w:eastAsia="Arial" w:hAnsi="Arial"/>
          <w:sz w:val="16"/>
          <w:szCs w:val="16"/>
          <w:color w:val="auto"/>
        </w:rPr>
      </w:pPr>
    </w:p>
    <w:p>
      <w:pPr>
        <w:ind w:left="1" w:right="259" w:firstLine="1943"/>
        <w:spacing w:after="0" w:line="293" w:lineRule="auto"/>
        <w:tabs>
          <w:tab w:leader="none" w:pos="2593" w:val="left"/>
        </w:tabs>
        <w:numPr>
          <w:ilvl w:val="2"/>
          <w:numId w:val="34"/>
        </w:numPr>
        <w:rPr>
          <w:rFonts w:ascii="Arial" w:cs="Arial" w:eastAsia="Arial" w:hAnsi="Arial"/>
          <w:sz w:val="16"/>
          <w:szCs w:val="16"/>
          <w:color w:val="auto"/>
        </w:rPr>
      </w:pPr>
      <w:r>
        <w:rPr>
          <w:rFonts w:ascii="Arial" w:cs="Arial" w:eastAsia="Arial" w:hAnsi="Arial"/>
          <w:sz w:val="16"/>
          <w:szCs w:val="16"/>
          <w:color w:val="auto"/>
        </w:rPr>
        <w:t>If the Common Stock is listed on one or more established stock exchanges or national market systems, including without limitation the American Stock Exchange,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23" w:lineRule="exact"/>
        <w:rPr>
          <w:rFonts w:ascii="Arial" w:cs="Arial" w:eastAsia="Arial" w:hAnsi="Arial"/>
          <w:sz w:val="16"/>
          <w:szCs w:val="16"/>
          <w:color w:val="auto"/>
        </w:rPr>
      </w:pPr>
    </w:p>
    <w:p>
      <w:pPr>
        <w:ind w:left="1" w:right="299" w:firstLine="1943"/>
        <w:spacing w:after="0" w:line="293" w:lineRule="auto"/>
        <w:tabs>
          <w:tab w:leader="none" w:pos="2593" w:val="left"/>
        </w:tabs>
        <w:numPr>
          <w:ilvl w:val="2"/>
          <w:numId w:val="34"/>
        </w:numPr>
        <w:rPr>
          <w:rFonts w:ascii="Arial" w:cs="Arial" w:eastAsia="Arial" w:hAnsi="Arial"/>
          <w:sz w:val="16"/>
          <w:szCs w:val="16"/>
          <w:color w:val="auto"/>
        </w:rPr>
      </w:pPr>
      <w:r>
        <w:rPr>
          <w:rFonts w:ascii="Arial" w:cs="Arial" w:eastAsia="Arial" w:hAnsi="Arial"/>
          <w:sz w:val="16"/>
          <w:szCs w:val="16"/>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83" w:lineRule="exact"/>
        <w:rPr>
          <w:sz w:val="20"/>
          <w:szCs w:val="20"/>
          <w:color w:val="auto"/>
        </w:rPr>
      </w:pPr>
    </w:p>
    <w:p>
      <w:pPr>
        <w:jc w:val="center"/>
        <w:ind w:right="218"/>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566610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141"/>
          </w:cols>
          <w:pgMar w:left="1319" w:top="908" w:right="1440" w:bottom="1440" w:gutter="0" w:footer="0" w:header="0"/>
        </w:sectPr>
      </w:pPr>
    </w:p>
    <w:bookmarkStart w:id="43" w:name="page44"/>
    <w:bookmarkEnd w:id="43"/>
    <w:p>
      <w:pPr>
        <w:ind w:left="2601" w:hanging="657"/>
        <w:spacing w:after="0"/>
        <w:tabs>
          <w:tab w:leader="none" w:pos="2601" w:val="left"/>
        </w:tabs>
        <w:numPr>
          <w:ilvl w:val="2"/>
          <w:numId w:val="35"/>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of the type described in</w:t>
      </w:r>
    </w:p>
    <w:p>
      <w:pPr>
        <w:spacing w:after="0" w:line="46" w:lineRule="exact"/>
        <w:rPr>
          <w:rFonts w:ascii="Arial" w:cs="Arial" w:eastAsia="Arial" w:hAnsi="Arial"/>
          <w:sz w:val="16"/>
          <w:szCs w:val="16"/>
          <w:color w:val="auto"/>
        </w:rPr>
      </w:pPr>
    </w:p>
    <w:p>
      <w:pPr>
        <w:ind w:left="221" w:hanging="221"/>
        <w:spacing w:after="0"/>
        <w:tabs>
          <w:tab w:leader="none" w:pos="2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 (ii), above, the Fair Market Value thereof shall be determined by the Administrator in good faith.</w:t>
      </w:r>
    </w:p>
    <w:p>
      <w:pPr>
        <w:spacing w:after="0" w:line="170" w:lineRule="exact"/>
        <w:rPr>
          <w:rFonts w:ascii="Arial" w:cs="Arial" w:eastAsia="Arial" w:hAnsi="Arial"/>
          <w:sz w:val="18"/>
          <w:szCs w:val="18"/>
          <w:color w:val="auto"/>
        </w:rPr>
      </w:pPr>
    </w:p>
    <w:p>
      <w:pPr>
        <w:ind w:left="1941" w:hanging="645"/>
        <w:spacing w:after="0"/>
        <w:tabs>
          <w:tab w:leader="none" w:pos="1941"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an Employee, Director or Consultant who receives an Award under the Plan.</w:t>
      </w:r>
    </w:p>
    <w:p>
      <w:pPr>
        <w:spacing w:after="0" w:line="221" w:lineRule="exact"/>
        <w:rPr>
          <w:rFonts w:ascii="Arial" w:cs="Arial" w:eastAsia="Arial" w:hAnsi="Arial"/>
          <w:sz w:val="16"/>
          <w:szCs w:val="16"/>
          <w:color w:val="auto"/>
        </w:rPr>
      </w:pPr>
    </w:p>
    <w:p>
      <w:pPr>
        <w:ind w:left="1" w:right="659" w:firstLine="1295"/>
        <w:spacing w:after="0" w:line="277"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w:t>
      </w:r>
    </w:p>
    <w:p>
      <w:pPr>
        <w:spacing w:after="0" w:line="129" w:lineRule="exact"/>
        <w:rPr>
          <w:rFonts w:ascii="Arial" w:cs="Arial" w:eastAsia="Arial" w:hAnsi="Arial"/>
          <w:sz w:val="18"/>
          <w:szCs w:val="18"/>
          <w:color w:val="auto"/>
        </w:rPr>
      </w:pPr>
    </w:p>
    <w:p>
      <w:pPr>
        <w:ind w:left="1" w:right="419" w:firstLine="1295"/>
        <w:spacing w:after="0" w:line="259"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Employee</w:t>
      </w:r>
      <w:r>
        <w:rPr>
          <w:rFonts w:ascii="Arial" w:cs="Arial" w:eastAsia="Arial" w:hAnsi="Arial"/>
          <w:sz w:val="18"/>
          <w:szCs w:val="18"/>
          <w:color w:val="auto"/>
        </w:rPr>
        <w:t>” means Employees, office holders of the Company or a Related Company (“Nosei Misra” - as such term is defined in the Israeli Companies Law 1999) and Directors (excluding those who are considered a “Controlling Shareholder” pursuant to Section 32(9) of the Tax Ordinance or otherwise excluded by the Tax Ordinance).</w:t>
      </w:r>
    </w:p>
    <w:p>
      <w:pPr>
        <w:spacing w:after="0" w:line="146" w:lineRule="exact"/>
        <w:rPr>
          <w:rFonts w:ascii="Arial" w:cs="Arial" w:eastAsia="Arial" w:hAnsi="Arial"/>
          <w:sz w:val="18"/>
          <w:szCs w:val="18"/>
          <w:color w:val="auto"/>
        </w:rPr>
      </w:pPr>
    </w:p>
    <w:p>
      <w:pPr>
        <w:ind w:left="1" w:right="639" w:firstLine="1295"/>
        <w:spacing w:after="0" w:line="263"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Grantee</w:t>
      </w:r>
      <w:r>
        <w:rPr>
          <w:rFonts w:ascii="Arial" w:cs="Arial" w:eastAsia="Arial" w:hAnsi="Arial"/>
          <w:sz w:val="18"/>
          <w:szCs w:val="18"/>
          <w:color w:val="auto"/>
        </w:rPr>
        <w:t>” means Grantees who are residents of the State of Israel or those who are deemed to be residents of the State of Israel for the payment of tax (whether such grantee is entitled to the tax benefits under Section 102 or not).</w:t>
      </w:r>
    </w:p>
    <w:p>
      <w:pPr>
        <w:spacing w:after="0" w:line="156" w:lineRule="exact"/>
        <w:rPr>
          <w:rFonts w:ascii="Arial" w:cs="Arial" w:eastAsia="Arial" w:hAnsi="Arial"/>
          <w:sz w:val="18"/>
          <w:szCs w:val="18"/>
          <w:color w:val="auto"/>
        </w:rPr>
      </w:pPr>
    </w:p>
    <w:p>
      <w:pPr>
        <w:ind w:left="1941" w:hanging="645"/>
        <w:spacing w:after="0"/>
        <w:tabs>
          <w:tab w:leader="none" w:pos="1941"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Israeli Tax Authorities.</w:t>
      </w:r>
    </w:p>
    <w:p>
      <w:pPr>
        <w:spacing w:after="0" w:line="184" w:lineRule="exact"/>
        <w:rPr>
          <w:rFonts w:ascii="Arial" w:cs="Arial" w:eastAsia="Arial" w:hAnsi="Arial"/>
          <w:sz w:val="18"/>
          <w:szCs w:val="18"/>
          <w:color w:val="auto"/>
        </w:rPr>
      </w:pPr>
    </w:p>
    <w:p>
      <w:pPr>
        <w:ind w:left="1941" w:hanging="645"/>
        <w:spacing w:after="0"/>
        <w:tabs>
          <w:tab w:leader="none" w:pos="1941" w:val="left"/>
        </w:tabs>
        <w:numPr>
          <w:ilvl w:val="1"/>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Non-Employee</w:t>
      </w:r>
      <w:r>
        <w:rPr>
          <w:rFonts w:ascii="Arial" w:cs="Arial" w:eastAsia="Arial" w:hAnsi="Arial"/>
          <w:sz w:val="17"/>
          <w:szCs w:val="17"/>
          <w:color w:val="auto"/>
        </w:rPr>
        <w:t>” means Consultants or any other person who is not an Israeli Employee.</w:t>
      </w:r>
    </w:p>
    <w:p>
      <w:pPr>
        <w:spacing w:after="0" w:line="196" w:lineRule="exact"/>
        <w:rPr>
          <w:rFonts w:ascii="Arial" w:cs="Arial" w:eastAsia="Arial" w:hAnsi="Arial"/>
          <w:sz w:val="17"/>
          <w:szCs w:val="17"/>
          <w:color w:val="auto"/>
        </w:rPr>
      </w:pPr>
    </w:p>
    <w:p>
      <w:pPr>
        <w:ind w:left="1941" w:hanging="645"/>
        <w:spacing w:after="0"/>
        <w:tabs>
          <w:tab w:leader="none" w:pos="1941" w:val="left"/>
        </w:tabs>
        <w:numPr>
          <w:ilvl w:val="1"/>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means an Option not intended to qualify as an Incentive Stock</w:t>
      </w:r>
    </w:p>
    <w:p>
      <w:pPr>
        <w:spacing w:after="0" w:line="34"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183" w:lineRule="exact"/>
        <w:rPr>
          <w:rFonts w:ascii="Arial" w:cs="Arial" w:eastAsia="Arial" w:hAnsi="Arial"/>
          <w:sz w:val="17"/>
          <w:szCs w:val="17"/>
          <w:color w:val="auto"/>
        </w:rPr>
      </w:pPr>
    </w:p>
    <w:p>
      <w:pPr>
        <w:ind w:left="1" w:right="479" w:firstLine="1295"/>
        <w:spacing w:after="0" w:line="277"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Non-Trustee 102 Option</w:t>
      </w:r>
      <w:r>
        <w:rPr>
          <w:rFonts w:ascii="Arial" w:cs="Arial" w:eastAsia="Arial" w:hAnsi="Arial"/>
          <w:sz w:val="18"/>
          <w:szCs w:val="18"/>
          <w:color w:val="auto"/>
        </w:rPr>
        <w:t>” shall mean a 102 Option granted pursuant to Section 102(c) of the Tax Ordinance and not held in trust by the Trustee.</w:t>
      </w:r>
    </w:p>
    <w:p>
      <w:pPr>
        <w:spacing w:after="0" w:line="129" w:lineRule="exact"/>
        <w:rPr>
          <w:rFonts w:ascii="Arial" w:cs="Arial" w:eastAsia="Arial" w:hAnsi="Arial"/>
          <w:sz w:val="18"/>
          <w:szCs w:val="18"/>
          <w:color w:val="auto"/>
        </w:rPr>
      </w:pPr>
    </w:p>
    <w:p>
      <w:pPr>
        <w:ind w:left="1" w:right="739" w:firstLine="1295"/>
        <w:spacing w:after="0" w:line="308" w:lineRule="auto"/>
        <w:tabs>
          <w:tab w:leader="none" w:pos="1945" w:val="left"/>
        </w:tabs>
        <w:numPr>
          <w:ilvl w:val="1"/>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or a Related Entity within the meaning of Section 16 of the Exchange Act and the rules and regulations promulgated thereunder.</w:t>
      </w:r>
    </w:p>
    <w:p>
      <w:pPr>
        <w:spacing w:after="0" w:line="105" w:lineRule="exact"/>
        <w:rPr>
          <w:rFonts w:ascii="Arial" w:cs="Arial" w:eastAsia="Arial" w:hAnsi="Arial"/>
          <w:sz w:val="17"/>
          <w:szCs w:val="17"/>
          <w:color w:val="auto"/>
        </w:rPr>
      </w:pPr>
    </w:p>
    <w:p>
      <w:pPr>
        <w:ind w:left="1941" w:hanging="645"/>
        <w:spacing w:after="0"/>
        <w:tabs>
          <w:tab w:leader="none" w:pos="1941"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option to purchase Shares pursuant to an Award Agreement granted under</w:t>
      </w:r>
    </w:p>
    <w:p>
      <w:pPr>
        <w:spacing w:after="0" w:line="46"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83" w:lineRule="exact"/>
        <w:rPr>
          <w:rFonts w:ascii="Arial" w:cs="Arial" w:eastAsia="Arial" w:hAnsi="Arial"/>
          <w:sz w:val="16"/>
          <w:szCs w:val="16"/>
          <w:color w:val="auto"/>
        </w:rPr>
      </w:pPr>
    </w:p>
    <w:p>
      <w:pPr>
        <w:ind w:left="1" w:right="899" w:firstLine="1295"/>
        <w:spacing w:after="0" w:line="277"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29" w:lineRule="exact"/>
        <w:rPr>
          <w:rFonts w:ascii="Arial" w:cs="Arial" w:eastAsia="Arial" w:hAnsi="Arial"/>
          <w:sz w:val="18"/>
          <w:szCs w:val="18"/>
          <w:color w:val="auto"/>
        </w:rPr>
      </w:pPr>
    </w:p>
    <w:p>
      <w:pPr>
        <w:ind w:left="1" w:right="499" w:firstLine="1295"/>
        <w:spacing w:after="0" w:line="277"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compensation qualifying as “performance-based compensation” under Section 162(m) of the Code.</w:t>
      </w:r>
    </w:p>
    <w:p>
      <w:pPr>
        <w:spacing w:after="0" w:line="129" w:lineRule="exact"/>
        <w:rPr>
          <w:rFonts w:ascii="Arial" w:cs="Arial" w:eastAsia="Arial" w:hAnsi="Arial"/>
          <w:sz w:val="18"/>
          <w:szCs w:val="18"/>
          <w:color w:val="auto"/>
        </w:rPr>
      </w:pPr>
    </w:p>
    <w:p>
      <w:pPr>
        <w:ind w:left="1941" w:hanging="645"/>
        <w:spacing w:after="0"/>
        <w:tabs>
          <w:tab w:leader="none" w:pos="1941"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2006 Stock Incentive Plan.</w:t>
      </w:r>
    </w:p>
    <w:p>
      <w:pPr>
        <w:spacing w:after="0" w:line="198" w:lineRule="exact"/>
        <w:rPr>
          <w:rFonts w:ascii="Arial" w:cs="Arial" w:eastAsia="Arial" w:hAnsi="Arial"/>
          <w:sz w:val="18"/>
          <w:szCs w:val="18"/>
          <w:color w:val="auto"/>
        </w:rPr>
      </w:pPr>
    </w:p>
    <w:p>
      <w:pPr>
        <w:ind w:left="1" w:right="819" w:firstLine="1295"/>
        <w:spacing w:after="0" w:line="263"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Parent or Subsidiary of the Company. With respect to Israeli Grantees of 102 Options, the definition shall further include any entity permitted under Section 102 (a) of the Tax Ordinance.</w:t>
      </w:r>
    </w:p>
    <w:p>
      <w:pPr>
        <w:spacing w:after="0" w:line="143" w:lineRule="exact"/>
        <w:rPr>
          <w:rFonts w:ascii="Arial" w:cs="Arial" w:eastAsia="Arial" w:hAnsi="Arial"/>
          <w:sz w:val="18"/>
          <w:szCs w:val="18"/>
          <w:color w:val="auto"/>
        </w:rPr>
      </w:pPr>
    </w:p>
    <w:p>
      <w:pPr>
        <w:ind w:left="1" w:right="239" w:firstLine="1295"/>
        <w:spacing w:after="0" w:line="255"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w:t>
      </w:r>
      <w:r>
        <w:rPr>
          <w:rFonts w:ascii="Arial" w:cs="Arial" w:eastAsia="Arial" w:hAnsi="Arial"/>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51" w:lineRule="exact"/>
        <w:rPr>
          <w:rFonts w:ascii="Arial" w:cs="Arial" w:eastAsia="Arial" w:hAnsi="Arial"/>
          <w:sz w:val="18"/>
          <w:szCs w:val="18"/>
          <w:color w:val="auto"/>
        </w:rPr>
      </w:pPr>
    </w:p>
    <w:p>
      <w:pPr>
        <w:ind w:left="1" w:right="339" w:firstLine="1295"/>
        <w:spacing w:after="0" w:line="263" w:lineRule="auto"/>
        <w:tabs>
          <w:tab w:leader="none" w:pos="1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56" w:lineRule="exact"/>
        <w:rPr>
          <w:rFonts w:ascii="Arial" w:cs="Arial" w:eastAsia="Arial" w:hAnsi="Arial"/>
          <w:sz w:val="18"/>
          <w:szCs w:val="18"/>
          <w:color w:val="auto"/>
        </w:rPr>
      </w:pPr>
    </w:p>
    <w:p>
      <w:pPr>
        <w:jc w:val="both"/>
        <w:ind w:left="1" w:right="539" w:firstLine="1295"/>
        <w:spacing w:after="0" w:line="311" w:lineRule="auto"/>
        <w:tabs>
          <w:tab w:leader="none" w:pos="19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68" w:lineRule="exact"/>
        <w:rPr>
          <w:sz w:val="20"/>
          <w:szCs w:val="20"/>
          <w:color w:val="auto"/>
        </w:rPr>
      </w:pPr>
    </w:p>
    <w:p>
      <w:pPr>
        <w:jc w:val="center"/>
        <w:ind w:right="218"/>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566610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41"/>
          </w:cols>
          <w:pgMar w:left="1319" w:top="908" w:right="1440" w:bottom="1440" w:gutter="0" w:footer="0" w:header="0"/>
        </w:sectPr>
      </w:pPr>
    </w:p>
    <w:bookmarkStart w:id="44" w:name="page45"/>
    <w:bookmarkEnd w:id="44"/>
    <w:p>
      <w:pPr>
        <w:ind w:left="1941" w:hanging="645"/>
        <w:spacing w:after="0"/>
        <w:tabs>
          <w:tab w:leader="none" w:pos="1941"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Exchange Act or any successor thereto.</w:t>
      </w:r>
    </w:p>
    <w:p>
      <w:pPr>
        <w:spacing w:after="0" w:line="207" w:lineRule="exact"/>
        <w:rPr>
          <w:rFonts w:ascii="Arial" w:cs="Arial" w:eastAsia="Arial" w:hAnsi="Arial"/>
          <w:sz w:val="16"/>
          <w:szCs w:val="16"/>
          <w:color w:val="auto"/>
        </w:rPr>
      </w:pPr>
    </w:p>
    <w:p>
      <w:pPr>
        <w:ind w:left="1" w:right="239" w:firstLine="1295"/>
        <w:spacing w:after="0" w:line="277" w:lineRule="auto"/>
        <w:tabs>
          <w:tab w:leader="none" w:pos="194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means a stock appreciation right entitling the Grantee to Shares or cash compensation, as established by the Administrator, measured by appreciation in the value of Common Stock.</w:t>
      </w:r>
    </w:p>
    <w:p>
      <w:pPr>
        <w:spacing w:after="0" w:line="143" w:lineRule="exact"/>
        <w:rPr>
          <w:rFonts w:ascii="Arial" w:cs="Arial" w:eastAsia="Arial" w:hAnsi="Arial"/>
          <w:sz w:val="18"/>
          <w:szCs w:val="18"/>
          <w:color w:val="auto"/>
        </w:rPr>
      </w:pPr>
    </w:p>
    <w:p>
      <w:pPr>
        <w:ind w:left="1941" w:hanging="645"/>
        <w:spacing w:after="0"/>
        <w:tabs>
          <w:tab w:leader="none" w:pos="1941"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3(I)</w:t>
      </w:r>
      <w:r>
        <w:rPr>
          <w:rFonts w:ascii="Arial" w:cs="Arial" w:eastAsia="Arial" w:hAnsi="Arial"/>
          <w:sz w:val="16"/>
          <w:szCs w:val="16"/>
          <w:color w:val="auto"/>
        </w:rPr>
        <w:t>” means section 3(I) of the Tax Ordinance as may be amended from time to time.</w:t>
      </w:r>
    </w:p>
    <w:p>
      <w:pPr>
        <w:spacing w:after="0" w:line="207" w:lineRule="exact"/>
        <w:rPr>
          <w:rFonts w:ascii="Arial" w:cs="Arial" w:eastAsia="Arial" w:hAnsi="Arial"/>
          <w:sz w:val="16"/>
          <w:szCs w:val="16"/>
          <w:color w:val="auto"/>
        </w:rPr>
      </w:pPr>
    </w:p>
    <w:p>
      <w:pPr>
        <w:ind w:left="1941" w:hanging="645"/>
        <w:spacing w:after="0"/>
        <w:tabs>
          <w:tab w:leader="none" w:pos="1941"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102</w:t>
      </w:r>
      <w:r>
        <w:rPr>
          <w:rFonts w:ascii="Arial" w:cs="Arial" w:eastAsia="Arial" w:hAnsi="Arial"/>
          <w:sz w:val="16"/>
          <w:szCs w:val="16"/>
          <w:color w:val="auto"/>
        </w:rPr>
        <w:t>” means section 102 of the Tax Ordinance as may be amended from time to time.</w:t>
      </w:r>
    </w:p>
    <w:p>
      <w:pPr>
        <w:spacing w:after="0" w:line="207" w:lineRule="exact"/>
        <w:rPr>
          <w:rFonts w:ascii="Arial" w:cs="Arial" w:eastAsia="Arial" w:hAnsi="Arial"/>
          <w:sz w:val="16"/>
          <w:szCs w:val="16"/>
          <w:color w:val="auto"/>
        </w:rPr>
      </w:pPr>
    </w:p>
    <w:p>
      <w:pPr>
        <w:ind w:left="1941" w:hanging="645"/>
        <w:spacing w:after="0"/>
        <w:tabs>
          <w:tab w:leader="none" w:pos="1941"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w:t>
      </w:r>
    </w:p>
    <w:p>
      <w:pPr>
        <w:spacing w:after="0" w:line="198" w:lineRule="exact"/>
        <w:rPr>
          <w:rFonts w:ascii="Arial" w:cs="Arial" w:eastAsia="Arial" w:hAnsi="Arial"/>
          <w:sz w:val="18"/>
          <w:szCs w:val="18"/>
          <w:color w:val="auto"/>
        </w:rPr>
      </w:pPr>
    </w:p>
    <w:p>
      <w:pPr>
        <w:ind w:left="1" w:right="299" w:firstLine="1295"/>
        <w:spacing w:after="0" w:line="277" w:lineRule="auto"/>
        <w:tabs>
          <w:tab w:leader="none" w:pos="194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29" w:lineRule="exact"/>
        <w:rPr>
          <w:rFonts w:ascii="Arial" w:cs="Arial" w:eastAsia="Arial" w:hAnsi="Arial"/>
          <w:sz w:val="18"/>
          <w:szCs w:val="18"/>
          <w:color w:val="auto"/>
        </w:rPr>
      </w:pPr>
    </w:p>
    <w:p>
      <w:pPr>
        <w:ind w:left="1" w:right="299" w:firstLine="1295"/>
        <w:spacing w:after="0" w:line="311" w:lineRule="auto"/>
        <w:tabs>
          <w:tab w:leader="none" w:pos="1945"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Ordinance</w:t>
      </w:r>
      <w:r>
        <w:rPr>
          <w:rFonts w:ascii="Arial" w:cs="Arial" w:eastAsia="Arial" w:hAnsi="Arial"/>
          <w:sz w:val="16"/>
          <w:szCs w:val="16"/>
          <w:color w:val="auto"/>
        </w:rPr>
        <w:t>” means the Israeli Income Tax Ordinance [New Version], 1961 (including as amended pursuant to Amendment 132 thereto) and to the extent not specifically indicated hereunder also the rules, regulations and orders or procedures promulgated thereunder from time to time, as amended or replaced from time to time.</w:t>
      </w:r>
    </w:p>
    <w:p>
      <w:pPr>
        <w:spacing w:after="0" w:line="108" w:lineRule="exact"/>
        <w:rPr>
          <w:rFonts w:ascii="Arial" w:cs="Arial" w:eastAsia="Arial" w:hAnsi="Arial"/>
          <w:sz w:val="16"/>
          <w:szCs w:val="16"/>
          <w:color w:val="auto"/>
        </w:rPr>
      </w:pPr>
    </w:p>
    <w:p>
      <w:pPr>
        <w:ind w:left="1" w:right="359" w:firstLine="1295"/>
        <w:spacing w:after="0" w:line="263" w:lineRule="auto"/>
        <w:tabs>
          <w:tab w:leader="none" w:pos="194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any individual appointed by the Company to serve as trustee and approved by the ITA, in accordance with the provisions of Section 102(a) of the Tax Ordinance and the regulations promulgated thereunder.</w:t>
      </w:r>
    </w:p>
    <w:p>
      <w:pPr>
        <w:spacing w:after="0" w:line="156" w:lineRule="exact"/>
        <w:rPr>
          <w:rFonts w:ascii="Arial" w:cs="Arial" w:eastAsia="Arial" w:hAnsi="Arial"/>
          <w:sz w:val="18"/>
          <w:szCs w:val="18"/>
          <w:color w:val="auto"/>
        </w:rPr>
      </w:pPr>
    </w:p>
    <w:p>
      <w:pPr>
        <w:ind w:left="1" w:right="839" w:firstLine="1295"/>
        <w:spacing w:after="0" w:line="277" w:lineRule="auto"/>
        <w:tabs>
          <w:tab w:leader="none" w:pos="194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 102 Option</w:t>
      </w:r>
      <w:r>
        <w:rPr>
          <w:rFonts w:ascii="Arial" w:cs="Arial" w:eastAsia="Arial" w:hAnsi="Arial"/>
          <w:sz w:val="18"/>
          <w:szCs w:val="18"/>
          <w:color w:val="auto"/>
        </w:rPr>
        <w:t>” means a 102 Option granted pursuant to Section 102(b) of the Tax Ordinance and held in trust by the Trustee for the benefit of an Israeli Grantee.</w:t>
      </w:r>
    </w:p>
    <w:p>
      <w:pPr>
        <w:spacing w:after="0" w:line="129" w:lineRule="exact"/>
        <w:rPr>
          <w:rFonts w:ascii="Arial" w:cs="Arial" w:eastAsia="Arial" w:hAnsi="Arial"/>
          <w:sz w:val="18"/>
          <w:szCs w:val="18"/>
          <w:color w:val="auto"/>
        </w:rPr>
      </w:pPr>
    </w:p>
    <w:p>
      <w:pPr>
        <w:ind w:left="1301" w:hanging="653"/>
        <w:spacing w:after="0"/>
        <w:tabs>
          <w:tab w:leader="none" w:pos="130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 w:right="259" w:firstLine="1295"/>
        <w:spacing w:after="0" w:line="254" w:lineRule="auto"/>
        <w:tabs>
          <w:tab w:leader="none" w:pos="1945" w:val="left"/>
        </w:tabs>
        <w:numPr>
          <w:ilvl w:val="2"/>
          <w:numId w:val="38"/>
        </w:numPr>
        <w:rPr>
          <w:rFonts w:ascii="Arial" w:cs="Arial" w:eastAsia="Arial" w:hAnsi="Arial"/>
          <w:sz w:val="18"/>
          <w:szCs w:val="18"/>
          <w:color w:val="auto"/>
        </w:rPr>
      </w:pPr>
      <w:r>
        <w:rPr>
          <w:rFonts w:ascii="Arial" w:cs="Arial" w:eastAsia="Arial" w:hAnsi="Arial"/>
          <w:sz w:val="18"/>
          <w:szCs w:val="18"/>
          <w:color w:val="auto"/>
        </w:rPr>
        <w:t>Subject to the provisions of Section 10,‎ below, the maximum aggregate number of Shares which may be issued pursuant to all Awards (including Incentive Stock Options) under the Plan is 12,475,171 Shares. Notwithstanding the foregoing, any Shares issued from and after November 10, 2014 in connection with Awards other than Options and SARs shall be counted against the limit set forth herein as one and one-half (1.5) Shares for every one (1) Share issued in connection with such Award (and shall be counted as one and one-half (1.5) Shares for every one (1) Share returned or deemed not have been issued from the Plan pursuant to Section 3(b) below in connection with Awards other than Options and SARs). The Shares to be issued pursuant to Awards may be authorized, but unissued, or reacquired Common Stock.</w:t>
      </w:r>
    </w:p>
    <w:p>
      <w:pPr>
        <w:spacing w:after="0" w:line="164" w:lineRule="exact"/>
        <w:rPr>
          <w:rFonts w:ascii="Arial" w:cs="Arial" w:eastAsia="Arial" w:hAnsi="Arial"/>
          <w:sz w:val="18"/>
          <w:szCs w:val="18"/>
          <w:color w:val="auto"/>
        </w:rPr>
      </w:pPr>
    </w:p>
    <w:p>
      <w:pPr>
        <w:ind w:left="1" w:right="239" w:firstLine="1295"/>
        <w:spacing w:after="0" w:line="287" w:lineRule="auto"/>
        <w:tabs>
          <w:tab w:leader="none" w:pos="1945" w:val="left"/>
        </w:tabs>
        <w:numPr>
          <w:ilvl w:val="2"/>
          <w:numId w:val="38"/>
        </w:numPr>
        <w:rPr>
          <w:rFonts w:ascii="Arial" w:cs="Arial" w:eastAsia="Arial" w:hAnsi="Arial"/>
          <w:sz w:val="16"/>
          <w:szCs w:val="16"/>
          <w:color w:val="auto"/>
        </w:rPr>
      </w:pPr>
      <w:r>
        <w:rPr>
          <w:rFonts w:ascii="Arial" w:cs="Arial" w:eastAsia="Arial" w:hAnsi="Arial"/>
          <w:sz w:val="16"/>
          <w:szCs w:val="16"/>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Notwithstanding anything to the contrary contained herein: (i) Shares tendered or withheld in payment of an Option exercise price shall not be returned to the Plan and shall not become available for future issuance under the Plan; (ii) Shares withheld by the Company to satisfy any tax withholding obligation shall not be returned to the Plan and shall not become available for future issuance under the Plan; and (iii) all Shares covered by the portion of an SAR that is exercised (whether or not Shares are actually issued to the Grantee upon exercise of the SAR) shall be considered issued pursuant to the Plan.</w:t>
      </w:r>
    </w:p>
    <w:p>
      <w:pPr>
        <w:spacing w:after="0" w:line="131" w:lineRule="exact"/>
        <w:rPr>
          <w:rFonts w:ascii="Arial" w:cs="Arial" w:eastAsia="Arial" w:hAnsi="Arial"/>
          <w:sz w:val="16"/>
          <w:szCs w:val="16"/>
          <w:color w:val="auto"/>
        </w:rPr>
      </w:pPr>
    </w:p>
    <w:p>
      <w:pPr>
        <w:ind w:left="1301" w:hanging="653"/>
        <w:spacing w:after="0"/>
        <w:tabs>
          <w:tab w:leader="none" w:pos="130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41" w:hanging="645"/>
        <w:spacing w:after="0"/>
        <w:tabs>
          <w:tab w:leader="none" w:pos="1941"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 w:right="499" w:firstLine="1943"/>
        <w:spacing w:after="0" w:line="291" w:lineRule="auto"/>
        <w:tabs>
          <w:tab w:leader="none" w:pos="2593" w:val="left"/>
        </w:tabs>
        <w:numPr>
          <w:ilvl w:val="3"/>
          <w:numId w:val="38"/>
        </w:numPr>
        <w:rPr>
          <w:rFonts w:ascii="Arial" w:cs="Arial" w:eastAsia="Arial" w:hAnsi="Arial"/>
          <w:sz w:val="16"/>
          <w:szCs w:val="16"/>
          <w:color w:val="auto"/>
        </w:rPr>
      </w:pPr>
      <w:r>
        <w:rPr>
          <w:rFonts w:ascii="Arial" w:cs="Arial" w:eastAsia="Arial" w:hAnsi="Arial"/>
          <w:sz w:val="16"/>
          <w:szCs w:val="16"/>
          <w:u w:val="single" w:color="auto"/>
          <w:color w:val="auto"/>
        </w:rPr>
        <w:t>Administration with Respect to Directors and Officers</w:t>
      </w:r>
      <w:r>
        <w:rPr>
          <w:rFonts w:ascii="Arial" w:cs="Arial" w:eastAsia="Arial" w:hAnsi="Arial"/>
          <w:sz w:val="16"/>
          <w:szCs w:val="16"/>
          <w:color w:val="auto"/>
        </w:rPr>
        <w:t>. With respect to grants of Awards to Directors or Employees who are also Officers or Directors of the Company, the Plan shall be administered by</w:t>
      </w:r>
    </w:p>
    <w:p>
      <w:pPr>
        <w:ind w:left="1" w:right="439" w:hanging="1"/>
        <w:spacing w:after="0" w:line="323" w:lineRule="auto"/>
        <w:tabs>
          <w:tab w:leader="none" w:pos="2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Board or (B) a Committee designated by the Board, which Committee shall be constituted in such a manner as to satisfy the Applicable Laws and to permit such grants and related transactions under the Plan to be exempt from</w:t>
      </w:r>
    </w:p>
    <w:p>
      <w:pPr>
        <w:spacing w:after="0" w:line="157" w:lineRule="exact"/>
        <w:rPr>
          <w:sz w:val="20"/>
          <w:szCs w:val="20"/>
          <w:color w:val="auto"/>
        </w:rPr>
      </w:pPr>
    </w:p>
    <w:p>
      <w:pPr>
        <w:jc w:val="center"/>
        <w:ind w:right="218"/>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56661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41"/>
          </w:cols>
          <w:pgMar w:left="1319" w:top="908" w:right="1440" w:bottom="1440" w:gutter="0" w:footer="0" w:header="0"/>
        </w:sectPr>
      </w:pPr>
    </w:p>
    <w:bookmarkStart w:id="45" w:name="page46"/>
    <w:bookmarkEnd w:id="45"/>
    <w:p>
      <w:pPr>
        <w:ind w:right="639"/>
        <w:spacing w:after="0" w:line="277" w:lineRule="auto"/>
        <w:rPr>
          <w:sz w:val="20"/>
          <w:szCs w:val="20"/>
          <w:color w:val="auto"/>
        </w:rPr>
      </w:pPr>
      <w:r>
        <w:rPr>
          <w:rFonts w:ascii="Arial" w:cs="Arial" w:eastAsia="Arial" w:hAnsi="Arial"/>
          <w:sz w:val="18"/>
          <w:szCs w:val="18"/>
          <w:color w:val="auto"/>
        </w:rPr>
        <w:t>Section 16(b) of the Exchange Act in accordance with Rule 16b-3. Once appointed, such Committee shall continue to serve in its designated capacity until otherwise directed by the Board.</w:t>
      </w:r>
    </w:p>
    <w:p>
      <w:pPr>
        <w:spacing w:after="0" w:line="130" w:lineRule="exact"/>
        <w:rPr>
          <w:sz w:val="20"/>
          <w:szCs w:val="20"/>
          <w:color w:val="auto"/>
        </w:rPr>
      </w:pPr>
    </w:p>
    <w:p>
      <w:pPr>
        <w:ind w:right="339" w:firstLine="1943"/>
        <w:spacing w:after="0" w:line="273" w:lineRule="auto"/>
        <w:tabs>
          <w:tab w:leader="none" w:pos="2592"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Administration With Respect to Consultants and Other Employees</w:t>
      </w:r>
      <w:r>
        <w:rPr>
          <w:rFonts w:ascii="Arial" w:cs="Arial" w:eastAsia="Arial" w:hAnsi="Arial"/>
          <w:sz w:val="17"/>
          <w:szCs w:val="17"/>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spacing w:after="0" w:line="150" w:lineRule="exact"/>
        <w:rPr>
          <w:rFonts w:ascii="Arial" w:cs="Arial" w:eastAsia="Arial" w:hAnsi="Arial"/>
          <w:sz w:val="17"/>
          <w:szCs w:val="17"/>
          <w:color w:val="auto"/>
        </w:rPr>
      </w:pPr>
    </w:p>
    <w:p>
      <w:pPr>
        <w:ind w:right="239" w:firstLine="1943"/>
        <w:spacing w:after="0" w:line="255" w:lineRule="auto"/>
        <w:tabs>
          <w:tab w:leader="none" w:pos="259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Covered Employees</w:t>
      </w:r>
      <w:r>
        <w:rPr>
          <w:rFonts w:ascii="Arial" w:cs="Arial" w:eastAsia="Arial" w:hAnsi="Arial"/>
          <w:sz w:val="18"/>
          <w:szCs w:val="18"/>
          <w:color w:val="auto"/>
        </w:rPr>
        <w:t>. Notwithstanding the foregoing,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spacing w:after="0" w:line="151" w:lineRule="exact"/>
        <w:rPr>
          <w:rFonts w:ascii="Arial" w:cs="Arial" w:eastAsia="Arial" w:hAnsi="Arial"/>
          <w:sz w:val="18"/>
          <w:szCs w:val="18"/>
          <w:color w:val="auto"/>
        </w:rPr>
      </w:pPr>
    </w:p>
    <w:p>
      <w:pPr>
        <w:ind w:right="259" w:firstLine="1943"/>
        <w:spacing w:after="0" w:line="275" w:lineRule="auto"/>
        <w:tabs>
          <w:tab w:leader="none" w:pos="2592"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Administration With Respect to Israeli Grantees</w:t>
      </w:r>
      <w:r>
        <w:rPr>
          <w:rFonts w:ascii="Arial" w:cs="Arial" w:eastAsia="Arial" w:hAnsi="Arial"/>
          <w:sz w:val="17"/>
          <w:szCs w:val="17"/>
          <w:color w:val="auto"/>
        </w:rPr>
        <w:t>. With respect to grants of Awards to Israeli Grantees, the Plan shall be administered by (A) the Board or (B) a Committee or one or more Officers designated by the Board, which Committee or Officers shall be constituted or appointed in such a manner as to satisfy the ITA and the Applicable Laws applicable to Awards for Israeli Grantees. Once appointed, such Committee or Officer shall continue to serve in its/his/her designated capacity until otherwise directed by the Board.</w:t>
      </w:r>
    </w:p>
    <w:p>
      <w:pPr>
        <w:spacing w:after="0" w:line="135" w:lineRule="exact"/>
        <w:rPr>
          <w:rFonts w:ascii="Arial" w:cs="Arial" w:eastAsia="Arial" w:hAnsi="Arial"/>
          <w:sz w:val="17"/>
          <w:szCs w:val="17"/>
          <w:color w:val="auto"/>
        </w:rPr>
      </w:pPr>
    </w:p>
    <w:p>
      <w:pPr>
        <w:jc w:val="both"/>
        <w:ind w:right="319" w:firstLine="1943"/>
        <w:spacing w:after="0" w:line="263" w:lineRule="auto"/>
        <w:tabs>
          <w:tab w:leader="none" w:pos="259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Administration Errors</w:t>
      </w:r>
      <w:r>
        <w:rPr>
          <w:rFonts w:ascii="Arial" w:cs="Arial" w:eastAsia="Arial" w:hAnsi="Arial"/>
          <w:sz w:val="18"/>
          <w:szCs w:val="18"/>
          <w:color w:val="auto"/>
        </w:rPr>
        <w:t>. In the event an Award is granted in a manner inconsistent with the provisions of this subsection (a), such Award shall be presumptively valid as of its grant date to the extent permitted by the Applicable Laws.</w:t>
      </w:r>
    </w:p>
    <w:p>
      <w:pPr>
        <w:spacing w:after="0" w:line="156" w:lineRule="exact"/>
        <w:rPr>
          <w:rFonts w:ascii="Arial" w:cs="Arial" w:eastAsia="Arial" w:hAnsi="Arial"/>
          <w:sz w:val="18"/>
          <w:szCs w:val="18"/>
          <w:color w:val="auto"/>
        </w:rPr>
      </w:pPr>
    </w:p>
    <w:p>
      <w:pPr>
        <w:ind w:right="579" w:firstLine="1295"/>
        <w:spacing w:after="0" w:line="263" w:lineRule="auto"/>
        <w:tabs>
          <w:tab w:leader="none" w:pos="194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43" w:lineRule="exact"/>
        <w:rPr>
          <w:rFonts w:ascii="Arial" w:cs="Arial" w:eastAsia="Arial" w:hAnsi="Arial"/>
          <w:sz w:val="18"/>
          <w:szCs w:val="18"/>
          <w:color w:val="auto"/>
        </w:rPr>
      </w:pPr>
    </w:p>
    <w:p>
      <w:pPr>
        <w:ind w:left="2600" w:hanging="657"/>
        <w:spacing w:after="0"/>
        <w:tabs>
          <w:tab w:leader="none" w:pos="2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select the Employees, Directors and Consultants to whom Awards may be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 hereunder;</w:t>
      </w:r>
    </w:p>
    <w:p>
      <w:pPr>
        <w:spacing w:after="0" w:line="170" w:lineRule="exact"/>
        <w:rPr>
          <w:rFonts w:ascii="Arial" w:cs="Arial" w:eastAsia="Arial" w:hAnsi="Arial"/>
          <w:sz w:val="16"/>
          <w:szCs w:val="16"/>
          <w:color w:val="auto"/>
        </w:rPr>
      </w:pPr>
    </w:p>
    <w:p>
      <w:pPr>
        <w:ind w:left="2600" w:hanging="657"/>
        <w:spacing w:after="0"/>
        <w:tabs>
          <w:tab w:leader="none" w:pos="2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198" w:lineRule="exact"/>
        <w:rPr>
          <w:rFonts w:ascii="Arial" w:cs="Arial" w:eastAsia="Arial" w:hAnsi="Arial"/>
          <w:sz w:val="18"/>
          <w:szCs w:val="18"/>
          <w:color w:val="auto"/>
        </w:rPr>
      </w:pPr>
    </w:p>
    <w:p>
      <w:pPr>
        <w:ind w:left="2600" w:hanging="657"/>
        <w:spacing w:after="0"/>
        <w:tabs>
          <w:tab w:leader="none" w:pos="2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determine the number of Shares or the amount of other consideration to be covered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each Award granted hereunder;</w:t>
      </w:r>
    </w:p>
    <w:p>
      <w:pPr>
        <w:spacing w:after="0" w:line="170" w:lineRule="exact"/>
        <w:rPr>
          <w:rFonts w:ascii="Arial" w:cs="Arial" w:eastAsia="Arial" w:hAnsi="Arial"/>
          <w:sz w:val="16"/>
          <w:szCs w:val="16"/>
          <w:color w:val="auto"/>
        </w:rPr>
      </w:pPr>
    </w:p>
    <w:p>
      <w:pPr>
        <w:ind w:left="2600" w:hanging="657"/>
        <w:spacing w:after="0"/>
        <w:tabs>
          <w:tab w:leader="none" w:pos="2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84" w:lineRule="exact"/>
        <w:rPr>
          <w:rFonts w:ascii="Arial" w:cs="Arial" w:eastAsia="Arial" w:hAnsi="Arial"/>
          <w:sz w:val="18"/>
          <w:szCs w:val="18"/>
          <w:color w:val="auto"/>
        </w:rPr>
      </w:pPr>
    </w:p>
    <w:p>
      <w:pPr>
        <w:ind w:left="2600" w:hanging="657"/>
        <w:spacing w:after="0"/>
        <w:tabs>
          <w:tab w:leader="none" w:pos="2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w:t>
      </w:r>
    </w:p>
    <w:p>
      <w:pPr>
        <w:spacing w:after="0" w:line="198" w:lineRule="exact"/>
        <w:rPr>
          <w:rFonts w:ascii="Arial" w:cs="Arial" w:eastAsia="Arial" w:hAnsi="Arial"/>
          <w:sz w:val="18"/>
          <w:szCs w:val="18"/>
          <w:color w:val="auto"/>
        </w:rPr>
      </w:pPr>
    </w:p>
    <w:p>
      <w:pPr>
        <w:ind w:right="219" w:firstLine="1943"/>
        <w:spacing w:after="0" w:line="287" w:lineRule="auto"/>
        <w:tabs>
          <w:tab w:leader="none" w:pos="259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amend the terms of any outstanding Award granted under the Plan, provided that (A)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(B) the reduction of the exercise price of any Option awarded under the Plan and the base appreciation amount of any SAR awarded under the Plan shall be subject to stockholder approval and (C) canceling an Option or SAR at a time when its exercise price or base appreciation amount (as applicable) exceeds the Fair Market Value of the underlying Shares, in exchange for another Option, SAR, Restricted Stock, or other Award or for cash shall be subject to stockholder approval, unless the cancellation and exchange occurs in connection with a Corporate Transaction. Notwithstanding the foregoing, canceling an Option or SAR in exchange for another Option, SAR, Restricted Stock, or other Award or for cash with an exercise price, purchase price or base appreciation amount (as applicable) that is equal to or greater than the exercise price or base appreciation amount (as applicable) of the original Option or SAR shall not be subject to stockholder approval;</w:t>
      </w:r>
    </w:p>
    <w:p>
      <w:pPr>
        <w:spacing w:after="0" w:line="127" w:lineRule="exact"/>
        <w:rPr>
          <w:rFonts w:ascii="Arial" w:cs="Arial" w:eastAsia="Arial" w:hAnsi="Arial"/>
          <w:sz w:val="16"/>
          <w:szCs w:val="16"/>
          <w:color w:val="auto"/>
        </w:rPr>
      </w:pPr>
    </w:p>
    <w:p>
      <w:pPr>
        <w:ind w:right="219" w:firstLine="1943"/>
        <w:spacing w:after="0" w:line="277" w:lineRule="auto"/>
        <w:tabs>
          <w:tab w:leader="none" w:pos="25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including without limitation, any notice of award or Award Agreement, granted pursuant to the Plan;</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424180</wp:posOffset>
            </wp:positionV>
            <wp:extent cx="566610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sectPr>
      </w:pPr>
    </w:p>
    <w:bookmarkStart w:id="46" w:name="page47"/>
    <w:bookmarkEnd w:id="46"/>
    <w:p>
      <w:pPr>
        <w:jc w:val="both"/>
        <w:ind w:right="279" w:firstLine="1943"/>
        <w:spacing w:after="0" w:line="263" w:lineRule="auto"/>
        <w:tabs>
          <w:tab w:leader="none" w:pos="25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grant Awards to Employees, Directors and Consultants employed outside the United States on such terms and conditions different from those specified in the Plan as may, in the judgment of the Administrator, be necessary or desirable to further the purpose of the Plan; and</w:t>
      </w:r>
    </w:p>
    <w:p>
      <w:pPr>
        <w:spacing w:after="0" w:line="143" w:lineRule="exact"/>
        <w:rPr>
          <w:rFonts w:ascii="Arial" w:cs="Arial" w:eastAsia="Arial" w:hAnsi="Arial"/>
          <w:sz w:val="18"/>
          <w:szCs w:val="18"/>
          <w:color w:val="auto"/>
        </w:rPr>
      </w:pPr>
    </w:p>
    <w:p>
      <w:pPr>
        <w:ind w:right="279" w:firstLine="1943"/>
        <w:spacing w:after="0" w:line="263" w:lineRule="auto"/>
        <w:tabs>
          <w:tab w:leader="none" w:pos="25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designate Awards as 102 Options (whether through a trustee or not) or 3(I) Options subject to the limitations under the ITA or any other Applicable Law and to determine the type and route of the Trustee 102 Options.</w:t>
      </w:r>
    </w:p>
    <w:p>
      <w:pPr>
        <w:spacing w:after="0" w:line="156" w:lineRule="exact"/>
        <w:rPr>
          <w:rFonts w:ascii="Arial" w:cs="Arial" w:eastAsia="Arial" w:hAnsi="Arial"/>
          <w:sz w:val="18"/>
          <w:szCs w:val="18"/>
          <w:color w:val="auto"/>
        </w:rPr>
      </w:pPr>
    </w:p>
    <w:p>
      <w:pPr>
        <w:ind w:left="2600" w:hanging="65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take such other action, not inconsistent with the terms of the Plan, as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Administrator deems appropriate.</w:t>
      </w:r>
    </w:p>
    <w:p>
      <w:pPr>
        <w:spacing w:after="0" w:line="170" w:lineRule="exact"/>
        <w:rPr>
          <w:sz w:val="20"/>
          <w:szCs w:val="20"/>
          <w:color w:val="auto"/>
        </w:rPr>
      </w:pPr>
    </w:p>
    <w:p>
      <w:pPr>
        <w:ind w:right="359"/>
        <w:spacing w:after="0" w:line="259" w:lineRule="auto"/>
        <w:rPr>
          <w:sz w:val="20"/>
          <w:szCs w:val="20"/>
          <w:color w:val="auto"/>
        </w:rPr>
      </w:pPr>
      <w:r>
        <w:rPr>
          <w:rFonts w:ascii="Arial" w:cs="Arial" w:eastAsia="Arial" w:hAnsi="Arial"/>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46" w:lineRule="exact"/>
        <w:rPr>
          <w:sz w:val="20"/>
          <w:szCs w:val="20"/>
          <w:color w:val="auto"/>
        </w:rPr>
      </w:pPr>
    </w:p>
    <w:p>
      <w:pPr>
        <w:ind w:right="259" w:firstLine="1295"/>
        <w:spacing w:after="0" w:line="286" w:lineRule="auto"/>
        <w:tabs>
          <w:tab w:leader="none" w:pos="1944"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46" w:lineRule="exact"/>
        <w:rPr>
          <w:rFonts w:ascii="Arial" w:cs="Arial" w:eastAsia="Arial" w:hAnsi="Arial"/>
          <w:sz w:val="16"/>
          <w:szCs w:val="16"/>
          <w:color w:val="auto"/>
        </w:rPr>
      </w:pPr>
    </w:p>
    <w:p>
      <w:pPr>
        <w:ind w:right="239" w:firstLine="647"/>
        <w:spacing w:after="0" w:line="273" w:lineRule="auto"/>
        <w:tabs>
          <w:tab w:leader="none" w:pos="129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 provided however that Awards to Israeli Grantees under Section 102 or Section 3(I) of the Tax Ordinance shall be subject to Section 20 below.</w:t>
      </w:r>
    </w:p>
    <w:p>
      <w:pPr>
        <w:spacing w:after="0" w:line="137" w:lineRule="exact"/>
        <w:rPr>
          <w:sz w:val="20"/>
          <w:szCs w:val="20"/>
          <w:color w:val="auto"/>
        </w:rPr>
      </w:pPr>
    </w:p>
    <w:p>
      <w:pPr>
        <w:ind w:right="239" w:firstLine="638"/>
        <w:spacing w:after="0" w:line="259" w:lineRule="auto"/>
        <w:rPr>
          <w:sz w:val="20"/>
          <w:szCs w:val="20"/>
          <w:color w:val="auto"/>
        </w:rPr>
      </w:pPr>
      <w:r>
        <w:rPr>
          <w:rFonts w:ascii="Arial" w:cs="Arial" w:eastAsia="Arial" w:hAnsi="Arial"/>
          <w:sz w:val="18"/>
          <w:szCs w:val="18"/>
          <w:color w:val="auto"/>
        </w:rPr>
        <w:t>The Company does not warrant that the Plan will be recognized by the income tax authorities in any jurisdiction or that future changes will not be made to the provisions of applicable laws or rules or regulations which are promulgated from time to time thereunder, or that any exemption or benefit currently available, whether by the ITA pursuant to Section 102 or otherwise, will not be abolished.</w:t>
      </w:r>
    </w:p>
    <w:p>
      <w:pPr>
        <w:spacing w:after="0" w:line="146" w:lineRule="exact"/>
        <w:rPr>
          <w:sz w:val="20"/>
          <w:szCs w:val="20"/>
          <w:color w:val="auto"/>
        </w:rPr>
      </w:pPr>
    </w:p>
    <w:p>
      <w:pPr>
        <w:ind w:left="1300" w:hanging="653"/>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299" w:firstLine="1295"/>
        <w:spacing w:after="0" w:line="254" w:lineRule="auto"/>
        <w:tabs>
          <w:tab w:leader="none" w:pos="194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151" w:lineRule="exact"/>
        <w:rPr>
          <w:rFonts w:ascii="Arial" w:cs="Arial" w:eastAsia="Arial" w:hAnsi="Arial"/>
          <w:sz w:val="18"/>
          <w:szCs w:val="18"/>
          <w:color w:val="auto"/>
        </w:rPr>
      </w:pPr>
    </w:p>
    <w:p>
      <w:pPr>
        <w:ind w:right="279" w:firstLine="1295"/>
        <w:spacing w:after="0" w:line="291" w:lineRule="auto"/>
        <w:tabs>
          <w:tab w:leader="none" w:pos="1944"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Designation of Award</w:t>
      </w:r>
      <w:r>
        <w:rPr>
          <w:rFonts w:ascii="Arial" w:cs="Arial" w:eastAsia="Arial" w:hAnsi="Arial"/>
          <w:sz w:val="16"/>
          <w:szCs w:val="16"/>
          <w:color w:val="auto"/>
        </w:rPr>
        <w:t>. Each Award shall be designated in the Award Agreement. In the case of an Option, the Option shall be designated as either an Incentive Stock Option or a Non-Qualified Stock Option and with respect to Israeli Grantees may be further designated as 102 Options or 3(I) Options under the Tax Ordinance subject to the qualifications described in Section 20 below.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w:t>
      </w:r>
    </w:p>
    <w:p>
      <w:pPr>
        <w:sectPr>
          <w:pgSz w:w="11900" w:h="16838" w:orient="portrait"/>
          <w:cols w:equalWidth="0" w:num="1">
            <w:col w:w="9139"/>
          </w:cols>
          <w:pgMar w:left="1320" w:top="908" w:right="1440" w:bottom="1440" w:gutter="0" w:footer="0" w:header="0"/>
        </w:sectPr>
      </w:pP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460375</wp:posOffset>
            </wp:positionV>
            <wp:extent cx="566610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5666105" cy="2603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type w:val="continuous"/>
        </w:sectPr>
      </w:pPr>
    </w:p>
    <w:bookmarkStart w:id="47" w:name="page48"/>
    <w:bookmarkEnd w:id="47"/>
    <w:p>
      <w:pPr>
        <w:ind w:left="1" w:right="279"/>
        <w:spacing w:after="0" w:line="272" w:lineRule="auto"/>
        <w:rPr>
          <w:sz w:val="20"/>
          <w:szCs w:val="20"/>
          <w:color w:val="auto"/>
        </w:rPr>
      </w:pPr>
      <w:r>
        <w:rPr>
          <w:rFonts w:ascii="Arial" w:cs="Arial" w:eastAsia="Arial" w:hAnsi="Arial"/>
          <w:sz w:val="17"/>
          <w:szCs w:val="17"/>
          <w:color w:val="auto"/>
        </w:rPr>
        <w:t>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37" w:lineRule="exact"/>
        <w:rPr>
          <w:sz w:val="20"/>
          <w:szCs w:val="20"/>
          <w:color w:val="auto"/>
        </w:rPr>
      </w:pPr>
    </w:p>
    <w:p>
      <w:pPr>
        <w:ind w:left="1" w:right="359" w:firstLine="1295"/>
        <w:spacing w:after="0" w:line="285" w:lineRule="auto"/>
        <w:tabs>
          <w:tab w:leader="none" w:pos="194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Conditions of Award</w:t>
      </w:r>
      <w:r>
        <w:rPr>
          <w:rFonts w:ascii="Arial" w:cs="Arial" w:eastAsia="Arial" w:hAnsi="Arial"/>
          <w:sz w:val="16"/>
          <w:szCs w:val="16"/>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the following: (i) increase in share price,</w:t>
      </w:r>
    </w:p>
    <w:p>
      <w:pPr>
        <w:spacing w:after="0" w:line="1" w:lineRule="exact"/>
        <w:rPr>
          <w:rFonts w:ascii="Arial" w:cs="Arial" w:eastAsia="Arial" w:hAnsi="Arial"/>
          <w:sz w:val="16"/>
          <w:szCs w:val="16"/>
          <w:color w:val="auto"/>
        </w:rPr>
      </w:pPr>
    </w:p>
    <w:p>
      <w:pPr>
        <w:ind w:left="1" w:right="399" w:hanging="1"/>
        <w:spacing w:after="0" w:line="281" w:lineRule="auto"/>
        <w:tabs>
          <w:tab w:leader="none" w:pos="2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w:t>
      </w:r>
    </w:p>
    <w:p>
      <w:pPr>
        <w:spacing w:after="0" w:line="1" w:lineRule="exact"/>
        <w:rPr>
          <w:rFonts w:ascii="Arial" w:cs="Arial" w:eastAsia="Arial" w:hAnsi="Arial"/>
          <w:sz w:val="16"/>
          <w:szCs w:val="16"/>
          <w:color w:val="auto"/>
        </w:rPr>
      </w:pPr>
    </w:p>
    <w:p>
      <w:pPr>
        <w:ind w:left="1" w:right="259" w:hanging="1"/>
        <w:spacing w:after="0" w:line="286" w:lineRule="auto"/>
        <w:tabs>
          <w:tab w:leader="none" w:pos="4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market share.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45" w:lineRule="exact"/>
        <w:rPr>
          <w:rFonts w:ascii="Arial" w:cs="Arial" w:eastAsia="Arial" w:hAnsi="Arial"/>
          <w:sz w:val="16"/>
          <w:szCs w:val="16"/>
          <w:color w:val="auto"/>
        </w:rPr>
      </w:pPr>
    </w:p>
    <w:p>
      <w:pPr>
        <w:ind w:left="1" w:right="359" w:firstLine="1295"/>
        <w:spacing w:after="0" w:line="279" w:lineRule="auto"/>
        <w:tabs>
          <w:tab w:leader="none" w:pos="1945"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Acquisitions and Other Transactions</w:t>
      </w:r>
      <w:r>
        <w:rPr>
          <w:rFonts w:ascii="Arial" w:cs="Arial" w:eastAsia="Arial" w:hAnsi="Arial"/>
          <w:sz w:val="17"/>
          <w:szCs w:val="17"/>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30" w:lineRule="exact"/>
        <w:rPr>
          <w:rFonts w:ascii="Arial" w:cs="Arial" w:eastAsia="Arial" w:hAnsi="Arial"/>
          <w:sz w:val="17"/>
          <w:szCs w:val="17"/>
          <w:color w:val="auto"/>
        </w:rPr>
      </w:pPr>
    </w:p>
    <w:p>
      <w:pPr>
        <w:ind w:left="1" w:right="379" w:firstLine="1295"/>
        <w:spacing w:after="0" w:line="272" w:lineRule="auto"/>
        <w:tabs>
          <w:tab w:leader="none" w:pos="1945"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Deferral of Award Payment</w:t>
      </w:r>
      <w:r>
        <w:rPr>
          <w:rFonts w:ascii="Arial" w:cs="Arial" w:eastAsia="Arial" w:hAnsi="Arial"/>
          <w:sz w:val="17"/>
          <w:szCs w:val="17"/>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36" w:lineRule="exact"/>
        <w:rPr>
          <w:rFonts w:ascii="Arial" w:cs="Arial" w:eastAsia="Arial" w:hAnsi="Arial"/>
          <w:sz w:val="17"/>
          <w:szCs w:val="17"/>
          <w:color w:val="auto"/>
        </w:rPr>
      </w:pPr>
    </w:p>
    <w:p>
      <w:pPr>
        <w:ind w:left="1" w:right="299" w:firstLine="1295"/>
        <w:spacing w:after="0" w:line="263" w:lineRule="auto"/>
        <w:tabs>
          <w:tab w:leader="none" w:pos="194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Separate Programs</w:t>
      </w:r>
      <w:r>
        <w:rPr>
          <w:rFonts w:ascii="Arial" w:cs="Arial" w:eastAsia="Arial" w:hAnsi="Arial"/>
          <w:sz w:val="18"/>
          <w:szCs w:val="18"/>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56" w:lineRule="exact"/>
        <w:rPr>
          <w:rFonts w:ascii="Arial" w:cs="Arial" w:eastAsia="Arial" w:hAnsi="Arial"/>
          <w:sz w:val="18"/>
          <w:szCs w:val="18"/>
          <w:color w:val="auto"/>
        </w:rPr>
      </w:pPr>
    </w:p>
    <w:p>
      <w:pPr>
        <w:ind w:left="1941" w:hanging="645"/>
        <w:spacing w:after="0"/>
        <w:tabs>
          <w:tab w:leader="none" w:pos="1941"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Individual Limitations on Awards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 w:right="259" w:firstLine="1943"/>
        <w:spacing w:after="0" w:line="269" w:lineRule="auto"/>
        <w:tabs>
          <w:tab w:leader="none" w:pos="2593" w:val="left"/>
        </w:tabs>
        <w:numPr>
          <w:ilvl w:val="2"/>
          <w:numId w:val="48"/>
        </w:numPr>
        <w:rPr>
          <w:rFonts w:ascii="Arial" w:cs="Arial" w:eastAsia="Arial" w:hAnsi="Arial"/>
          <w:sz w:val="17"/>
          <w:szCs w:val="17"/>
          <w:color w:val="auto"/>
        </w:rPr>
      </w:pPr>
      <w:r>
        <w:rPr>
          <w:rFonts w:ascii="Arial" w:cs="Arial" w:eastAsia="Arial" w:hAnsi="Arial"/>
          <w:sz w:val="17"/>
          <w:szCs w:val="17"/>
          <w:u w:val="single" w:color="auto"/>
          <w:color w:val="auto"/>
        </w:rPr>
        <w:t>Individual Limit for Options and SARs</w:t>
      </w:r>
      <w:r>
        <w:rPr>
          <w:rFonts w:ascii="Arial" w:cs="Arial" w:eastAsia="Arial" w:hAnsi="Arial"/>
          <w:sz w:val="17"/>
          <w:szCs w:val="17"/>
          <w:color w:val="auto"/>
        </w:rPr>
        <w:t>. The maximum number of Shares with respect to which Options and SARs may be granted to any Grantee in any calendar year shall be 12,475,171 Shares.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144" w:lineRule="exact"/>
        <w:rPr>
          <w:rFonts w:ascii="Arial" w:cs="Arial" w:eastAsia="Arial" w:hAnsi="Arial"/>
          <w:sz w:val="17"/>
          <w:szCs w:val="17"/>
          <w:color w:val="auto"/>
        </w:rPr>
      </w:pPr>
    </w:p>
    <w:p>
      <w:pPr>
        <w:ind w:left="1" w:right="719" w:firstLine="1943"/>
        <w:spacing w:after="0" w:line="342" w:lineRule="auto"/>
        <w:tabs>
          <w:tab w:leader="none" w:pos="2593" w:val="left"/>
        </w:tabs>
        <w:numPr>
          <w:ilvl w:val="2"/>
          <w:numId w:val="48"/>
        </w:numPr>
        <w:rPr>
          <w:rFonts w:ascii="Arial" w:cs="Arial" w:eastAsia="Arial" w:hAnsi="Arial"/>
          <w:sz w:val="16"/>
          <w:szCs w:val="16"/>
          <w:color w:val="auto"/>
        </w:rPr>
      </w:pPr>
      <w:r>
        <w:rPr>
          <w:rFonts w:ascii="Arial" w:cs="Arial" w:eastAsia="Arial" w:hAnsi="Arial"/>
          <w:sz w:val="16"/>
          <w:szCs w:val="16"/>
          <w:u w:val="single" w:color="auto"/>
          <w:color w:val="auto"/>
        </w:rPr>
        <w:t>Individual Limit for Restricted Stock and Restricted Stock Units</w:t>
      </w:r>
      <w:r>
        <w:rPr>
          <w:rFonts w:ascii="Arial" w:cs="Arial" w:eastAsia="Arial" w:hAnsi="Arial"/>
          <w:sz w:val="16"/>
          <w:szCs w:val="16"/>
          <w:color w:val="auto"/>
        </w:rPr>
        <w:t>. For awards of Restricted Stock and Restricted Stock Units that are intended to be Performance-Based Compensation, the maximum</w:t>
      </w:r>
    </w:p>
    <w:p>
      <w:pPr>
        <w:sectPr>
          <w:pgSz w:w="11900" w:h="16838" w:orient="portrait"/>
          <w:cols w:equalWidth="0" w:num="1">
            <w:col w:w="9141"/>
          </w:cols>
          <w:pgMar w:left="1319" w:top="908" w:right="1440" w:bottom="1440" w:gutter="0" w:footer="0" w:header="0"/>
        </w:sectPr>
      </w:pPr>
    </w:p>
    <w:p>
      <w:pPr>
        <w:spacing w:after="0" w:line="143" w:lineRule="exact"/>
        <w:rPr>
          <w:sz w:val="20"/>
          <w:szCs w:val="20"/>
          <w:color w:val="auto"/>
        </w:rPr>
      </w:pPr>
    </w:p>
    <w:p>
      <w:pPr>
        <w:jc w:val="center"/>
        <w:ind w:right="218"/>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460375</wp:posOffset>
            </wp:positionV>
            <wp:extent cx="566610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141"/>
          </w:cols>
          <w:pgMar w:left="1319" w:top="908" w:right="1440" w:bottom="1440" w:gutter="0" w:footer="0" w:header="0"/>
          <w:type w:val="continuous"/>
        </w:sectPr>
      </w:pPr>
    </w:p>
    <w:bookmarkStart w:id="48" w:name="page49"/>
    <w:bookmarkEnd w:id="48"/>
    <w:p>
      <w:pPr>
        <w:ind w:right="819"/>
        <w:spacing w:after="0" w:line="263" w:lineRule="auto"/>
        <w:rPr>
          <w:sz w:val="20"/>
          <w:szCs w:val="20"/>
          <w:color w:val="auto"/>
        </w:rPr>
      </w:pPr>
      <w:r>
        <w:rPr>
          <w:rFonts w:ascii="Arial" w:cs="Arial" w:eastAsia="Arial" w:hAnsi="Arial"/>
          <w:sz w:val="18"/>
          <w:szCs w:val="18"/>
          <w:color w:val="auto"/>
        </w:rPr>
        <w:t>number of Shares with respect to which such Awards may be granted to any Grantee in any calendar year shall be 12,475,171 Shares. The foregoing limitation shall be adjusted proportionately in connection with any change in the Company’s capitalization pursuant to Section 10,‎ below.</w:t>
      </w:r>
    </w:p>
    <w:p>
      <w:pPr>
        <w:spacing w:after="0" w:line="143" w:lineRule="exact"/>
        <w:rPr>
          <w:sz w:val="20"/>
          <w:szCs w:val="20"/>
          <w:color w:val="auto"/>
        </w:rPr>
      </w:pPr>
    </w:p>
    <w:p>
      <w:pPr>
        <w:ind w:right="319" w:firstLine="1943"/>
        <w:spacing w:after="0" w:line="273" w:lineRule="auto"/>
        <w:tabs>
          <w:tab w:leader="none" w:pos="2592" w:val="left"/>
        </w:tabs>
        <w:numPr>
          <w:ilvl w:val="2"/>
          <w:numId w:val="49"/>
        </w:numPr>
        <w:rPr>
          <w:rFonts w:ascii="Arial" w:cs="Arial" w:eastAsia="Arial" w:hAnsi="Arial"/>
          <w:sz w:val="17"/>
          <w:szCs w:val="17"/>
          <w:color w:val="auto"/>
        </w:rPr>
      </w:pPr>
      <w:r>
        <w:rPr>
          <w:rFonts w:ascii="Arial" w:cs="Arial" w:eastAsia="Arial" w:hAnsi="Arial"/>
          <w:sz w:val="17"/>
          <w:szCs w:val="17"/>
          <w:u w:val="single" w:color="auto"/>
          <w:color w:val="auto"/>
        </w:rPr>
        <w:t>Deferral</w:t>
      </w:r>
      <w:r>
        <w:rPr>
          <w:rFonts w:ascii="Arial" w:cs="Arial" w:eastAsia="Arial" w:hAnsi="Arial"/>
          <w:sz w:val="17"/>
          <w:szCs w:val="17"/>
          <w:color w:val="auto"/>
        </w:rPr>
        <w:t>.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150" w:lineRule="exact"/>
        <w:rPr>
          <w:rFonts w:ascii="Arial" w:cs="Arial" w:eastAsia="Arial" w:hAnsi="Arial"/>
          <w:sz w:val="17"/>
          <w:szCs w:val="17"/>
          <w:color w:val="auto"/>
        </w:rPr>
      </w:pPr>
    </w:p>
    <w:p>
      <w:pPr>
        <w:ind w:right="379" w:firstLine="1295"/>
        <w:spacing w:after="0" w:line="301" w:lineRule="auto"/>
        <w:tabs>
          <w:tab w:leader="none" w:pos="194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Early Exercise</w:t>
      </w:r>
      <w:r>
        <w:rPr>
          <w:rFonts w:ascii="Arial" w:cs="Arial" w:eastAsia="Arial" w:hAnsi="Arial"/>
          <w:sz w:val="16"/>
          <w:szCs w:val="16"/>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16" w:lineRule="exact"/>
        <w:rPr>
          <w:rFonts w:ascii="Arial" w:cs="Arial" w:eastAsia="Arial" w:hAnsi="Arial"/>
          <w:sz w:val="16"/>
          <w:szCs w:val="16"/>
          <w:color w:val="auto"/>
        </w:rPr>
      </w:pPr>
    </w:p>
    <w:p>
      <w:pPr>
        <w:ind w:right="259" w:firstLine="1295"/>
        <w:spacing w:after="0" w:line="273" w:lineRule="auto"/>
        <w:tabs>
          <w:tab w:leader="none" w:pos="1944"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Term of Award</w:t>
      </w:r>
      <w:r>
        <w:rPr>
          <w:rFonts w:ascii="Arial" w:cs="Arial" w:eastAsia="Arial" w:hAnsi="Arial"/>
          <w:sz w:val="17"/>
          <w:szCs w:val="17"/>
          <w:color w:val="auto"/>
        </w:rPr>
        <w:t>. The term of each Award shall be the term stated in the Award Agreement, provided, however, that the term of an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spacing w:after="0" w:line="137" w:lineRule="exact"/>
        <w:rPr>
          <w:rFonts w:ascii="Arial" w:cs="Arial" w:eastAsia="Arial" w:hAnsi="Arial"/>
          <w:sz w:val="17"/>
          <w:szCs w:val="17"/>
          <w:color w:val="auto"/>
        </w:rPr>
      </w:pPr>
    </w:p>
    <w:p>
      <w:pPr>
        <w:ind w:right="259" w:firstLine="1295"/>
        <w:spacing w:after="0" w:line="270" w:lineRule="auto"/>
        <w:tabs>
          <w:tab w:leader="none" w:pos="1944"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Incentive Stock Options or Options to Israeli Grantees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153" w:lineRule="exact"/>
        <w:rPr>
          <w:rFonts w:ascii="Arial" w:cs="Arial" w:eastAsia="Arial" w:hAnsi="Arial"/>
          <w:sz w:val="17"/>
          <w:szCs w:val="17"/>
          <w:color w:val="auto"/>
        </w:rPr>
      </w:pPr>
    </w:p>
    <w:p>
      <w:pPr>
        <w:ind w:right="479" w:firstLine="1295"/>
        <w:spacing w:after="0" w:line="263" w:lineRule="auto"/>
        <w:tabs>
          <w:tab w:leader="none" w:pos="194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Time of Granting Awards</w:t>
      </w:r>
      <w:r>
        <w:rPr>
          <w:rFonts w:ascii="Arial" w:cs="Arial" w:eastAsia="Arial" w:hAnsi="Arial"/>
          <w:sz w:val="18"/>
          <w:szCs w:val="18"/>
          <w:color w:val="auto"/>
        </w:rPr>
        <w:t>. The date of grant of an Award shall for all purposes be the date on which the Administrator makes the determination to grant such Award, or such other date as is determined by the Administrator.</w:t>
      </w:r>
    </w:p>
    <w:p>
      <w:pPr>
        <w:spacing w:after="0" w:line="143" w:lineRule="exact"/>
        <w:rPr>
          <w:rFonts w:ascii="Arial" w:cs="Arial" w:eastAsia="Arial" w:hAnsi="Arial"/>
          <w:sz w:val="18"/>
          <w:szCs w:val="18"/>
          <w:color w:val="auto"/>
        </w:rPr>
      </w:pPr>
    </w:p>
    <w:p>
      <w:pPr>
        <w:ind w:left="1300" w:hanging="653"/>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Award Exercise or Purchase Price, Consideration and Taxes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40" w:hanging="645"/>
        <w:spacing w:after="0"/>
        <w:tabs>
          <w:tab w:leader="none" w:pos="1940"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Exercise or Purchase Price</w:t>
      </w:r>
      <w:r>
        <w:rPr>
          <w:rFonts w:ascii="Arial" w:cs="Arial" w:eastAsia="Arial" w:hAnsi="Arial"/>
          <w:sz w:val="17"/>
          <w:szCs w:val="17"/>
          <w:color w:val="auto"/>
        </w:rPr>
        <w:t>. The exercise or purchase price, if any, for an Award shall be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83" w:lineRule="exact"/>
        <w:rPr>
          <w:rFonts w:ascii="Arial" w:cs="Arial" w:eastAsia="Arial" w:hAnsi="Arial"/>
          <w:sz w:val="17"/>
          <w:szCs w:val="17"/>
          <w:color w:val="auto"/>
        </w:rPr>
      </w:pPr>
    </w:p>
    <w:p>
      <w:pPr>
        <w:ind w:left="2600" w:hanging="657"/>
        <w:spacing w:after="0"/>
        <w:tabs>
          <w:tab w:leader="none" w:pos="26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84" w:lineRule="exact"/>
        <w:rPr>
          <w:rFonts w:ascii="Arial" w:cs="Arial" w:eastAsia="Arial" w:hAnsi="Arial"/>
          <w:sz w:val="18"/>
          <w:szCs w:val="18"/>
          <w:color w:val="auto"/>
        </w:rPr>
      </w:pPr>
    </w:p>
    <w:p>
      <w:pPr>
        <w:ind w:right="319" w:firstLine="2591"/>
        <w:spacing w:after="0" w:line="259" w:lineRule="auto"/>
        <w:tabs>
          <w:tab w:leader="none" w:pos="2916" w:val="left"/>
        </w:tabs>
        <w:numPr>
          <w:ilvl w:val="3"/>
          <w:numId w:val="51"/>
        </w:numPr>
        <w:rPr>
          <w:rFonts w:ascii="Arial" w:cs="Arial" w:eastAsia="Arial" w:hAnsi="Arial"/>
          <w:sz w:val="18"/>
          <w:szCs w:val="18"/>
          <w:color w:val="auto"/>
        </w:rPr>
      </w:pPr>
      <w:r>
        <w:rPr>
          <w:rFonts w:ascii="Arial" w:cs="Arial" w:eastAsia="Arial" w:hAnsi="Arial"/>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46" w:lineRule="exact"/>
        <w:rPr>
          <w:rFonts w:ascii="Arial" w:cs="Arial" w:eastAsia="Arial" w:hAnsi="Arial"/>
          <w:sz w:val="18"/>
          <w:szCs w:val="18"/>
          <w:color w:val="auto"/>
        </w:rPr>
      </w:pPr>
    </w:p>
    <w:p>
      <w:pPr>
        <w:ind w:right="619" w:firstLine="2591"/>
        <w:spacing w:after="0" w:line="263" w:lineRule="auto"/>
        <w:tabs>
          <w:tab w:leader="none" w:pos="2916" w:val="left"/>
        </w:tabs>
        <w:numPr>
          <w:ilvl w:val="3"/>
          <w:numId w:val="51"/>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157" w:lineRule="exact"/>
        <w:rPr>
          <w:sz w:val="20"/>
          <w:szCs w:val="20"/>
          <w:color w:val="auto"/>
        </w:rPr>
      </w:pPr>
    </w:p>
    <w:p>
      <w:pPr>
        <w:ind w:left="2600" w:hanging="657"/>
        <w:spacing w:after="0"/>
        <w:tabs>
          <w:tab w:leader="none" w:pos="2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case of a Non-Qualified Stock Option, the per Share exercise price shall be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less than one hundred percent (100%) of the Fair Market Value per Share on the date of grant.</w:t>
      </w:r>
    </w:p>
    <w:p>
      <w:pPr>
        <w:spacing w:after="0" w:line="170" w:lineRule="exact"/>
        <w:rPr>
          <w:rFonts w:ascii="Arial" w:cs="Arial" w:eastAsia="Arial" w:hAnsi="Arial"/>
          <w:sz w:val="16"/>
          <w:szCs w:val="16"/>
          <w:color w:val="auto"/>
        </w:rPr>
      </w:pPr>
    </w:p>
    <w:p>
      <w:pPr>
        <w:ind w:right="319" w:firstLine="1943"/>
        <w:spacing w:after="0" w:line="263" w:lineRule="auto"/>
        <w:tabs>
          <w:tab w:leader="none" w:pos="25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ectPr>
          <w:pgSz w:w="11900" w:h="16838" w:orient="portrait"/>
          <w:cols w:equalWidth="0" w:num="1">
            <w:col w:w="9139"/>
          </w:cols>
          <w:pgMar w:left="1320" w:top="908" w:right="1440" w:bottom="1440" w:gutter="0" w:footer="0" w:header="0"/>
        </w:sect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460375</wp:posOffset>
            </wp:positionV>
            <wp:extent cx="566610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666105" cy="2603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type w:val="continuous"/>
        </w:sectPr>
      </w:pPr>
    </w:p>
    <w:bookmarkStart w:id="49" w:name="page50"/>
    <w:bookmarkEnd w:id="49"/>
    <w:p>
      <w:pPr>
        <w:ind w:right="339" w:firstLine="1943"/>
        <w:spacing w:after="0" w:line="342" w:lineRule="auto"/>
        <w:tabs>
          <w:tab w:leader="none" w:pos="2592"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 the case of SARs (other than with respect to Israeli Grantees), the base appreciation amount shall not be less than one hundred percent (100%) of the Fair Market Value per Share on the date of grant.</w:t>
      </w:r>
    </w:p>
    <w:p>
      <w:pPr>
        <w:spacing w:after="0" w:line="83" w:lineRule="exact"/>
        <w:rPr>
          <w:rFonts w:ascii="Arial" w:cs="Arial" w:eastAsia="Arial" w:hAnsi="Arial"/>
          <w:sz w:val="16"/>
          <w:szCs w:val="16"/>
          <w:color w:val="auto"/>
        </w:rPr>
      </w:pPr>
    </w:p>
    <w:p>
      <w:pPr>
        <w:ind w:left="2600" w:hanging="657"/>
        <w:spacing w:after="0"/>
        <w:tabs>
          <w:tab w:leader="none" w:pos="26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case of other Awards, such price as is determined by the Administrator.</w:t>
      </w:r>
    </w:p>
    <w:p>
      <w:pPr>
        <w:spacing w:after="0" w:line="198" w:lineRule="exact"/>
        <w:rPr>
          <w:rFonts w:ascii="Arial" w:cs="Arial" w:eastAsia="Arial" w:hAnsi="Arial"/>
          <w:sz w:val="18"/>
          <w:szCs w:val="18"/>
          <w:color w:val="auto"/>
        </w:rPr>
      </w:pPr>
    </w:p>
    <w:p>
      <w:pPr>
        <w:ind w:right="279" w:firstLine="1943"/>
        <w:spacing w:after="0" w:line="286" w:lineRule="auto"/>
        <w:tabs>
          <w:tab w:leader="none" w:pos="2592" w:val="left"/>
        </w:tabs>
        <w:numPr>
          <w:ilvl w:val="1"/>
          <w:numId w:val="5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24" w:lineRule="exact"/>
        <w:rPr>
          <w:rFonts w:ascii="Arial" w:cs="Arial" w:eastAsia="Arial" w:hAnsi="Arial"/>
          <w:sz w:val="17"/>
          <w:szCs w:val="17"/>
          <w:color w:val="auto"/>
        </w:rPr>
      </w:pPr>
    </w:p>
    <w:p>
      <w:pPr>
        <w:ind w:right="379" w:firstLine="1295"/>
        <w:spacing w:after="0" w:line="259"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spacing w:after="0" w:line="146" w:lineRule="exact"/>
        <w:rPr>
          <w:rFonts w:ascii="Arial" w:cs="Arial" w:eastAsia="Arial" w:hAnsi="Arial"/>
          <w:sz w:val="18"/>
          <w:szCs w:val="18"/>
          <w:color w:val="auto"/>
        </w:rPr>
      </w:pPr>
    </w:p>
    <w:p>
      <w:pPr>
        <w:ind w:left="2600" w:hanging="657"/>
        <w:spacing w:after="0"/>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cash;</w:t>
      </w:r>
    </w:p>
    <w:p>
      <w:pPr>
        <w:spacing w:after="0" w:line="198" w:lineRule="exact"/>
        <w:rPr>
          <w:rFonts w:ascii="Arial" w:cs="Arial" w:eastAsia="Arial" w:hAnsi="Arial"/>
          <w:sz w:val="18"/>
          <w:szCs w:val="18"/>
          <w:color w:val="auto"/>
        </w:rPr>
      </w:pPr>
    </w:p>
    <w:p>
      <w:pPr>
        <w:ind w:left="2600" w:hanging="657"/>
        <w:spacing w:after="0"/>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check;</w:t>
      </w:r>
    </w:p>
    <w:p>
      <w:pPr>
        <w:spacing w:after="0" w:line="184" w:lineRule="exact"/>
        <w:rPr>
          <w:rFonts w:ascii="Arial" w:cs="Arial" w:eastAsia="Arial" w:hAnsi="Arial"/>
          <w:sz w:val="18"/>
          <w:szCs w:val="18"/>
          <w:color w:val="auto"/>
        </w:rPr>
      </w:pPr>
    </w:p>
    <w:p>
      <w:pPr>
        <w:jc w:val="both"/>
        <w:ind w:right="299" w:firstLine="1943"/>
        <w:spacing w:after="0" w:line="263" w:lineRule="auto"/>
        <w:tabs>
          <w:tab w:leader="none" w:pos="25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43" w:lineRule="exact"/>
        <w:rPr>
          <w:rFonts w:ascii="Arial" w:cs="Arial" w:eastAsia="Arial" w:hAnsi="Arial"/>
          <w:sz w:val="18"/>
          <w:szCs w:val="18"/>
          <w:color w:val="auto"/>
        </w:rPr>
      </w:pPr>
    </w:p>
    <w:p>
      <w:pPr>
        <w:ind w:right="219" w:firstLine="1943"/>
        <w:spacing w:after="0" w:line="296" w:lineRule="auto"/>
        <w:tabs>
          <w:tab w:leader="none" w:pos="2592" w:val="left"/>
        </w:tabs>
        <w:numPr>
          <w:ilvl w:val="1"/>
          <w:numId w:val="54"/>
        </w:numPr>
        <w:rPr>
          <w:rFonts w:ascii="Arial" w:cs="Arial" w:eastAsia="Arial" w:hAnsi="Arial"/>
          <w:sz w:val="16"/>
          <w:szCs w:val="16"/>
          <w:color w:val="auto"/>
        </w:rPr>
      </w:pPr>
      <w:r>
        <w:rPr>
          <w:rFonts w:ascii="Arial" w:cs="Arial" w:eastAsia="Arial" w:hAnsi="Arial"/>
          <w:sz w:val="16"/>
          <w:szCs w:val="16"/>
          <w:color w:val="auto"/>
        </w:rPr>
        <w:t>with respect to Options,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 or</w:t>
      </w:r>
    </w:p>
    <w:p>
      <w:pPr>
        <w:spacing w:after="0" w:line="134" w:lineRule="exact"/>
        <w:rPr>
          <w:rFonts w:ascii="Arial" w:cs="Arial" w:eastAsia="Arial" w:hAnsi="Arial"/>
          <w:sz w:val="16"/>
          <w:szCs w:val="16"/>
          <w:color w:val="auto"/>
        </w:rPr>
      </w:pPr>
    </w:p>
    <w:p>
      <w:pPr>
        <w:ind w:right="239" w:firstLine="1943"/>
        <w:spacing w:after="0" w:line="255" w:lineRule="auto"/>
        <w:tabs>
          <w:tab w:leader="none" w:pos="25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w:t>
      </w:r>
    </w:p>
    <w:p>
      <w:pPr>
        <w:spacing w:after="0" w:line="151" w:lineRule="exact"/>
        <w:rPr>
          <w:rFonts w:ascii="Arial" w:cs="Arial" w:eastAsia="Arial" w:hAnsi="Arial"/>
          <w:sz w:val="18"/>
          <w:szCs w:val="18"/>
          <w:color w:val="auto"/>
        </w:rPr>
      </w:pPr>
    </w:p>
    <w:p>
      <w:pPr>
        <w:ind w:left="2600" w:hanging="657"/>
        <w:spacing w:after="0"/>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185" w:lineRule="exact"/>
        <w:rPr>
          <w:sz w:val="20"/>
          <w:szCs w:val="20"/>
          <w:color w:val="auto"/>
        </w:rPr>
      </w:pPr>
    </w:p>
    <w:p>
      <w:pPr>
        <w:ind w:right="219"/>
        <w:spacing w:after="0" w:line="311" w:lineRule="auto"/>
        <w:rPr>
          <w:sz w:val="20"/>
          <w:szCs w:val="20"/>
          <w:color w:val="auto"/>
        </w:rPr>
      </w:pPr>
      <w:r>
        <w:rPr>
          <w:rFonts w:ascii="Arial" w:cs="Arial" w:eastAsia="Arial" w:hAnsi="Arial"/>
          <w:sz w:val="16"/>
          <w:szCs w:val="16"/>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122" w:lineRule="exact"/>
        <w:rPr>
          <w:sz w:val="20"/>
          <w:szCs w:val="20"/>
          <w:color w:val="auto"/>
        </w:rPr>
      </w:pPr>
    </w:p>
    <w:p>
      <w:pPr>
        <w:ind w:right="219" w:firstLine="1295"/>
        <w:spacing w:after="0" w:line="271" w:lineRule="auto"/>
        <w:tabs>
          <w:tab w:leader="none" w:pos="162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137" w:lineRule="exact"/>
        <w:rPr>
          <w:rFonts w:ascii="Arial" w:cs="Arial" w:eastAsia="Arial" w:hAnsi="Arial"/>
          <w:sz w:val="17"/>
          <w:szCs w:val="17"/>
          <w:color w:val="auto"/>
        </w:rPr>
      </w:pPr>
    </w:p>
    <w:p>
      <w:pPr>
        <w:ind w:left="1300" w:hanging="653"/>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Exercise of Award</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40" w:hanging="645"/>
        <w:spacing w:after="0"/>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339" w:firstLine="1943"/>
        <w:spacing w:after="0" w:line="286" w:lineRule="auto"/>
        <w:tabs>
          <w:tab w:leader="none" w:pos="2592" w:val="left"/>
        </w:tabs>
        <w:numPr>
          <w:ilvl w:val="2"/>
          <w:numId w:val="56"/>
        </w:numPr>
        <w:rPr>
          <w:rFonts w:ascii="Arial" w:cs="Arial" w:eastAsia="Arial" w:hAnsi="Arial"/>
          <w:sz w:val="17"/>
          <w:szCs w:val="17"/>
          <w:color w:val="auto"/>
        </w:rPr>
      </w:pPr>
      <w:r>
        <w:rPr>
          <w:rFonts w:ascii="Arial" w:cs="Arial" w:eastAsia="Arial" w:hAnsi="Arial"/>
          <w:sz w:val="17"/>
          <w:szCs w:val="17"/>
          <w:color w:val="auto"/>
        </w:rPr>
        <w:t>Any Award granted hereunder shall be exercisable at such times and under such conditions as determined by the Administrator under the terms of the Plan and specified in the Award Agreement provided however that the standard vesting schedule for Israeli Grantees shall be as set forth in Section 20.</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424180</wp:posOffset>
            </wp:positionV>
            <wp:extent cx="566610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sectPr>
      </w:pPr>
    </w:p>
    <w:bookmarkStart w:id="50" w:name="page51"/>
    <w:bookmarkEnd w:id="50"/>
    <w:p>
      <w:pPr>
        <w:ind w:left="-120" w:right="219" w:firstLine="1943"/>
        <w:spacing w:after="0" w:line="301" w:lineRule="auto"/>
        <w:tabs>
          <w:tab w:leader="none" w:pos="2472" w:val="left"/>
        </w:tabs>
        <w:numPr>
          <w:ilvl w:val="2"/>
          <w:numId w:val="57"/>
        </w:numPr>
        <w:rPr>
          <w:rFonts w:ascii="Arial" w:cs="Arial" w:eastAsia="Arial" w:hAnsi="Arial"/>
          <w:sz w:val="16"/>
          <w:szCs w:val="16"/>
          <w:color w:val="auto"/>
        </w:rPr>
      </w:pPr>
      <w:r>
        <w:rPr>
          <w:rFonts w:ascii="Arial" w:cs="Arial" w:eastAsia="Arial" w:hAnsi="Arial"/>
          <w:sz w:val="16"/>
          <w:szCs w:val="16"/>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w:t>
      </w:r>
    </w:p>
    <w:p>
      <w:pPr>
        <w:spacing w:after="0" w:line="116" w:lineRule="exact"/>
        <w:rPr>
          <w:rFonts w:ascii="Arial" w:cs="Arial" w:eastAsia="Arial" w:hAnsi="Arial"/>
          <w:sz w:val="16"/>
          <w:szCs w:val="16"/>
          <w:color w:val="auto"/>
        </w:rPr>
      </w:pPr>
    </w:p>
    <w:p>
      <w:pPr>
        <w:ind w:left="-120" w:right="239" w:firstLine="1295"/>
        <w:spacing w:after="0" w:line="271" w:lineRule="auto"/>
        <w:tabs>
          <w:tab w:leader="none" w:pos="1824"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Exercise of Award Following Termination of Continuous Service</w:t>
      </w:r>
      <w:r>
        <w:rPr>
          <w:rFonts w:ascii="Arial" w:cs="Arial" w:eastAsia="Arial" w:hAnsi="Arial"/>
          <w:sz w:val="17"/>
          <w:szCs w:val="17"/>
          <w:color w:val="auto"/>
        </w:rPr>
        <w:t>. In the event of termination of a Grantee’s Continuous Service for any reason other than Cause, Disability or death,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51" w:lineRule="exact"/>
        <w:rPr>
          <w:rFonts w:ascii="Arial" w:cs="Arial" w:eastAsia="Arial" w:hAnsi="Arial"/>
          <w:sz w:val="17"/>
          <w:szCs w:val="17"/>
          <w:color w:val="auto"/>
        </w:rPr>
      </w:pPr>
    </w:p>
    <w:p>
      <w:pPr>
        <w:ind w:left="-120" w:right="239" w:firstLine="1295"/>
        <w:spacing w:after="0" w:line="291" w:lineRule="auto"/>
        <w:tabs>
          <w:tab w:leader="none" w:pos="1824"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Exercise of Award Following Termination of Continuous Service for Cause</w:t>
      </w:r>
      <w:r>
        <w:rPr>
          <w:rFonts w:ascii="Arial" w:cs="Arial" w:eastAsia="Arial" w:hAnsi="Arial"/>
          <w:sz w:val="16"/>
          <w:szCs w:val="16"/>
          <w:color w:val="auto"/>
        </w:rPr>
        <w:t>. In the event of termination of a Grantee’s Continuous Service for Cause, such Grantee may, but only within fourteen (14) days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25" w:lineRule="exact"/>
        <w:rPr>
          <w:rFonts w:ascii="Arial" w:cs="Arial" w:eastAsia="Arial" w:hAnsi="Arial"/>
          <w:sz w:val="16"/>
          <w:szCs w:val="16"/>
          <w:color w:val="auto"/>
        </w:rPr>
      </w:pPr>
    </w:p>
    <w:p>
      <w:pPr>
        <w:ind w:left="-120" w:right="279" w:firstLine="1295"/>
        <w:spacing w:after="0" w:line="272" w:lineRule="auto"/>
        <w:tabs>
          <w:tab w:leader="none" w:pos="1824"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Disability of Grantee</w:t>
      </w:r>
      <w:r>
        <w:rPr>
          <w:rFonts w:ascii="Arial" w:cs="Arial" w:eastAsia="Arial" w:hAnsi="Arial"/>
          <w:sz w:val="17"/>
          <w:szCs w:val="17"/>
          <w:color w:val="auto"/>
        </w:rPr>
        <w:t>. In the event of termination of a Grantee’s Continuous Service as a result of his or her Disability,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36" w:lineRule="exact"/>
        <w:rPr>
          <w:rFonts w:ascii="Arial" w:cs="Arial" w:eastAsia="Arial" w:hAnsi="Arial"/>
          <w:sz w:val="17"/>
          <w:szCs w:val="17"/>
          <w:color w:val="auto"/>
        </w:rPr>
      </w:pPr>
    </w:p>
    <w:p>
      <w:pPr>
        <w:ind w:left="-120" w:right="259" w:firstLine="1295"/>
        <w:spacing w:after="0" w:line="269" w:lineRule="auto"/>
        <w:tabs>
          <w:tab w:leader="none" w:pos="1824"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Death of Grantee</w:t>
      </w:r>
      <w:r>
        <w:rPr>
          <w:rFonts w:ascii="Arial" w:cs="Arial" w:eastAsia="Arial" w:hAnsi="Arial"/>
          <w:sz w:val="17"/>
          <w:szCs w:val="17"/>
          <w:color w:val="auto"/>
        </w:rPr>
        <w:t>. In the event of a termination of the Grantee’s Continuous Service as a result of his or her death, or in the event of the death of the Grantee during the post-termination exercise periods following the Grantee’s termination of Continuous Service specified in this Section 8, above, the Grantee’s estate or a person who acquired the right to exercise the Award by bequest or inheritance may exercise the portion of the Grantee’s Award that was vested as of the date of termination or such other portion of the Grantee’s Award as may be determined by the Administrator, within twelve (12) months from the date of death (or such longer or shorter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58" w:lineRule="exact"/>
        <w:rPr>
          <w:rFonts w:ascii="Arial" w:cs="Arial" w:eastAsia="Arial" w:hAnsi="Arial"/>
          <w:sz w:val="17"/>
          <w:szCs w:val="17"/>
          <w:color w:val="auto"/>
        </w:rPr>
      </w:pPr>
    </w:p>
    <w:p>
      <w:pPr>
        <w:ind w:left="-120" w:right="279" w:firstLine="1295"/>
        <w:spacing w:after="0" w:line="263" w:lineRule="auto"/>
        <w:tabs>
          <w:tab w:leader="none" w:pos="18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holder of an Option shall have none of the rights of a stockholder with respect to the Shares subject to the Option until such shares are transferred to the holder (or the Trustee, if applicable) upon the exercise of the Option.</w:t>
      </w:r>
    </w:p>
    <w:p>
      <w:pPr>
        <w:spacing w:after="0" w:line="143" w:lineRule="exact"/>
        <w:rPr>
          <w:rFonts w:ascii="Arial" w:cs="Arial" w:eastAsia="Arial" w:hAnsi="Arial"/>
          <w:sz w:val="18"/>
          <w:szCs w:val="18"/>
          <w:color w:val="auto"/>
        </w:rPr>
      </w:pPr>
    </w:p>
    <w:p>
      <w:pPr>
        <w:ind w:left="1180" w:hanging="653"/>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20" w:right="239" w:firstLine="1295"/>
        <w:spacing w:after="0" w:line="255" w:lineRule="auto"/>
        <w:tabs>
          <w:tab w:leader="none" w:pos="18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 or other Applicable Laws.</w:t>
      </w:r>
    </w:p>
    <w:p>
      <w:pPr>
        <w:spacing w:after="0" w:line="165" w:lineRule="exact"/>
        <w:rPr>
          <w:rFonts w:ascii="Arial" w:cs="Arial" w:eastAsia="Arial" w:hAnsi="Arial"/>
          <w:sz w:val="18"/>
          <w:szCs w:val="18"/>
          <w:color w:val="auto"/>
        </w:rPr>
      </w:pPr>
    </w:p>
    <w:p>
      <w:pPr>
        <w:ind w:left="-120" w:right="219" w:firstLine="1295"/>
        <w:spacing w:after="0" w:line="301" w:lineRule="auto"/>
        <w:tabs>
          <w:tab w:leader="none" w:pos="18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As a condition to the exercise of an Award, the Company may require the person exercising such Award make such representations and warranties which, in the opinion of the Company, are required to ensure that such exercise, or a subsequent sale or disposition of any Shares obtained upon such exercise, does not contravene any Applicable Law, including inter alia, representations and warranties at the time of any such exercise that the Shares are</w:t>
      </w:r>
    </w:p>
    <w:p>
      <w:pPr>
        <w:sectPr>
          <w:pgSz w:w="11900" w:h="16838" w:orient="portrait"/>
          <w:cols w:equalWidth="0" w:num="1">
            <w:col w:w="9019"/>
          </w:cols>
          <w:pgMar w:left="1440" w:top="908" w:right="1440" w:bottom="1440" w:gutter="0" w:footer="0" w:header="0"/>
        </w:sectPr>
      </w:pPr>
    </w:p>
    <w:p>
      <w:pPr>
        <w:spacing w:after="0" w:line="1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438785</wp:posOffset>
            </wp:positionV>
            <wp:extent cx="566610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51" w:name="page52"/>
    <w:bookmarkEnd w:id="51"/>
    <w:p>
      <w:pPr>
        <w:ind w:right="319"/>
        <w:spacing w:after="0" w:line="277" w:lineRule="auto"/>
        <w:rPr>
          <w:sz w:val="20"/>
          <w:szCs w:val="20"/>
          <w:color w:val="auto"/>
        </w:rPr>
      </w:pPr>
      <w:r>
        <w:rPr>
          <w:rFonts w:ascii="Arial" w:cs="Arial" w:eastAsia="Arial" w:hAnsi="Arial"/>
          <w:sz w:val="18"/>
          <w:szCs w:val="18"/>
          <w:color w:val="auto"/>
        </w:rPr>
        <w:t>being purchased only for investment and without any present intention to sell or distribute such Shares if, in the opinion of counsel for the Company, such a representation is required by any Applicable Laws.</w:t>
      </w:r>
    </w:p>
    <w:p>
      <w:pPr>
        <w:spacing w:after="0" w:line="130" w:lineRule="exact"/>
        <w:rPr>
          <w:sz w:val="20"/>
          <w:szCs w:val="20"/>
          <w:color w:val="auto"/>
        </w:rPr>
      </w:pPr>
    </w:p>
    <w:p>
      <w:pPr>
        <w:ind w:right="259" w:firstLine="1295"/>
        <w:spacing w:after="0" w:line="293" w:lineRule="auto"/>
        <w:tabs>
          <w:tab w:leader="none" w:pos="1944" w:val="left"/>
        </w:tabs>
        <w:numPr>
          <w:ilvl w:val="1"/>
          <w:numId w:val="60"/>
        </w:numPr>
        <w:rPr>
          <w:rFonts w:ascii="Arial" w:cs="Arial" w:eastAsia="Arial" w:hAnsi="Arial"/>
          <w:sz w:val="16"/>
          <w:szCs w:val="16"/>
          <w:color w:val="auto"/>
        </w:rPr>
      </w:pPr>
      <w:r>
        <w:rPr>
          <w:rFonts w:ascii="Arial" w:cs="Arial" w:eastAsia="Arial" w:hAnsi="Arial"/>
          <w:sz w:val="16"/>
          <w:szCs w:val="16"/>
          <w:color w:val="auto"/>
        </w:rPr>
        <w:t>Unless otherwise set forth in an Award Agreement, Shares issued to a Grantee or the Trustee, as applicable, shall be subject to such restrictions as required by the appropriate securities’ law and in the event that the Company's shares shall be registered for trading in any public market, Grantee's rights to sell the Shares may be subject to certain limitations (including a lock-up period), as will be requested by the Company or its underwriters, and the Grantee by executing an Award Agreement unconditionally agrees and accepts any such limitations and undertakes to further execute any agreement as may be requested by the Company or its underwriters from time to time.</w:t>
      </w:r>
    </w:p>
    <w:p>
      <w:pPr>
        <w:spacing w:after="0" w:line="137" w:lineRule="exact"/>
        <w:rPr>
          <w:rFonts w:ascii="Arial" w:cs="Arial" w:eastAsia="Arial" w:hAnsi="Arial"/>
          <w:sz w:val="16"/>
          <w:szCs w:val="16"/>
          <w:color w:val="auto"/>
        </w:rPr>
      </w:pPr>
    </w:p>
    <w:p>
      <w:pPr>
        <w:ind w:right="219" w:firstLine="647"/>
        <w:spacing w:after="0" w:line="284" w:lineRule="auto"/>
        <w:tabs>
          <w:tab w:leader="none" w:pos="129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41" w:lineRule="exact"/>
        <w:rPr>
          <w:rFonts w:ascii="Arial" w:cs="Arial" w:eastAsia="Arial" w:hAnsi="Arial"/>
          <w:sz w:val="16"/>
          <w:szCs w:val="16"/>
          <w:color w:val="auto"/>
        </w:rPr>
      </w:pPr>
    </w:p>
    <w:p>
      <w:pPr>
        <w:ind w:left="1300" w:hanging="653"/>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Corporate Transactions and Changes in Control</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599" w:firstLine="1295"/>
        <w:spacing w:after="0" w:line="286" w:lineRule="auto"/>
        <w:tabs>
          <w:tab w:leader="none" w:pos="1944"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Termination of Award to Extent Not Assumed in Corporate Transaction</w:t>
      </w:r>
      <w:r>
        <w:rPr>
          <w:rFonts w:ascii="Arial" w:cs="Arial" w:eastAsia="Arial" w:hAnsi="Arial"/>
          <w:sz w:val="17"/>
          <w:szCs w:val="17"/>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42" w:lineRule="exact"/>
        <w:rPr>
          <w:rFonts w:ascii="Arial" w:cs="Arial" w:eastAsia="Arial" w:hAnsi="Arial"/>
          <w:sz w:val="17"/>
          <w:szCs w:val="17"/>
          <w:color w:val="auto"/>
        </w:rPr>
      </w:pPr>
    </w:p>
    <w:p>
      <w:pPr>
        <w:ind w:left="1940" w:hanging="645"/>
        <w:spacing w:after="0"/>
        <w:tabs>
          <w:tab w:leader="none" w:pos="1940" w:val="left"/>
        </w:tabs>
        <w:numPr>
          <w:ilvl w:val="1"/>
          <w:numId w:val="61"/>
        </w:numPr>
        <w:rPr>
          <w:rFonts w:ascii="Arial" w:cs="Arial" w:eastAsia="Arial" w:hAnsi="Arial"/>
          <w:sz w:val="22"/>
          <w:szCs w:val="22"/>
          <w:color w:val="auto"/>
        </w:rPr>
      </w:pPr>
      <w:r>
        <w:rPr>
          <w:rFonts w:ascii="Arial" w:cs="Arial" w:eastAsia="Arial" w:hAnsi="Arial"/>
          <w:sz w:val="18"/>
          <w:szCs w:val="18"/>
          <w:u w:val="single" w:color="auto"/>
          <w:color w:val="auto"/>
        </w:rPr>
        <w:t>Acceleration of Award Upon Corporate Transaction or Change in Control</w:t>
      </w:r>
      <w:r>
        <w:rPr>
          <w:rFonts w:ascii="Arial" w:cs="Arial" w:eastAsia="Arial" w:hAnsi="Arial"/>
          <w:sz w:val="18"/>
          <w:szCs w:val="18"/>
          <w:color w:val="auto"/>
        </w:rPr>
        <w:t>.</w:t>
      </w:r>
    </w:p>
    <w:p>
      <w:pPr>
        <w:spacing w:after="0" w:line="161" w:lineRule="exact"/>
        <w:rPr>
          <w:rFonts w:ascii="Arial" w:cs="Arial" w:eastAsia="Arial" w:hAnsi="Arial"/>
          <w:sz w:val="22"/>
          <w:szCs w:val="22"/>
          <w:color w:val="auto"/>
        </w:rPr>
      </w:pPr>
    </w:p>
    <w:p>
      <w:pPr>
        <w:ind w:right="999" w:firstLine="1943"/>
        <w:spacing w:after="0" w:line="277" w:lineRule="auto"/>
        <w:tabs>
          <w:tab w:leader="none" w:pos="2592"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Except as provided otherwise in an individual Award Agreement, in the event of a Corporate Transaction and:</w:t>
      </w:r>
    </w:p>
    <w:p>
      <w:pPr>
        <w:spacing w:after="0" w:line="129" w:lineRule="exact"/>
        <w:rPr>
          <w:rFonts w:ascii="Arial" w:cs="Arial" w:eastAsia="Arial" w:hAnsi="Arial"/>
          <w:sz w:val="18"/>
          <w:szCs w:val="18"/>
          <w:color w:val="auto"/>
        </w:rPr>
      </w:pPr>
    </w:p>
    <w:p>
      <w:pPr>
        <w:ind w:right="319" w:firstLine="2591"/>
        <w:spacing w:after="0" w:line="254" w:lineRule="auto"/>
        <w:tabs>
          <w:tab w:leader="none" w:pos="2916" w:val="left"/>
        </w:tabs>
        <w:numPr>
          <w:ilvl w:val="3"/>
          <w:numId w:val="61"/>
        </w:numPr>
        <w:rPr>
          <w:rFonts w:ascii="Arial" w:cs="Arial" w:eastAsia="Arial" w:hAnsi="Arial"/>
          <w:sz w:val="18"/>
          <w:szCs w:val="18"/>
          <w:color w:val="auto"/>
        </w:rPr>
      </w:pPr>
      <w:r>
        <w:rPr>
          <w:rFonts w:ascii="Arial" w:cs="Arial" w:eastAsia="Arial" w:hAnsi="Arial"/>
          <w:sz w:val="18"/>
          <w:szCs w:val="18"/>
          <w:color w:val="auto"/>
        </w:rPr>
        <w:t>for the portion of each Award that is Assumed or Replaced, then such Award (if Assumed), the replacement Award (if Replaced), or the cash incentive program (if Replaced) automatically shall become fully vested, exercisable and payable and be released from any repurchase or forfeiture rights (other than repurchase rights exercisable at Fair Market Value) for all of the Shares (or other consideration) at the time represented by such Assumed or Replaced portion of the Award, immediately upon termination of the Grantee’s Continuous Service if such Continuous Service is terminated by the successor company or the Company without Cause within twelve (12) months after the Corporate Transaction; and</w:t>
      </w:r>
    </w:p>
    <w:p>
      <w:pPr>
        <w:spacing w:after="0" w:line="167" w:lineRule="exact"/>
        <w:rPr>
          <w:rFonts w:ascii="Arial" w:cs="Arial" w:eastAsia="Arial" w:hAnsi="Arial"/>
          <w:sz w:val="18"/>
          <w:szCs w:val="18"/>
          <w:color w:val="auto"/>
        </w:rPr>
      </w:pPr>
    </w:p>
    <w:p>
      <w:pPr>
        <w:ind w:right="399" w:firstLine="2591"/>
        <w:spacing w:after="0" w:line="296" w:lineRule="auto"/>
        <w:tabs>
          <w:tab w:leader="none" w:pos="2916" w:val="left"/>
        </w:tabs>
        <w:numPr>
          <w:ilvl w:val="3"/>
          <w:numId w:val="61"/>
        </w:numPr>
        <w:rPr>
          <w:rFonts w:ascii="Arial" w:cs="Arial" w:eastAsia="Arial" w:hAnsi="Arial"/>
          <w:sz w:val="16"/>
          <w:szCs w:val="16"/>
          <w:color w:val="auto"/>
        </w:rPr>
      </w:pPr>
      <w:r>
        <w:rPr>
          <w:rFonts w:ascii="Arial" w:cs="Arial" w:eastAsia="Arial" w:hAnsi="Arial"/>
          <w:sz w:val="16"/>
          <w:szCs w:val="16"/>
          <w:color w:val="auto"/>
        </w:rPr>
        <w:t>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spacing w:after="0" w:line="120" w:lineRule="exact"/>
        <w:rPr>
          <w:rFonts w:ascii="Arial" w:cs="Arial" w:eastAsia="Arial" w:hAnsi="Arial"/>
          <w:sz w:val="16"/>
          <w:szCs w:val="16"/>
          <w:color w:val="auto"/>
        </w:rPr>
      </w:pPr>
    </w:p>
    <w:p>
      <w:pPr>
        <w:ind w:right="399" w:firstLine="1943"/>
        <w:spacing w:after="0" w:line="307" w:lineRule="auto"/>
        <w:tabs>
          <w:tab w:leader="none" w:pos="2592"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Except as provided otherwise in an individual Award Agreement, following a Change in Control (other than a Change in Control which also is a Corporate Transaction) and upon the termination of the Continuous Service of a Grantee if such Continuous Service is terminated by the Company</w:t>
      </w:r>
    </w:p>
    <w:p>
      <w:pPr>
        <w:sectPr>
          <w:pgSz w:w="11900" w:h="16838" w:orient="portrait"/>
          <w:cols w:equalWidth="0" w:num="1">
            <w:col w:w="9139"/>
          </w:cols>
          <w:pgMar w:left="1320" w:top="908" w:right="1440" w:bottom="1440" w:gutter="0" w:footer="0" w:header="0"/>
        </w:sectPr>
      </w:pP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438785</wp:posOffset>
            </wp:positionV>
            <wp:extent cx="56661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type w:val="continuous"/>
        </w:sectPr>
      </w:pPr>
    </w:p>
    <w:bookmarkStart w:id="52" w:name="page53"/>
    <w:bookmarkEnd w:id="52"/>
    <w:p>
      <w:pPr>
        <w:ind w:right="239"/>
        <w:spacing w:after="0" w:line="259" w:lineRule="auto"/>
        <w:rPr>
          <w:sz w:val="20"/>
          <w:szCs w:val="20"/>
          <w:color w:val="auto"/>
        </w:rPr>
      </w:pPr>
      <w:r>
        <w:rPr>
          <w:rFonts w:ascii="Arial" w:cs="Arial" w:eastAsia="Arial" w:hAnsi="Arial"/>
          <w:sz w:val="18"/>
          <w:szCs w:val="18"/>
          <w:color w:val="auto"/>
        </w:rPr>
        <w:t>or Related Entity without Cause within twelve (12) months after a Change in Control, each Award of such Grantee which is at the time outstanding under the Plan automatically shall become fully vested and exercisable and be released from any repurchase or forfeiture rights (other than repurchase rights exercisable at Fair Market Value), immediately upon the termination of such Continuous Service.</w:t>
      </w:r>
    </w:p>
    <w:p>
      <w:pPr>
        <w:spacing w:after="0" w:line="173" w:lineRule="exact"/>
        <w:rPr>
          <w:sz w:val="20"/>
          <w:szCs w:val="20"/>
          <w:color w:val="auto"/>
        </w:rPr>
      </w:pPr>
    </w:p>
    <w:p>
      <w:pPr>
        <w:ind w:right="479" w:firstLine="1295"/>
        <w:spacing w:after="0" w:line="241" w:lineRule="auto"/>
        <w:tabs>
          <w:tab w:leader="none" w:pos="1944" w:val="left"/>
        </w:tabs>
        <w:numPr>
          <w:ilvl w:val="1"/>
          <w:numId w:val="62"/>
        </w:numPr>
        <w:rPr>
          <w:rFonts w:ascii="Arial" w:cs="Arial" w:eastAsia="Arial" w:hAnsi="Arial"/>
          <w:sz w:val="22"/>
          <w:szCs w:val="22"/>
          <w:color w:val="auto"/>
        </w:rPr>
      </w:pPr>
      <w:r>
        <w:rPr>
          <w:rFonts w:ascii="Arial" w:cs="Arial" w:eastAsia="Arial" w:hAnsi="Arial"/>
          <w:sz w:val="18"/>
          <w:szCs w:val="18"/>
          <w:u w:val="single" w:color="auto"/>
          <w:color w:val="auto"/>
        </w:rPr>
        <w:t>Effect of Acceleration on Incentive Stock Options</w:t>
      </w:r>
      <w:r>
        <w:rPr>
          <w:rFonts w:ascii="Arial" w:cs="Arial" w:eastAsia="Arial" w:hAnsi="Arial"/>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75" w:lineRule="exact"/>
        <w:rPr>
          <w:rFonts w:ascii="Arial" w:cs="Arial" w:eastAsia="Arial" w:hAnsi="Arial"/>
          <w:sz w:val="22"/>
          <w:szCs w:val="22"/>
          <w:color w:val="auto"/>
        </w:rPr>
      </w:pPr>
    </w:p>
    <w:p>
      <w:pPr>
        <w:ind w:right="299" w:firstLine="647"/>
        <w:spacing w:after="0" w:line="259" w:lineRule="auto"/>
        <w:tabs>
          <w:tab w:leader="none" w:pos="97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upon the earlier to occur of its adoption by the Board or its approval by the stockholders of the Company. It shall continue in effect until December 31, 2028 unless sooner terminated. Subject to Section 17,‎ below, and Applicable Laws, Awards may be granted under the Plan upon its becoming effective.</w:t>
      </w:r>
    </w:p>
    <w:p>
      <w:pPr>
        <w:spacing w:after="0" w:line="146" w:lineRule="exact"/>
        <w:rPr>
          <w:rFonts w:ascii="Arial" w:cs="Arial" w:eastAsia="Arial" w:hAnsi="Arial"/>
          <w:sz w:val="18"/>
          <w:szCs w:val="18"/>
          <w:color w:val="auto"/>
        </w:rPr>
      </w:pPr>
    </w:p>
    <w:p>
      <w:pPr>
        <w:ind w:left="1300" w:hanging="653"/>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79" w:firstLine="1295"/>
        <w:spacing w:after="0" w:line="259" w:lineRule="auto"/>
        <w:tabs>
          <w:tab w:leader="none" w:pos="19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Board may at any time amend, suspend or terminate the Plan; provided, however, that no such amendment shall be made without the approval of the Company’s stockholders to the extent such approval is required by Applicable Laws, or if such amendment would lessen the stockholder approval requirements of Section 4(b)(vi) or this Section 13(a).</w:t>
      </w:r>
    </w:p>
    <w:p>
      <w:pPr>
        <w:spacing w:after="0" w:line="159" w:lineRule="exact"/>
        <w:rPr>
          <w:rFonts w:ascii="Arial" w:cs="Arial" w:eastAsia="Arial" w:hAnsi="Arial"/>
          <w:sz w:val="18"/>
          <w:szCs w:val="18"/>
          <w:color w:val="auto"/>
        </w:rPr>
      </w:pPr>
    </w:p>
    <w:p>
      <w:pPr>
        <w:ind w:left="1940" w:hanging="645"/>
        <w:spacing w:after="0"/>
        <w:tabs>
          <w:tab w:leader="none" w:pos="19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 Award may be granted during any suspension of the Plan or after termination of the Plan.</w:t>
      </w:r>
    </w:p>
    <w:p>
      <w:pPr>
        <w:spacing w:after="0" w:line="207" w:lineRule="exact"/>
        <w:rPr>
          <w:rFonts w:ascii="Arial" w:cs="Arial" w:eastAsia="Arial" w:hAnsi="Arial"/>
          <w:sz w:val="16"/>
          <w:szCs w:val="16"/>
          <w:color w:val="auto"/>
        </w:rPr>
      </w:pPr>
    </w:p>
    <w:p>
      <w:pPr>
        <w:ind w:right="459" w:firstLine="1295"/>
        <w:spacing w:after="0" w:line="277" w:lineRule="auto"/>
        <w:tabs>
          <w:tab w:leader="none" w:pos="19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suspension or termination of the Plan (including termination of the Plan under Section 11,‎ above) shall adversely affect any rights under Awards already granted to a Grantee.</w:t>
      </w:r>
    </w:p>
    <w:p>
      <w:pPr>
        <w:spacing w:after="0" w:line="129" w:lineRule="exact"/>
        <w:rPr>
          <w:rFonts w:ascii="Arial" w:cs="Arial" w:eastAsia="Arial" w:hAnsi="Arial"/>
          <w:sz w:val="18"/>
          <w:szCs w:val="18"/>
          <w:color w:val="auto"/>
        </w:rPr>
      </w:pPr>
    </w:p>
    <w:p>
      <w:pPr>
        <w:ind w:left="1300" w:hanging="653"/>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639" w:firstLine="1295"/>
        <w:spacing w:after="0" w:line="277" w:lineRule="auto"/>
        <w:tabs>
          <w:tab w:leader="none" w:pos="19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during the term of the Plan, will at all times reserve and keep available such number of Shares as shall be sufficient to satisfy the requirements of the Plan.</w:t>
      </w:r>
    </w:p>
    <w:p>
      <w:pPr>
        <w:spacing w:after="0" w:line="129" w:lineRule="exact"/>
        <w:rPr>
          <w:rFonts w:ascii="Arial" w:cs="Arial" w:eastAsia="Arial" w:hAnsi="Arial"/>
          <w:sz w:val="18"/>
          <w:szCs w:val="18"/>
          <w:color w:val="auto"/>
        </w:rPr>
      </w:pPr>
    </w:p>
    <w:p>
      <w:pPr>
        <w:ind w:right="359" w:firstLine="1295"/>
        <w:spacing w:after="0" w:line="259" w:lineRule="auto"/>
        <w:tabs>
          <w:tab w:leader="none" w:pos="19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46" w:lineRule="exact"/>
        <w:rPr>
          <w:rFonts w:ascii="Arial" w:cs="Arial" w:eastAsia="Arial" w:hAnsi="Arial"/>
          <w:sz w:val="18"/>
          <w:szCs w:val="18"/>
          <w:color w:val="auto"/>
        </w:rPr>
      </w:pPr>
    </w:p>
    <w:p>
      <w:pPr>
        <w:ind w:right="279" w:firstLine="647"/>
        <w:spacing w:after="0" w:line="273" w:lineRule="auto"/>
        <w:tabs>
          <w:tab w:leader="none" w:pos="129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 Effect on Terms of Employment/Consulting Relationship</w:t>
      </w:r>
      <w:r>
        <w:rPr>
          <w:rFonts w:ascii="Arial" w:cs="Arial" w:eastAsia="Arial" w:hAnsi="Arial"/>
          <w:sz w:val="17"/>
          <w:szCs w:val="17"/>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50" w:lineRule="exact"/>
        <w:rPr>
          <w:rFonts w:ascii="Arial" w:cs="Arial" w:eastAsia="Arial" w:hAnsi="Arial"/>
          <w:sz w:val="17"/>
          <w:szCs w:val="17"/>
          <w:color w:val="auto"/>
        </w:rPr>
      </w:pPr>
    </w:p>
    <w:p>
      <w:pPr>
        <w:ind w:right="279" w:firstLine="647"/>
        <w:spacing w:after="0" w:line="273" w:lineRule="auto"/>
        <w:tabs>
          <w:tab w:leader="none" w:pos="129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 Effect on Retirement and Other Benefit Plans</w:t>
      </w:r>
      <w:r>
        <w:rPr>
          <w:rFonts w:ascii="Arial" w:cs="Arial" w:eastAsia="Arial" w:hAnsi="Arial"/>
          <w:sz w:val="17"/>
          <w:szCs w:val="17"/>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37" w:lineRule="exact"/>
        <w:rPr>
          <w:rFonts w:ascii="Arial" w:cs="Arial" w:eastAsia="Arial" w:hAnsi="Arial"/>
          <w:sz w:val="17"/>
          <w:szCs w:val="17"/>
          <w:color w:val="auto"/>
        </w:rPr>
      </w:pPr>
    </w:p>
    <w:p>
      <w:pPr>
        <w:ind w:right="359" w:firstLine="647"/>
        <w:spacing w:after="0" w:line="271" w:lineRule="auto"/>
        <w:tabs>
          <w:tab w:leader="none" w:pos="129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grant of Incentive Stock Options under the Plan shall be subject to approval by the stockholders of the Company within twelve (12) months before or after the date the Plan is adopted excluding Incentive Stock Options issued in substitution for outstanding Incentive Stock Options pursuant to Section 424(a) of the Code. Such stockholder approval shall be obtained in the degree and manner required under Applicable Laws. The Administrator may grant Incentive Stock Options under the Plan prior to approval by the stockholders, but until such approval is obtained, no such Incentive Stock Option shall be exercisable. In the event that stockholder approval is not obtained within the twelve (12) month period provided above, all Incentive Stock Options previously granted under the Plan shall be exercisable as Non-Qualified Stock Options.</w:t>
      </w:r>
    </w:p>
    <w:p>
      <w:pPr>
        <w:sectPr>
          <w:pgSz w:w="11900" w:h="16838" w:orient="portrait"/>
          <w:cols w:equalWidth="0" w:num="1">
            <w:col w:w="9139"/>
          </w:cols>
          <w:pgMar w:left="1320" w:top="908" w:right="1440" w:bottom="1440" w:gutter="0" w:footer="0" w:header="0"/>
        </w:sectPr>
      </w:pP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438785</wp:posOffset>
            </wp:positionV>
            <wp:extent cx="566610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666105" cy="2603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type w:val="continuous"/>
        </w:sectPr>
      </w:pPr>
    </w:p>
    <w:bookmarkStart w:id="53" w:name="page54"/>
    <w:bookmarkEnd w:id="53"/>
    <w:p>
      <w:pPr>
        <w:ind w:right="239" w:firstLine="647"/>
        <w:spacing w:after="0" w:line="287" w:lineRule="auto"/>
        <w:tabs>
          <w:tab w:leader="none" w:pos="129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Unfunded Obligation</w:t>
      </w:r>
      <w:r>
        <w:rPr>
          <w:rFonts w:ascii="Arial" w:cs="Arial" w:eastAsia="Arial" w:hAnsi="Arial"/>
          <w:sz w:val="16"/>
          <w:szCs w:val="16"/>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31" w:lineRule="exact"/>
        <w:rPr>
          <w:rFonts w:ascii="Arial" w:cs="Arial" w:eastAsia="Arial" w:hAnsi="Arial"/>
          <w:sz w:val="16"/>
          <w:szCs w:val="16"/>
          <w:color w:val="auto"/>
        </w:rPr>
      </w:pPr>
    </w:p>
    <w:p>
      <w:pPr>
        <w:ind w:right="359" w:firstLine="647"/>
        <w:spacing w:after="0" w:line="259" w:lineRule="auto"/>
        <w:tabs>
          <w:tab w:leader="none" w:pos="129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59" w:lineRule="exact"/>
        <w:rPr>
          <w:rFonts w:ascii="Arial" w:cs="Arial" w:eastAsia="Arial" w:hAnsi="Arial"/>
          <w:sz w:val="18"/>
          <w:szCs w:val="18"/>
          <w:color w:val="auto"/>
        </w:rPr>
      </w:pPr>
    </w:p>
    <w:p>
      <w:pPr>
        <w:jc w:val="both"/>
        <w:ind w:right="279" w:firstLine="647"/>
        <w:spacing w:after="0" w:line="257" w:lineRule="auto"/>
        <w:tabs>
          <w:tab w:leader="none" w:pos="129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Israeli Grantees</w:t>
      </w:r>
      <w:r>
        <w:rPr>
          <w:rFonts w:ascii="Arial" w:cs="Arial" w:eastAsia="Arial" w:hAnsi="Arial"/>
          <w:sz w:val="18"/>
          <w:szCs w:val="18"/>
          <w:color w:val="auto"/>
        </w:rPr>
        <w:t>. This Section shall apply only to Israeli Grantees and is intended to enable the Company to grant Awards under the Plan pursuant and subject to Section 102 and Section 3(I) of the Tax Ordinance. Accordingly, the Plan is designated to comply with the Tax Ordinance and the rules, regulations and orders or procedures promulgated thereunder from time to time, as amended or replaced from time to time and shall be submitted to the ITA as required thereunder.</w:t>
      </w:r>
    </w:p>
    <w:p>
      <w:pPr>
        <w:spacing w:after="0" w:line="147" w:lineRule="exact"/>
        <w:rPr>
          <w:sz w:val="20"/>
          <w:szCs w:val="20"/>
          <w:color w:val="auto"/>
        </w:rPr>
      </w:pPr>
    </w:p>
    <w:p>
      <w:pPr>
        <w:jc w:val="both"/>
        <w:ind w:right="219"/>
        <w:spacing w:after="0" w:line="263" w:lineRule="auto"/>
        <w:rPr>
          <w:sz w:val="20"/>
          <w:szCs w:val="20"/>
          <w:color w:val="auto"/>
        </w:rPr>
      </w:pPr>
      <w:r>
        <w:rPr>
          <w:rFonts w:ascii="Arial" w:cs="Arial" w:eastAsia="Arial" w:hAnsi="Arial"/>
          <w:sz w:val="18"/>
          <w:szCs w:val="18"/>
          <w:color w:val="auto"/>
        </w:rPr>
        <w:t>In any case of contradiction, whether explicit or implied, between the provisions of this Section and the Plan, the provisions set out in this Section shall prevail unless the Administrator decides otherwise to ensure compliance with the Tax Ordinance and other Applicable Laws.</w:t>
      </w:r>
    </w:p>
    <w:p>
      <w:pPr>
        <w:spacing w:after="0" w:line="143" w:lineRule="exact"/>
        <w:rPr>
          <w:sz w:val="20"/>
          <w:szCs w:val="20"/>
          <w:color w:val="auto"/>
        </w:rPr>
      </w:pPr>
    </w:p>
    <w:p>
      <w:pPr>
        <w:ind w:right="259" w:firstLine="1295"/>
        <w:spacing w:after="0" w:line="259" w:lineRule="auto"/>
        <w:tabs>
          <w:tab w:leader="none" w:pos="194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102 Options may be granted only to Israeli Employees. Non-Employees may only be granted 3(I) Options. The grant of an Award hereunder shall neither entitle the Grantee to participate nor disqualify the Israeli Grantee from participating in, any other grant of Awards pursuant to the Plan or any other option or stock plan of the Company or any Related Company.</w:t>
      </w:r>
    </w:p>
    <w:p>
      <w:pPr>
        <w:spacing w:after="0" w:line="159" w:lineRule="exact"/>
        <w:rPr>
          <w:rFonts w:ascii="Arial" w:cs="Arial" w:eastAsia="Arial" w:hAnsi="Arial"/>
          <w:sz w:val="18"/>
          <w:szCs w:val="18"/>
          <w:color w:val="auto"/>
        </w:rPr>
      </w:pPr>
    </w:p>
    <w:p>
      <w:pPr>
        <w:ind w:left="1940" w:hanging="645"/>
        <w:spacing w:after="0"/>
        <w:tabs>
          <w:tab w:leader="none" w:pos="19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Grant of Awards in Trust</w:t>
      </w:r>
    </w:p>
    <w:p>
      <w:pPr>
        <w:spacing w:after="0" w:line="184" w:lineRule="exact"/>
        <w:rPr>
          <w:rFonts w:ascii="Arial" w:cs="Arial" w:eastAsia="Arial" w:hAnsi="Arial"/>
          <w:sz w:val="18"/>
          <w:szCs w:val="18"/>
          <w:color w:val="auto"/>
        </w:rPr>
      </w:pPr>
    </w:p>
    <w:p>
      <w:pPr>
        <w:ind w:left="2600" w:hanging="65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Grants Made Under Section 102</w:t>
      </w:r>
      <w:r>
        <w:rPr>
          <w:rFonts w:ascii="Arial" w:cs="Arial" w:eastAsia="Arial" w:hAnsi="Arial"/>
          <w:sz w:val="18"/>
          <w:szCs w:val="18"/>
          <w:color w:val="auto"/>
        </w:rPr>
        <w:t>.</w:t>
      </w:r>
    </w:p>
    <w:p>
      <w:pPr>
        <w:spacing w:after="0" w:line="185" w:lineRule="exact"/>
        <w:rPr>
          <w:sz w:val="20"/>
          <w:szCs w:val="20"/>
          <w:color w:val="auto"/>
        </w:rPr>
      </w:pPr>
    </w:p>
    <w:p>
      <w:pPr>
        <w:jc w:val="both"/>
        <w:ind w:right="299" w:firstLine="2635"/>
        <w:spacing w:after="0" w:line="286" w:lineRule="auto"/>
        <w:rPr>
          <w:sz w:val="20"/>
          <w:szCs w:val="20"/>
          <w:color w:val="auto"/>
        </w:rPr>
      </w:pPr>
      <w:r>
        <w:rPr>
          <w:rFonts w:ascii="Arial" w:cs="Arial" w:eastAsia="Arial" w:hAnsi="Arial"/>
          <w:sz w:val="17"/>
          <w:szCs w:val="17"/>
          <w:color w:val="auto"/>
        </w:rPr>
        <w:t>The Company may designate 102 Options as Trustee 102 Options or Non-Trustee 102 Options. The designation of Non-Trustee 102 Options and Trustee 102 Options shall be subject to the terms and conditions set forth in Section 102 of the Tax Ordinance and the regulations promulgated thereunder.</w:t>
      </w:r>
    </w:p>
    <w:p>
      <w:pPr>
        <w:spacing w:after="0" w:line="138" w:lineRule="exact"/>
        <w:rPr>
          <w:sz w:val="20"/>
          <w:szCs w:val="20"/>
          <w:color w:val="auto"/>
        </w:rPr>
      </w:pPr>
    </w:p>
    <w:p>
      <w:pPr>
        <w:ind w:left="2600" w:hanging="657"/>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Grant of Trustee 102 Options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79" w:firstLine="2591"/>
        <w:spacing w:after="0" w:line="291" w:lineRule="auto"/>
        <w:tabs>
          <w:tab w:leader="none" w:pos="2843"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grant of the Trustee 102 Options shall be made under the Plan and shall be conditional upon the approval of the Plan by the ITA. Trustee 102 Options may be granted at any time after the passage of thirty (30) days following the delivery by the Company to the ITA of a notice pertaining to the appointment of the Trustee and the adoption of the Plan, unless otherwise determined by the ITA. Options which shall be granted pursuant to Section 102 and/or any Shares issued upon exercise of such Options and/or other shares received subsequently following any realization of rights, shall be issued to the Trustee. Each Israeli Grantee in respect of whom a Trustee 102 Option is granted and held in trust by the Trustee shall be referred to as a “beneficial optionee” hereunder.</w:t>
      </w:r>
    </w:p>
    <w:p>
      <w:pPr>
        <w:spacing w:after="0" w:line="125" w:lineRule="exact"/>
        <w:rPr>
          <w:rFonts w:ascii="Arial" w:cs="Arial" w:eastAsia="Arial" w:hAnsi="Arial"/>
          <w:sz w:val="16"/>
          <w:szCs w:val="16"/>
          <w:color w:val="auto"/>
        </w:rPr>
      </w:pPr>
    </w:p>
    <w:p>
      <w:pPr>
        <w:ind w:left="2840" w:hanging="249"/>
        <w:spacing w:after="0"/>
        <w:tabs>
          <w:tab w:leader="none" w:pos="2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Trustee 102 Option(s) may either be classified as Capital Gain Option(s) or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Ordinary Income Option(s):</w:t>
      </w:r>
    </w:p>
    <w:p>
      <w:pPr>
        <w:spacing w:after="0" w:line="183" w:lineRule="exact"/>
        <w:rPr>
          <w:rFonts w:ascii="Arial" w:cs="Arial" w:eastAsia="Arial" w:hAnsi="Arial"/>
          <w:sz w:val="18"/>
          <w:szCs w:val="18"/>
          <w:color w:val="auto"/>
        </w:rPr>
      </w:pPr>
    </w:p>
    <w:p>
      <w:pPr>
        <w:ind w:right="579" w:firstLine="3060"/>
        <w:spacing w:after="0" w:line="263" w:lineRule="auto"/>
        <w:tabs>
          <w:tab w:leader="none" w:pos="3888" w:val="left"/>
        </w:tabs>
        <w:numPr>
          <w:ilvl w:val="2"/>
          <w:numId w:val="66"/>
        </w:numPr>
        <w:rPr>
          <w:rFonts w:ascii="Arial" w:cs="Arial" w:eastAsia="Arial" w:hAnsi="Arial"/>
          <w:sz w:val="18"/>
          <w:szCs w:val="18"/>
          <w:color w:val="auto"/>
        </w:rPr>
      </w:pPr>
      <w:r>
        <w:rPr>
          <w:rFonts w:ascii="Arial" w:cs="Arial" w:eastAsia="Arial" w:hAnsi="Arial"/>
          <w:sz w:val="18"/>
          <w:szCs w:val="18"/>
          <w:color w:val="auto"/>
        </w:rPr>
        <w:t>Trustee 102 Option(s) elected and designated by the Company to qualify under the capital gain tax treatment in accordance with the provisions of Section 102(b)(2) shall be referred to herein as “Capital Gain Option(s)” or “CGO”.</w:t>
      </w:r>
    </w:p>
    <w:p>
      <w:pPr>
        <w:spacing w:after="0" w:line="143" w:lineRule="exact"/>
        <w:rPr>
          <w:rFonts w:ascii="Arial" w:cs="Arial" w:eastAsia="Arial" w:hAnsi="Arial"/>
          <w:sz w:val="18"/>
          <w:szCs w:val="18"/>
          <w:color w:val="auto"/>
        </w:rPr>
      </w:pPr>
    </w:p>
    <w:p>
      <w:pPr>
        <w:ind w:left="3880" w:hanging="820"/>
        <w:spacing w:after="0"/>
        <w:tabs>
          <w:tab w:leader="none" w:pos="3880" w:val="left"/>
        </w:tabs>
        <w:numPr>
          <w:ilvl w:val="2"/>
          <w:numId w:val="66"/>
        </w:numPr>
        <w:rPr>
          <w:rFonts w:ascii="Arial" w:cs="Arial" w:eastAsia="Arial" w:hAnsi="Arial"/>
          <w:sz w:val="17"/>
          <w:szCs w:val="17"/>
          <w:color w:val="auto"/>
        </w:rPr>
      </w:pPr>
      <w:r>
        <w:rPr>
          <w:rFonts w:ascii="Arial" w:cs="Arial" w:eastAsia="Arial" w:hAnsi="Arial"/>
          <w:sz w:val="17"/>
          <w:szCs w:val="17"/>
          <w:color w:val="auto"/>
        </w:rPr>
        <w:t>Trustee 102 Option(s) elected and designated by the Company to</w:t>
      </w:r>
    </w:p>
    <w:p>
      <w:pPr>
        <w:spacing w:after="0" w:line="34" w:lineRule="exact"/>
        <w:rPr>
          <w:rFonts w:ascii="Arial" w:cs="Arial" w:eastAsia="Arial" w:hAnsi="Arial"/>
          <w:sz w:val="17"/>
          <w:szCs w:val="17"/>
          <w:color w:val="auto"/>
        </w:rPr>
      </w:pPr>
    </w:p>
    <w:p>
      <w:pPr>
        <w:ind w:right="319"/>
        <w:spacing w:after="0" w:line="260" w:lineRule="auto"/>
        <w:rPr>
          <w:rFonts w:ascii="Arial" w:cs="Arial" w:eastAsia="Arial" w:hAnsi="Arial"/>
          <w:sz w:val="17"/>
          <w:szCs w:val="17"/>
          <w:color w:val="auto"/>
        </w:rPr>
      </w:pPr>
      <w:r>
        <w:rPr>
          <w:rFonts w:ascii="Arial" w:cs="Arial" w:eastAsia="Arial" w:hAnsi="Arial"/>
          <w:sz w:val="18"/>
          <w:szCs w:val="18"/>
          <w:color w:val="auto"/>
        </w:rPr>
        <w:t>qualify under the ordinary income tax treatment in accordance with the provisions of Section 102(b)(1) shall be referred to herein as “Ordinary Income Option(s)” or “OIO”.</w:t>
      </w:r>
    </w:p>
    <w:p>
      <w:pPr>
        <w:sectPr>
          <w:pgSz w:w="11900" w:h="16838" w:orient="portrait"/>
          <w:cols w:equalWidth="0" w:num="1">
            <w:col w:w="9139"/>
          </w:cols>
          <w:pgMar w:left="1320" w:top="908" w:right="1440" w:bottom="1440" w:gutter="0" w:footer="0" w:header="0"/>
        </w:sect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438785</wp:posOffset>
            </wp:positionV>
            <wp:extent cx="566610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666105" cy="2603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type w:val="continuous"/>
        </w:sectPr>
      </w:pPr>
    </w:p>
    <w:bookmarkStart w:id="54" w:name="page55"/>
    <w:bookmarkEnd w:id="54"/>
    <w:p>
      <w:pPr>
        <w:ind w:right="259" w:firstLine="2591"/>
        <w:spacing w:after="0" w:line="290" w:lineRule="auto"/>
        <w:tabs>
          <w:tab w:leader="none" w:pos="2843"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Company’s election of the type of Trustee 102 Options as CGO or OIO granted to Employees (the “Election”) shall be appropriately filed with the ITA 30 days before the date of grant of a Trustee 102 Option, unless otherwise determined by the ITA. Such Election shall become effective beginning the first date of grant of a Trustee 102 Option under this Plan and shall remain in effect until the end of the year following the year during which the Company first granted Trustee 102 Options. The Election shall obligate the Company to grant only the type of Trustee 102 Option it has elected, and shall apply to all Israeli Grantees who were granted Trustee 102 Options during the period indicated herein or therein, all in accordance with the provisions of Section 102(g) of the Tax Ordinance. Notwithstanding, such Election shall not prevent the Company from granting Non-Trustee 102 Options simultaneously.</w:t>
      </w:r>
    </w:p>
    <w:p>
      <w:pPr>
        <w:spacing w:after="0" w:line="124" w:lineRule="exact"/>
        <w:rPr>
          <w:rFonts w:ascii="Arial" w:cs="Arial" w:eastAsia="Arial" w:hAnsi="Arial"/>
          <w:sz w:val="16"/>
          <w:szCs w:val="16"/>
          <w:color w:val="auto"/>
        </w:rPr>
      </w:pPr>
    </w:p>
    <w:p>
      <w:pPr>
        <w:ind w:left="2840" w:hanging="249"/>
        <w:spacing w:after="0"/>
        <w:tabs>
          <w:tab w:leader="none" w:pos="28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Trustee 102 Options must be held in trust by and issued on the name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Trustee, as described below.</w:t>
      </w:r>
    </w:p>
    <w:p>
      <w:pPr>
        <w:spacing w:after="0" w:line="183" w:lineRule="exact"/>
        <w:rPr>
          <w:rFonts w:ascii="Arial" w:cs="Arial" w:eastAsia="Arial" w:hAnsi="Arial"/>
          <w:sz w:val="17"/>
          <w:szCs w:val="17"/>
          <w:color w:val="auto"/>
        </w:rPr>
      </w:pPr>
    </w:p>
    <w:p>
      <w:pPr>
        <w:ind w:right="379" w:firstLine="2591"/>
        <w:spacing w:after="0" w:line="255" w:lineRule="auto"/>
        <w:tabs>
          <w:tab w:leader="none" w:pos="284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With respect to Trustee 102 Options, the provisions of the Plan and/or an Award Agreement shall be subject to the provisions of Section 102 and the ITA’s permit, and the said provisions and permit shall be deemed an integral part of this Section and of the Award Agreement for the respective Grantees thereof. Any provision of Section 102 and/or the said permit which is necessary in order to receive and/or to keep any tax benefit pursuant to Section 102, which is not expressly specified in the Plan or the Award Agreement, shall be considered binding upon the Company and the Israeli Grantee.</w:t>
      </w:r>
    </w:p>
    <w:p>
      <w:pPr>
        <w:spacing w:after="0" w:line="151" w:lineRule="exact"/>
        <w:rPr>
          <w:rFonts w:ascii="Arial" w:cs="Arial" w:eastAsia="Arial" w:hAnsi="Arial"/>
          <w:sz w:val="18"/>
          <w:szCs w:val="18"/>
          <w:color w:val="auto"/>
        </w:rPr>
      </w:pPr>
    </w:p>
    <w:p>
      <w:pPr>
        <w:ind w:left="2600" w:hanging="657"/>
        <w:spacing w:after="0"/>
        <w:tabs>
          <w:tab w:leader="none" w:pos="26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Issuance to Trustee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79" w:firstLine="2591"/>
        <w:spacing w:after="0" w:line="270" w:lineRule="auto"/>
        <w:tabs>
          <w:tab w:leader="none" w:pos="2837"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Trustee 102 Options granted under the Plan and/or any Shares allocated or issued upon exercise of such Trustee 102 Options and/or other and all rights deriving from or in connection therewith, including, without limitation, in accordance with Section 10 above or any bonus shares or stock dividends issued in connection therewith shall be granted by the Company to the Trustee, and the Trustee shall hold each such Trustee 102 Option and the Shares issued upon exercise thereof in trust for such period of time as required by Section 102 or any regulations, rules or orders or procedures promulgated thereunder (the “Holding Period”), for the benefit of the Grantees in respect of whom such Trustee 102 Option was granted. All certificates representing Shares issued to the Trustee under the Plan shall be deposited with the Trustee, and shall be held by the Trustee until such time that such Shares are released from the Trust as herein provided.</w:t>
      </w:r>
    </w:p>
    <w:p>
      <w:pPr>
        <w:spacing w:after="0" w:line="153" w:lineRule="exact"/>
        <w:rPr>
          <w:rFonts w:ascii="Arial" w:cs="Arial" w:eastAsia="Arial" w:hAnsi="Arial"/>
          <w:sz w:val="17"/>
          <w:szCs w:val="17"/>
          <w:color w:val="auto"/>
        </w:rPr>
      </w:pPr>
    </w:p>
    <w:p>
      <w:pPr>
        <w:ind w:right="259" w:firstLine="2591"/>
        <w:spacing w:after="0" w:line="263" w:lineRule="auto"/>
        <w:tabs>
          <w:tab w:leader="none" w:pos="28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event the requirements for Trustee 102 Options are not met for any reason whatsoever, then the Trustee 102 Options may be treated as Non-Trustee 102 Options, all in accordance with the provisions of Section 102 and regulations promulgated thereunder.</w:t>
      </w:r>
    </w:p>
    <w:p>
      <w:pPr>
        <w:spacing w:after="0" w:line="143" w:lineRule="exact"/>
        <w:rPr>
          <w:rFonts w:ascii="Arial" w:cs="Arial" w:eastAsia="Arial" w:hAnsi="Arial"/>
          <w:sz w:val="18"/>
          <w:szCs w:val="18"/>
          <w:color w:val="auto"/>
        </w:rPr>
      </w:pPr>
    </w:p>
    <w:p>
      <w:pPr>
        <w:ind w:right="219" w:firstLine="2591"/>
        <w:spacing w:after="0" w:line="270" w:lineRule="auto"/>
        <w:tabs>
          <w:tab w:leader="none" w:pos="2843" w:val="left"/>
        </w:tabs>
        <w:numPr>
          <w:ilvl w:val="1"/>
          <w:numId w:val="68"/>
        </w:numPr>
        <w:rPr>
          <w:rFonts w:ascii="Arial" w:cs="Arial" w:eastAsia="Arial" w:hAnsi="Arial"/>
          <w:sz w:val="17"/>
          <w:szCs w:val="17"/>
          <w:color w:val="auto"/>
        </w:rPr>
      </w:pPr>
      <w:r>
        <w:rPr>
          <w:rFonts w:ascii="Arial" w:cs="Arial" w:eastAsia="Arial" w:hAnsi="Arial"/>
          <w:sz w:val="17"/>
          <w:szCs w:val="17"/>
          <w:color w:val="auto"/>
        </w:rPr>
        <w:t>With respect to any Trustee 102 Option, subject to the provisions of Section 102 and any rules or regulations or orders or procedures promulgated thereunder, an Israeli Grantee shall not be entitled to sell or release from Trust the Trustee 102 Option, the Shares received upon the exercise of such Option and/or any right deriving from or in connection therewith, including, without limitation, in accordance with Section 10 above or any bonus shares or stock dividends issued in connection therewith, until the later of: (i) the lapse of the Holding Period required under Section 102, and (ii) the vesting of such Options set forth in the respective Award Agreement (such later date being hereinafter referred to as the “Release Date”). Notwithstanding the foregoing, if such sale or release occurs during the Holding period, the provisions of Section 102 and the rules or regulations promulgated thereunder shall apply and any expenses and/or tax consequences therefrom shall be borne by the Israeli Grantee.</w:t>
      </w:r>
    </w:p>
    <w:p>
      <w:pPr>
        <w:spacing w:after="0" w:line="140" w:lineRule="exact"/>
        <w:rPr>
          <w:rFonts w:ascii="Arial" w:cs="Arial" w:eastAsia="Arial" w:hAnsi="Arial"/>
          <w:sz w:val="17"/>
          <w:szCs w:val="17"/>
          <w:color w:val="auto"/>
        </w:rPr>
      </w:pPr>
    </w:p>
    <w:p>
      <w:pPr>
        <w:ind w:right="419" w:firstLine="2591"/>
        <w:spacing w:after="0" w:line="277" w:lineRule="auto"/>
        <w:tabs>
          <w:tab w:leader="none" w:pos="28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the terms hereof, at any time after the Release Date with respect to any Trustee 102 Options or Shares the following shall apply:</w:t>
      </w:r>
    </w:p>
    <w:p>
      <w:pPr>
        <w:spacing w:after="0" w:line="143" w:lineRule="exact"/>
        <w:rPr>
          <w:rFonts w:ascii="Arial" w:cs="Arial" w:eastAsia="Arial" w:hAnsi="Arial"/>
          <w:sz w:val="18"/>
          <w:szCs w:val="18"/>
          <w:color w:val="auto"/>
        </w:rPr>
      </w:pPr>
    </w:p>
    <w:p>
      <w:pPr>
        <w:ind w:left="3880" w:hanging="820"/>
        <w:spacing w:after="0"/>
        <w:tabs>
          <w:tab w:leader="none" w:pos="38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Trustee 102 Options granted, and/or Shares or rights issued to the</w:t>
      </w:r>
    </w:p>
    <w:p>
      <w:pPr>
        <w:spacing w:after="0" w:line="34" w:lineRule="exact"/>
        <w:rPr>
          <w:rFonts w:ascii="Arial" w:cs="Arial" w:eastAsia="Arial" w:hAnsi="Arial"/>
          <w:sz w:val="17"/>
          <w:szCs w:val="17"/>
          <w:color w:val="auto"/>
        </w:rPr>
      </w:pPr>
    </w:p>
    <w:p>
      <w:pPr>
        <w:ind w:right="239"/>
        <w:spacing w:after="0" w:line="288" w:lineRule="auto"/>
        <w:rPr>
          <w:rFonts w:ascii="Arial" w:cs="Arial" w:eastAsia="Arial" w:hAnsi="Arial"/>
          <w:sz w:val="17"/>
          <w:szCs w:val="17"/>
          <w:color w:val="auto"/>
        </w:rPr>
      </w:pPr>
      <w:r>
        <w:rPr>
          <w:rFonts w:ascii="Arial" w:cs="Arial" w:eastAsia="Arial" w:hAnsi="Arial"/>
          <w:sz w:val="16"/>
          <w:szCs w:val="16"/>
          <w:color w:val="auto"/>
        </w:rPr>
        <w:t>Trustee shall continue to be held by the Trustee, on behalf of the beneficial optionee. From and after the Release Date, upon the written request of any beneficial optionee, the Trustee shall release from the Trust the Trustee 102 Options granted, and/or the Shares or rights issued, on behalf of such beneficial optionee, by executing and delivering to the Company such instrument(s) as the Company may require, giving due notice of such release to such beneficial optionee, provided, however, that the Trustee shall not so release any such Trustee 102 Options and/or Shares and/or rights to such beneficial optionee unless the latter, prior to, or concurrently with, such release, provides the Trustee with evidence, satisfactory in form and substance to the Trustee, that all taxes, if any, required to be paid upon such release have, in fact,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-2472055</wp:posOffset>
            </wp:positionV>
            <wp:extent cx="28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-2454910</wp:posOffset>
            </wp:positionV>
            <wp:extent cx="292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29210" cy="8890"/>
                    </a:xfrm>
                    <a:prstGeom prst="rect">
                      <a:avLst/>
                    </a:prstGeom>
                    <a:noFill/>
                  </pic:spPr>
                </pic:pic>
              </a:graphicData>
            </a:graphic>
          </wp:anchor>
        </w:drawing>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424180</wp:posOffset>
            </wp:positionV>
            <wp:extent cx="566610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sectPr>
      </w:pPr>
    </w:p>
    <w:bookmarkStart w:id="55" w:name="page56"/>
    <w:bookmarkEnd w:id="55"/>
    <w:p>
      <w:pPr>
        <w:ind w:left="3880" w:hanging="820"/>
        <w:spacing w:after="0"/>
        <w:tabs>
          <w:tab w:leader="none" w:pos="3880" w:val="left"/>
        </w:tabs>
        <w:numPr>
          <w:ilvl w:val="3"/>
          <w:numId w:val="69"/>
        </w:numPr>
        <w:rPr>
          <w:rFonts w:ascii="Arial" w:cs="Arial" w:eastAsia="Arial" w:hAnsi="Arial"/>
          <w:sz w:val="18"/>
          <w:szCs w:val="18"/>
          <w:color w:val="auto"/>
        </w:rPr>
      </w:pPr>
      <w:r>
        <w:rPr>
          <w:rFonts w:ascii="Arial" w:cs="Arial" w:eastAsia="Arial" w:hAnsi="Arial"/>
          <w:sz w:val="18"/>
          <w:szCs w:val="18"/>
          <w:color w:val="auto"/>
        </w:rPr>
        <w:t>Alternatively, from and after the Release Date, upon the written</w:t>
      </w:r>
    </w:p>
    <w:p>
      <w:pPr>
        <w:spacing w:after="0" w:line="23" w:lineRule="exact"/>
        <w:rPr>
          <w:rFonts w:ascii="Arial" w:cs="Arial" w:eastAsia="Arial" w:hAnsi="Arial"/>
          <w:sz w:val="18"/>
          <w:szCs w:val="18"/>
          <w:color w:val="auto"/>
        </w:rPr>
      </w:pPr>
    </w:p>
    <w:p>
      <w:pPr>
        <w:ind w:right="239"/>
        <w:spacing w:after="0" w:line="290" w:lineRule="auto"/>
        <w:rPr>
          <w:rFonts w:ascii="Arial" w:cs="Arial" w:eastAsia="Arial" w:hAnsi="Arial"/>
          <w:sz w:val="18"/>
          <w:szCs w:val="18"/>
          <w:color w:val="auto"/>
        </w:rPr>
      </w:pPr>
      <w:r>
        <w:rPr>
          <w:rFonts w:ascii="Arial" w:cs="Arial" w:eastAsia="Arial" w:hAnsi="Arial"/>
          <w:sz w:val="16"/>
          <w:szCs w:val="16"/>
          <w:color w:val="auto"/>
        </w:rPr>
        <w:t>instructions of the beneficial optionee to sell any Shares and rights issued upon exercise of Trustee 102 Options, the Trustee shall use its best efforts to effect such sale and shall transfer such Shares to the purchaser thereof concurrently with the receipt, or after having made suitable arrangements to secure the payment, of the purchase price in such transactions. The Trustee shall withhold from such proceeds any and all taxes required to be paid in respect of such sale, shall remit the amount so withheld to the appropriate tax authorities and shall pay the balance thereof directly to the beneficial optionee, reporting to such beneficial optionee and to the Company the amount so withheld and paid to said authorities.</w:t>
      </w:r>
    </w:p>
    <w:p>
      <w:pPr>
        <w:spacing w:after="0" w:line="123" w:lineRule="exact"/>
        <w:rPr>
          <w:rFonts w:ascii="Arial" w:cs="Arial" w:eastAsia="Arial" w:hAnsi="Arial"/>
          <w:sz w:val="18"/>
          <w:szCs w:val="18"/>
          <w:color w:val="auto"/>
        </w:rPr>
      </w:pPr>
    </w:p>
    <w:p>
      <w:pPr>
        <w:ind w:left="3880" w:hanging="820"/>
        <w:spacing w:after="0"/>
        <w:tabs>
          <w:tab w:leader="none" w:pos="3880" w:val="left"/>
        </w:tabs>
        <w:numPr>
          <w:ilvl w:val="3"/>
          <w:numId w:val="69"/>
        </w:numPr>
        <w:rPr>
          <w:rFonts w:ascii="Arial" w:cs="Arial" w:eastAsia="Arial" w:hAnsi="Arial"/>
          <w:sz w:val="18"/>
          <w:szCs w:val="18"/>
          <w:color w:val="auto"/>
        </w:rPr>
      </w:pPr>
      <w:r>
        <w:rPr>
          <w:rFonts w:ascii="Arial" w:cs="Arial" w:eastAsia="Arial" w:hAnsi="Arial"/>
          <w:sz w:val="18"/>
          <w:szCs w:val="18"/>
          <w:color w:val="auto"/>
        </w:rPr>
        <w:t>Notwithstanding the foregoing, in the event the underwriters of</w:t>
      </w:r>
    </w:p>
    <w:p>
      <w:pPr>
        <w:spacing w:after="0" w:line="23" w:lineRule="exact"/>
        <w:rPr>
          <w:rFonts w:ascii="Arial" w:cs="Arial" w:eastAsia="Arial" w:hAnsi="Arial"/>
          <w:sz w:val="18"/>
          <w:szCs w:val="18"/>
          <w:color w:val="auto"/>
        </w:rPr>
      </w:pPr>
    </w:p>
    <w:p>
      <w:pPr>
        <w:ind w:right="299"/>
        <w:spacing w:after="0" w:line="290" w:lineRule="auto"/>
        <w:rPr>
          <w:rFonts w:ascii="Arial" w:cs="Arial" w:eastAsia="Arial" w:hAnsi="Arial"/>
          <w:sz w:val="18"/>
          <w:szCs w:val="18"/>
          <w:color w:val="auto"/>
        </w:rPr>
      </w:pPr>
      <w:r>
        <w:rPr>
          <w:rFonts w:ascii="Arial" w:cs="Arial" w:eastAsia="Arial" w:hAnsi="Arial"/>
          <w:sz w:val="16"/>
          <w:szCs w:val="16"/>
          <w:color w:val="auto"/>
        </w:rPr>
        <w:t>securities of the Company impose restrictions on the transferability of the Shares during a lock-up period, the beneficial optionee shall not be entitled to release from Trust the Trustee 102 Options granted and/or the Shares issued and/or to instruct the Trustee to effect a sale of same, for as long as the restrictions are in effect. In the event the Trustee 102 Options granted and/or the Shares issued have been released from trust the restrictions imposed on the transferability of same shall nevertheless apply to said optionee’s Trustee 102 Options and/or Shares in the same manner. Consequently, the Israeli Grantee shall sign any documents required in order to effect the restrictions, for as long as the restrictions are in effect.</w:t>
      </w:r>
    </w:p>
    <w:p>
      <w:pPr>
        <w:spacing w:after="0" w:line="136" w:lineRule="exact"/>
        <w:rPr>
          <w:rFonts w:ascii="Arial" w:cs="Arial" w:eastAsia="Arial" w:hAnsi="Arial"/>
          <w:sz w:val="18"/>
          <w:szCs w:val="18"/>
          <w:color w:val="auto"/>
        </w:rPr>
      </w:pPr>
    </w:p>
    <w:p>
      <w:pPr>
        <w:ind w:left="3880" w:hanging="820"/>
        <w:spacing w:after="0"/>
        <w:tabs>
          <w:tab w:leader="none" w:pos="3880" w:val="left"/>
        </w:tabs>
        <w:numPr>
          <w:ilvl w:val="3"/>
          <w:numId w:val="69"/>
        </w:numPr>
        <w:rPr>
          <w:rFonts w:ascii="Arial" w:cs="Arial" w:eastAsia="Arial" w:hAnsi="Arial"/>
          <w:sz w:val="18"/>
          <w:szCs w:val="18"/>
          <w:color w:val="auto"/>
        </w:rPr>
      </w:pPr>
      <w:r>
        <w:rPr>
          <w:rFonts w:ascii="Arial" w:cs="Arial" w:eastAsia="Arial" w:hAnsi="Arial"/>
          <w:sz w:val="18"/>
          <w:szCs w:val="18"/>
          <w:color w:val="auto"/>
        </w:rPr>
        <w:t>Upon receipt of the Award, the Israeli Grantee will sign an</w:t>
      </w:r>
    </w:p>
    <w:p>
      <w:pPr>
        <w:spacing w:after="0" w:line="23" w:lineRule="exact"/>
        <w:rPr>
          <w:rFonts w:ascii="Arial" w:cs="Arial" w:eastAsia="Arial" w:hAnsi="Arial"/>
          <w:sz w:val="18"/>
          <w:szCs w:val="18"/>
          <w:color w:val="auto"/>
        </w:rPr>
      </w:pPr>
    </w:p>
    <w:p>
      <w:pPr>
        <w:jc w:val="both"/>
        <w:ind w:right="299"/>
        <w:spacing w:after="0" w:line="255" w:lineRule="auto"/>
        <w:rPr>
          <w:rFonts w:ascii="Arial" w:cs="Arial" w:eastAsia="Arial" w:hAnsi="Arial"/>
          <w:sz w:val="18"/>
          <w:szCs w:val="18"/>
          <w:color w:val="auto"/>
        </w:rPr>
      </w:pPr>
      <w:r>
        <w:rPr>
          <w:rFonts w:ascii="Arial" w:cs="Arial" w:eastAsia="Arial" w:hAnsi="Arial"/>
          <w:sz w:val="18"/>
          <w:szCs w:val="18"/>
          <w:color w:val="auto"/>
        </w:rPr>
        <w:t>undertaking to release the Trustee from any liability in respect of any action or decision duly taken and bona fide executed in relation with the Plan, or any Option or Share or rights granted to same thereunder. The Trustee may establish additional terms and conditions in connection with Awards held in trust by the Trustee.</w:t>
      </w:r>
    </w:p>
    <w:p>
      <w:pPr>
        <w:spacing w:after="0" w:line="149" w:lineRule="exact"/>
        <w:rPr>
          <w:rFonts w:ascii="Arial" w:cs="Arial" w:eastAsia="Arial" w:hAnsi="Arial"/>
          <w:sz w:val="18"/>
          <w:szCs w:val="18"/>
          <w:color w:val="auto"/>
        </w:rPr>
      </w:pPr>
    </w:p>
    <w:p>
      <w:pPr>
        <w:ind w:left="2600" w:hanging="657"/>
        <w:spacing w:after="0"/>
        <w:tabs>
          <w:tab w:leader="none" w:pos="26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Grant of Non-Trustee 102 Options</w:t>
      </w:r>
    </w:p>
    <w:p>
      <w:pPr>
        <w:spacing w:after="0" w:line="184" w:lineRule="exact"/>
        <w:rPr>
          <w:rFonts w:ascii="Arial" w:cs="Arial" w:eastAsia="Arial" w:hAnsi="Arial"/>
          <w:sz w:val="18"/>
          <w:szCs w:val="18"/>
          <w:color w:val="auto"/>
        </w:rPr>
      </w:pPr>
    </w:p>
    <w:p>
      <w:pPr>
        <w:ind w:right="219" w:firstLine="2591"/>
        <w:spacing w:after="0" w:line="286" w:lineRule="auto"/>
        <w:tabs>
          <w:tab w:leader="none" w:pos="2837" w:val="left"/>
        </w:tabs>
        <w:numPr>
          <w:ilvl w:val="2"/>
          <w:numId w:val="70"/>
        </w:numPr>
        <w:rPr>
          <w:rFonts w:ascii="Arial" w:cs="Arial" w:eastAsia="Arial" w:hAnsi="Arial"/>
          <w:sz w:val="17"/>
          <w:szCs w:val="17"/>
          <w:color w:val="auto"/>
        </w:rPr>
      </w:pPr>
      <w:r>
        <w:rPr>
          <w:rFonts w:ascii="Arial" w:cs="Arial" w:eastAsia="Arial" w:hAnsi="Arial"/>
          <w:sz w:val="17"/>
          <w:szCs w:val="17"/>
          <w:color w:val="auto"/>
        </w:rPr>
        <w:t>Awards granted pursuant to this subsection are intended to constitute Non-Trustee 102 Options and shall be subject to the general terms and conditions of the Plan and Section 20, except for provisions of the Plan applying to Trustee 102 Awards or Options under a different tax law or regulation.</w:t>
      </w:r>
    </w:p>
    <w:p>
      <w:pPr>
        <w:spacing w:after="0" w:line="138" w:lineRule="exact"/>
        <w:rPr>
          <w:rFonts w:ascii="Arial" w:cs="Arial" w:eastAsia="Arial" w:hAnsi="Arial"/>
          <w:sz w:val="17"/>
          <w:szCs w:val="17"/>
          <w:color w:val="auto"/>
        </w:rPr>
      </w:pPr>
    </w:p>
    <w:p>
      <w:pPr>
        <w:jc w:val="both"/>
        <w:ind w:right="359" w:firstLine="2591"/>
        <w:spacing w:after="0" w:line="279" w:lineRule="auto"/>
        <w:tabs>
          <w:tab w:leader="none" w:pos="2843" w:val="left"/>
        </w:tabs>
        <w:numPr>
          <w:ilvl w:val="2"/>
          <w:numId w:val="70"/>
        </w:numPr>
        <w:rPr>
          <w:rFonts w:ascii="Arial" w:cs="Arial" w:eastAsia="Arial" w:hAnsi="Arial"/>
          <w:sz w:val="17"/>
          <w:szCs w:val="17"/>
          <w:color w:val="auto"/>
        </w:rPr>
      </w:pPr>
      <w:r>
        <w:rPr>
          <w:rFonts w:ascii="Arial" w:cs="Arial" w:eastAsia="Arial" w:hAnsi="Arial"/>
          <w:sz w:val="17"/>
          <w:szCs w:val="17"/>
          <w:color w:val="auto"/>
        </w:rPr>
        <w:t>With respect to Non-Trustee 102 Options, if the Grantee ceases to be employed by or of service to the Company or a Related Company, the Grantee may be required to extend to the Company a security or guarantee for the payment of tax due at the time of sale of Shares or other rights, all in accordance with the provisions of Section 102 and the rules, regulation or orders promulgated thereunder.</w:t>
      </w:r>
    </w:p>
    <w:p>
      <w:pPr>
        <w:spacing w:after="0" w:line="130" w:lineRule="exact"/>
        <w:rPr>
          <w:rFonts w:ascii="Arial" w:cs="Arial" w:eastAsia="Arial" w:hAnsi="Arial"/>
          <w:sz w:val="17"/>
          <w:szCs w:val="17"/>
          <w:color w:val="auto"/>
        </w:rPr>
      </w:pPr>
    </w:p>
    <w:p>
      <w:pPr>
        <w:ind w:right="239" w:firstLine="1943"/>
        <w:spacing w:after="0" w:line="272" w:lineRule="auto"/>
        <w:tabs>
          <w:tab w:leader="none" w:pos="2592"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Grants Made Under Section 3(I)</w:t>
      </w:r>
      <w:r>
        <w:rPr>
          <w:rFonts w:ascii="Arial" w:cs="Arial" w:eastAsia="Arial" w:hAnsi="Arial"/>
          <w:sz w:val="17"/>
          <w:szCs w:val="17"/>
          <w:color w:val="auto"/>
        </w:rPr>
        <w:t>. Awards granted pursuant to this subsection are intended to constitute 3(I) Options and shall be subject to the general terms and conditions of the Plan and Section 20 thereof, except for said provisions of the Plan applying to Awards under a different tax law or regulation. The Administrator may choose to deposit the Awards granted pursuant to Section 3(I) of the Tax Ordinance with a trustee. In such event, said trustee shall hold such Option in trust, until exercised by the Grantee, pursuant to the Company's instructions from time to time. If determined by the Administrator, the trustee shall be responsible for withholding any taxes to which a Grantee become liable upon the exercise of Options.</w:t>
      </w:r>
    </w:p>
    <w:p>
      <w:pPr>
        <w:spacing w:after="0" w:line="136" w:lineRule="exact"/>
        <w:rPr>
          <w:rFonts w:ascii="Arial" w:cs="Arial" w:eastAsia="Arial" w:hAnsi="Arial"/>
          <w:sz w:val="17"/>
          <w:szCs w:val="17"/>
          <w:color w:val="auto"/>
        </w:rPr>
      </w:pPr>
    </w:p>
    <w:p>
      <w:pPr>
        <w:ind w:right="279" w:firstLine="1295"/>
        <w:spacing w:after="0" w:line="259"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Without derogating from the powers of the Administrator under the Plan, the Administrator shall adopt the form of Award Agreement for Israeli Grantees in form acceptable by the ITA and in compliance with the Tax Ordinance. The Award Agreement shall further indicate the type of Options (102, 3(I), Trustee, Non-Trustee etc.) granted thereunder.</w:t>
      </w:r>
    </w:p>
    <w:p>
      <w:pPr>
        <w:spacing w:after="0" w:line="159" w:lineRule="exact"/>
        <w:rPr>
          <w:rFonts w:ascii="Arial" w:cs="Arial" w:eastAsia="Arial" w:hAnsi="Arial"/>
          <w:sz w:val="18"/>
          <w:szCs w:val="18"/>
          <w:color w:val="auto"/>
        </w:rPr>
      </w:pPr>
    </w:p>
    <w:p>
      <w:pPr>
        <w:ind w:right="779" w:firstLine="1295"/>
        <w:spacing w:after="0" w:line="342" w:lineRule="auto"/>
        <w:tabs>
          <w:tab w:leader="none" w:pos="194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Without derogating from the terms of any Award Agreement or the discretionary authority of the Administrator, the standard vesting for Options to Israeli Grantees shall be as follows:</w:t>
      </w:r>
    </w:p>
    <w:p>
      <w:pPr>
        <w:spacing w:after="0" w:line="83" w:lineRule="exact"/>
        <w:rPr>
          <w:rFonts w:ascii="Arial" w:cs="Arial" w:eastAsia="Arial" w:hAnsi="Arial"/>
          <w:sz w:val="16"/>
          <w:szCs w:val="16"/>
          <w:color w:val="auto"/>
        </w:rPr>
      </w:pPr>
    </w:p>
    <w:p>
      <w:pPr>
        <w:ind w:right="399" w:firstLine="1943"/>
        <w:spacing w:after="0" w:line="286" w:lineRule="auto"/>
        <w:tabs>
          <w:tab w:leader="none" w:pos="2592" w:val="left"/>
        </w:tabs>
        <w:numPr>
          <w:ilvl w:val="1"/>
          <w:numId w:val="71"/>
        </w:numPr>
        <w:rPr>
          <w:rFonts w:ascii="Arial" w:cs="Arial" w:eastAsia="Arial" w:hAnsi="Arial"/>
          <w:sz w:val="17"/>
          <w:szCs w:val="17"/>
          <w:color w:val="auto"/>
        </w:rPr>
      </w:pPr>
      <w:r>
        <w:rPr>
          <w:rFonts w:ascii="Arial" w:cs="Arial" w:eastAsia="Arial" w:hAnsi="Arial"/>
          <w:sz w:val="17"/>
          <w:szCs w:val="17"/>
          <w:color w:val="auto"/>
        </w:rPr>
        <w:t>Twenty five percent (25%) of the Options granted under each Award Agreement shall vest on the end of the first year of Continuous Service following the vesting commencement date determined by the Administrator and if not specified the date of the grant of an Option (the “First Anniversary”); and</w:t>
      </w:r>
    </w:p>
    <w:p>
      <w:pPr>
        <w:spacing w:after="0" w:line="124" w:lineRule="exact"/>
        <w:rPr>
          <w:rFonts w:ascii="Arial" w:cs="Arial" w:eastAsia="Arial" w:hAnsi="Arial"/>
          <w:sz w:val="17"/>
          <w:szCs w:val="17"/>
          <w:color w:val="auto"/>
        </w:rPr>
      </w:pPr>
    </w:p>
    <w:p>
      <w:pPr>
        <w:ind w:right="279" w:firstLine="1943"/>
        <w:spacing w:after="0" w:line="342" w:lineRule="auto"/>
        <w:tabs>
          <w:tab w:leader="none" w:pos="2592"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remaining 75% of the Options shall vest on a quarterly basis over a period of three years commencing as of the First Anniversary in twelve (12) equal portions subject to Continuous Service of the Grantee.</w:t>
      </w:r>
    </w:p>
    <w:p>
      <w:pPr>
        <w:spacing w:after="0" w:line="96" w:lineRule="exact"/>
        <w:rPr>
          <w:rFonts w:ascii="Arial" w:cs="Arial" w:eastAsia="Arial" w:hAnsi="Arial"/>
          <w:sz w:val="16"/>
          <w:szCs w:val="16"/>
          <w:color w:val="auto"/>
        </w:rPr>
      </w:pPr>
    </w:p>
    <w:p>
      <w:pPr>
        <w:ind w:right="679" w:firstLine="1295"/>
        <w:spacing w:after="0" w:line="342" w:lineRule="auto"/>
        <w:tabs>
          <w:tab w:leader="none" w:pos="19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all Shares (in contrast to unexercised Options) allocated or issued upon the exercise of Options by the Israeli Grantee, the Grantee shall be entitled to receive dividends in accordance with the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424180</wp:posOffset>
            </wp:positionV>
            <wp:extent cx="566610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sectPr>
      </w:pPr>
    </w:p>
    <w:bookmarkStart w:id="56" w:name="page57"/>
    <w:bookmarkEnd w:id="56"/>
    <w:p>
      <w:pPr>
        <w:ind w:right="219"/>
        <w:spacing w:after="0" w:line="259" w:lineRule="auto"/>
        <w:rPr>
          <w:sz w:val="20"/>
          <w:szCs w:val="20"/>
          <w:color w:val="auto"/>
        </w:rPr>
      </w:pPr>
      <w:r>
        <w:rPr>
          <w:rFonts w:ascii="Arial" w:cs="Arial" w:eastAsia="Arial" w:hAnsi="Arial"/>
          <w:sz w:val="18"/>
          <w:szCs w:val="18"/>
          <w:color w:val="auto"/>
        </w:rPr>
        <w:t>quantity of such Shares, subject however to any applicable taxation on distribution of dividends. Subject to the Tax Ordinance and any restrictions imposed by the Trustee or the ITA, during the period in which Shares are held by the Trustee on behalf of the Israeli Grantee, the cash dividends paid with respect thereto shall be paid directly to the Grantee after deduction of withholding tax applicable thereto.</w:t>
      </w:r>
    </w:p>
    <w:p>
      <w:pPr>
        <w:spacing w:after="0" w:line="146" w:lineRule="exact"/>
        <w:rPr>
          <w:sz w:val="20"/>
          <w:szCs w:val="20"/>
          <w:color w:val="auto"/>
        </w:rPr>
      </w:pPr>
    </w:p>
    <w:p>
      <w:pPr>
        <w:ind w:right="219" w:firstLine="1295"/>
        <w:spacing w:after="0" w:line="288" w:lineRule="auto"/>
        <w:tabs>
          <w:tab w:leader="none" w:pos="1944"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Without derogating from anything in the Plan, to the extent permitted by Applicable Laws, any tax consequences, attributable to the Israeli Grantee, arising from the grant or exercise of any Option, from the payment for Shares covered thereby or from any other event or act (of the Company, a Related Company, the Trustee or the Grantee), hereunder, shall be borne solely by the Grantee. The Company and/or or a Related Company and/or the Trustee shall withhold taxes according to the requirements under the Applicable Laws, rules, and regulations, including withholding taxes at source. Furthermore, to the extent permitted by Applicable Law, the Grantee shall agree to indemnify the Company and/or a Related Company and/or the Trustee and hold them harmless against and from any and all liability for any such tax or interest or penalty thereon, including without limitation, liabilities relating to the necessity to withhold, or to have withheld, any such tax from any payment made to the Grantee. The Administrator and/or the Trustee shall not be required to release any Share certificate to a Grantee until all required payments have been fully made.</w:t>
      </w:r>
    </w:p>
    <w:p>
      <w:pPr>
        <w:spacing w:after="0" w:line="141" w:lineRule="exact"/>
        <w:rPr>
          <w:sz w:val="20"/>
          <w:szCs w:val="20"/>
          <w:color w:val="auto"/>
        </w:rPr>
      </w:pPr>
    </w:p>
    <w:p>
      <w:pPr>
        <w:ind w:right="279"/>
        <w:spacing w:after="0" w:line="259" w:lineRule="auto"/>
        <w:rPr>
          <w:sz w:val="20"/>
          <w:szCs w:val="20"/>
          <w:color w:val="auto"/>
        </w:rPr>
      </w:pPr>
      <w:r>
        <w:rPr>
          <w:rFonts w:ascii="Arial" w:cs="Arial" w:eastAsia="Arial" w:hAnsi="Arial"/>
          <w:sz w:val="18"/>
          <w:szCs w:val="18"/>
          <w:color w:val="auto"/>
        </w:rPr>
        <w:t>The Plan, to the extent applicable to Israeli Grantees, shall be governed by and construed and enforced in accordance with the laws of the State of Israel applicable to contracts made and to be performed therein, without giving effect to the principles of conflict of laws. The competent courts of Tel-Aviv, Israel shall have sole jurisdiction in any matters pertaining to Israeli Grantees.</w:t>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424180</wp:posOffset>
            </wp:positionV>
            <wp:extent cx="56661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139"/>
          </w:cols>
          <w:pgMar w:left="1320" w:top="908"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280" w:hanging="432"/>
        <w:spacing w:after="0" w:line="263" w:lineRule="auto"/>
        <w:tabs>
          <w:tab w:leader="none" w:pos="8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2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280" w:hanging="432"/>
        <w:spacing w:after="0" w:line="263" w:lineRule="auto"/>
        <w:tabs>
          <w:tab w:leader="none" w:pos="8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2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June 30, 2023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46" w:lineRule="exact"/>
        <w:rPr>
          <w:sz w:val="20"/>
          <w:szCs w:val="20"/>
          <w:color w:val="auto"/>
        </w:rPr>
      </w:pPr>
    </w:p>
    <w:p>
      <w:pPr>
        <w:ind w:left="440" w:right="400" w:firstLine="9"/>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June 30, 2023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46" w:lineRule="exact"/>
        <w:rPr>
          <w:sz w:val="20"/>
          <w:szCs w:val="20"/>
          <w:color w:val="auto"/>
        </w:rPr>
      </w:pPr>
    </w:p>
    <w:p>
      <w:pPr>
        <w:ind w:left="440" w:right="400" w:firstLine="8"/>
        <w:spacing w:after="0" w:line="277"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lowerLetter"/>
      <w:start w:val="2"/>
    </w:lvl>
    <w:lvl w:ilvl="1">
      <w:lvlJc w:val="left"/>
      <w:lvlText w:val="%2."/>
      <w:numFmt w:val="decimal"/>
      <w:start w:val="1"/>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1)"/>
      <w:numFmt w:val="lowerLetter"/>
      <w:start w:val="2"/>
    </w:lvl>
  </w:abstractNum>
  <w:abstractNum w:abstractNumId="8">
    <w:nsid w:val="6A2342EC"/>
    <w:multiLevelType w:val="hybridMultilevel"/>
    <w:lvl w:ilvl="0">
      <w:lvlJc w:val="left"/>
      <w:lvlText w:val="(%1)"/>
      <w:numFmt w:val="lowerLetter"/>
      <w:start w:val="3"/>
    </w:lvl>
  </w:abstractNum>
  <w:abstractNum w:abstractNumId="9">
    <w:nsid w:val="2A487CB0"/>
    <w:multiLevelType w:val="hybridMultilevel"/>
    <w:lvl w:ilvl="0">
      <w:lvlJc w:val="left"/>
      <w:lvlText w:val="(%1)"/>
      <w:numFmt w:val="lowerRoman"/>
      <w:start w:val="2"/>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a"/>
      <w:numFmt w:val="bullet"/>
      <w:start w:val="1"/>
    </w:lvl>
  </w:abstractNum>
  <w:abstractNum w:abstractNumId="19">
    <w:nsid w:val="7644A45C"/>
    <w:multiLevelType w:val="hybridMultilevel"/>
    <w:lvl w:ilvl="0">
      <w:lvlJc w:val="left"/>
      <w:lvlText w:val="(%1)"/>
      <w:numFmt w:val="lowerRoman"/>
      <w:start w:val="3"/>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04"/>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lowerLetter"/>
      <w:start w:val="1"/>
    </w:lvl>
  </w:abstractNum>
  <w:abstractNum w:abstractNumId="25">
    <w:nsid w:val="1BA026FA"/>
    <w:multiLevelType w:val="hybridMultilevel"/>
    <w:lvl w:ilvl="0">
      <w:lvlJc w:val="left"/>
      <w:lvlText w:val="%1."/>
      <w:numFmt w:val="decimal"/>
      <w:start w:val="4"/>
    </w:lvl>
  </w:abstractNum>
  <w:abstractNum w:abstractNumId="26">
    <w:nsid w:val="79A1DEAA"/>
    <w:multiLevelType w:val="hybridMultilevel"/>
    <w:lvl w:ilvl="0">
      <w:lvlJc w:val="left"/>
      <w:lvlText w:val="%1."/>
      <w:numFmt w:val="decimal"/>
      <w:start w:val="1"/>
    </w:lvl>
    <w:lvl w:ilvl="1">
      <w:lvlJc w:val="left"/>
      <w:lvlText w:val="(%2)"/>
      <w:numFmt w:val="lowerLetter"/>
      <w:start w:val="1"/>
    </w:lvl>
  </w:abstractNum>
  <w:abstractNum w:abstractNumId="27">
    <w:nsid w:val="75C6C33A"/>
    <w:multiLevelType w:val="hybridMultilevel"/>
    <w:lvl w:ilvl="0">
      <w:lvlJc w:val="left"/>
      <w:lvlText w:val="(%1)"/>
      <w:numFmt w:val="lowerLetter"/>
      <w:start w:val="5"/>
    </w:lvl>
  </w:abstractNum>
  <w:abstractNum w:abstractNumId="28">
    <w:nsid w:val="12E685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70C6A529"/>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30">
    <w:nsid w:val="520EEDD1"/>
    <w:multiLevelType w:val="hybridMultilevel"/>
    <w:lvl w:ilvl="0">
      <w:lvlJc w:val="left"/>
      <w:lvlText w:val="(%1)"/>
      <w:numFmt w:val="lowerLetter"/>
      <w:start w:val="35"/>
    </w:lvl>
    <w:lvl w:ilvl="1">
      <w:lvlJc w:val="left"/>
      <w:lvlText w:val="(%2)"/>
      <w:numFmt w:val="lowerLetter"/>
      <w:start w:val="19"/>
    </w:lvl>
    <w:lvl w:ilvl="2">
      <w:lvlJc w:val="left"/>
      <w:lvlText w:val="(%3)"/>
      <w:numFmt w:val="lowerRoman"/>
      <w:start w:val="1"/>
    </w:lvl>
  </w:abstractNum>
  <w:abstractNum w:abstractNumId="31">
    <w:nsid w:val="374A3FE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32">
    <w:nsid w:val="4F4EF005"/>
    <w:multiLevelType w:val="hybridMultilevel"/>
    <w:lvl w:ilvl="0">
      <w:lvlJc w:val="left"/>
      <w:lvlText w:val="(%1)"/>
      <w:numFmt w:val="upperLetter"/>
      <w:start w:val="1"/>
    </w:lvl>
    <w:lvl w:ilvl="1">
      <w:lvlJc w:val="left"/>
      <w:lvlText w:val="(%2)"/>
      <w:numFmt w:val="lowerLetter"/>
      <w:start w:val="19"/>
    </w:lvl>
    <w:lvl w:ilvl="2">
      <w:lvlJc w:val="left"/>
      <w:lvlText w:val="(%3)"/>
      <w:numFmt w:val="lowerRoman"/>
      <w:start w:val="5"/>
    </w:lvl>
  </w:abstractNum>
  <w:abstractNum w:abstractNumId="33">
    <w:nsid w:val="23F9C1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4">
    <w:nsid w:val="649BB7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5">
    <w:nsid w:val="275AC794"/>
    <w:multiLevelType w:val="hybridMultilevel"/>
    <w:lvl w:ilvl="0">
      <w:lvlJc w:val="left"/>
      <w:lvlText w:val="(%1)"/>
      <w:numFmt w:val="lowerLetter"/>
      <w:start w:val="9"/>
    </w:lvl>
    <w:lvl w:ilvl="1">
      <w:lvlJc w:val="left"/>
      <w:lvlText w:val="(%2)"/>
      <w:numFmt w:val="lowerLetter"/>
      <w:start w:val="27"/>
    </w:lvl>
    <w:lvl w:ilvl="2">
      <w:lvlJc w:val="left"/>
      <w:lvlText w:val="%3"/>
      <w:numFmt w:val="lowerLetter"/>
      <w:start w:val="1"/>
    </w:lvl>
  </w:abstractNum>
  <w:abstractNum w:abstractNumId="36">
    <w:nsid w:val="3938657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4"/>
    </w:lvl>
    <w:lvl w:ilvl="3">
      <w:lvlJc w:val="left"/>
      <w:lvlText w:val="%4"/>
      <w:numFmt w:val="lowerLetter"/>
      <w:start w:val="1"/>
    </w:lvl>
  </w:abstractNum>
  <w:abstractNum w:abstractNumId="37">
    <w:nsid w:val="1CF10FD8"/>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38">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9">
    <w:nsid w:val="235BA861"/>
    <w:multiLevelType w:val="hybridMultilevel"/>
    <w:lvl w:ilvl="0">
      <w:lvlJc w:val="left"/>
      <w:lvlText w:val="%1"/>
      <w:numFmt w:val="lowerLetter"/>
      <w:start w:val="1"/>
    </w:lvl>
    <w:lvl w:ilvl="1">
      <w:lvlJc w:val="left"/>
      <w:lvlText w:val="(%2)"/>
      <w:numFmt w:val="lowerRoman"/>
      <w:start w:val="2"/>
    </w:lvl>
  </w:abstractNum>
  <w:abstractNum w:abstractNumId="40">
    <w:nsid w:val="47398C89"/>
    <w:multiLevelType w:val="hybridMultilevel"/>
    <w:lvl w:ilvl="0">
      <w:lvlJc w:val="left"/>
      <w:lvlText w:val="(%1)"/>
      <w:numFmt w:val="lowerLetter"/>
      <w:start w:val="2"/>
    </w:lvl>
    <w:lvl w:ilvl="1">
      <w:lvlJc w:val="left"/>
      <w:lvlText w:val="(%2)"/>
      <w:numFmt w:val="lowerRoman"/>
      <w:start w:val="1"/>
    </w:lvl>
  </w:abstractNum>
  <w:abstractNum w:abstractNumId="41">
    <w:nsid w:val="354FE9F9"/>
    <w:multiLevelType w:val="hybridMultilevel"/>
    <w:lvl w:ilvl="0">
      <w:lvlJc w:val="left"/>
      <w:lvlText w:val="(%1)"/>
      <w:numFmt w:val="lowerRoman"/>
      <w:start w:val="8"/>
    </w:lvl>
  </w:abstractNum>
  <w:abstractNum w:abstractNumId="42">
    <w:nsid w:val="15B5AF5C"/>
    <w:multiLevelType w:val="hybridMultilevel"/>
    <w:lvl w:ilvl="0">
      <w:lvlJc w:val="left"/>
      <w:lvlText w:val="%1"/>
      <w:numFmt w:val="decimal"/>
      <w:start w:val="1"/>
    </w:lvl>
    <w:lvl w:ilvl="1">
      <w:lvlJc w:val="left"/>
      <w:lvlText w:val="(%2)"/>
      <w:numFmt w:val="lowerLetter"/>
      <w:start w:val="3"/>
    </w:lvl>
  </w:abstractNum>
  <w:abstractNum w:abstractNumId="43">
    <w:nsid w:val="741226BB"/>
    <w:multiLevelType w:val="hybridMultilevel"/>
    <w:lvl w:ilvl="0">
      <w:lvlJc w:val="left"/>
      <w:lvlText w:val="%1."/>
      <w:numFmt w:val="decimal"/>
      <w:start w:val="5"/>
    </w:lvl>
    <w:lvl w:ilvl="1">
      <w:lvlJc w:val="left"/>
      <w:lvlText w:val="%2"/>
      <w:numFmt w:val="lowerLetter"/>
      <w:start w:val="1"/>
    </w:lvl>
  </w:abstractNum>
  <w:abstractNum w:abstractNumId="44">
    <w:nsid w:val="D34B6A8"/>
    <w:multiLevelType w:val="hybridMultilevel"/>
    <w:lvl w:ilvl="0">
      <w:lvlJc w:val="left"/>
      <w:lvlText w:val="%1."/>
      <w:numFmt w:val="decimal"/>
      <w:start w:val="6"/>
    </w:lvl>
    <w:lvl w:ilvl="1">
      <w:lvlJc w:val="left"/>
      <w:lvlText w:val="(%2)"/>
      <w:numFmt w:val="lowerLetter"/>
      <w:start w:val="1"/>
    </w:lvl>
  </w:abstractNum>
  <w:abstractNum w:abstractNumId="45">
    <w:nsid w:val="10233C99"/>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46">
    <w:nsid w:val="3F6AB60F"/>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47">
    <w:nsid w:val="61574095"/>
    <w:multiLevelType w:val="hybridMultilevel"/>
    <w:lvl w:ilvl="0">
      <w:lvlJc w:val="left"/>
      <w:lvlText w:val="(%1)"/>
      <w:numFmt w:val="lowerRoman"/>
      <w:start w:val="17"/>
    </w:lvl>
    <w:lvl w:ilvl="1">
      <w:lvlJc w:val="left"/>
      <w:lvlText w:val="(%2)"/>
      <w:numFmt w:val="lowerLetter"/>
      <w:start w:val="4"/>
    </w:lvl>
    <w:lvl w:ilvl="2">
      <w:lvlJc w:val="left"/>
      <w:lvlText w:val="(%3)"/>
      <w:numFmt w:val="lowerRoman"/>
      <w:start w:val="1"/>
    </w:lvl>
  </w:abstractNum>
  <w:abstractNum w:abstractNumId="48">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49">
    <w:nsid w:val="77AE35E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50">
    <w:nsid w:val="579BE4F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51">
    <w:nsid w:val="310C50B3"/>
    <w:multiLevelType w:val="hybridMultilevel"/>
    <w:lvl w:ilvl="0">
      <w:lvlJc w:val="left"/>
      <w:lvlText w:val="(%1)"/>
      <w:numFmt w:val="lowerRoman"/>
      <w:start w:val="2"/>
    </w:lvl>
  </w:abstractNum>
  <w:abstractNum w:abstractNumId="52">
    <w:nsid w:val="5FF87E05"/>
    <w:multiLevelType w:val="hybridMultilevel"/>
    <w:lvl w:ilvl="0">
      <w:lvlJc w:val="left"/>
      <w:lvlText w:val="%1"/>
      <w:numFmt w:val="lowerLetter"/>
      <w:start w:val="1"/>
    </w:lvl>
    <w:lvl w:ilvl="1">
      <w:lvlJc w:val="left"/>
      <w:lvlText w:val="(%2)"/>
      <w:numFmt w:val="lowerRoman"/>
      <w:start w:val="4"/>
    </w:lvl>
  </w:abstractNum>
  <w:abstractNum w:abstractNumId="53">
    <w:nsid w:val="2F305DEF"/>
    <w:multiLevelType w:val="hybridMultilevel"/>
    <w:lvl w:ilvl="0">
      <w:lvlJc w:val="left"/>
      <w:lvlText w:val="(%1)"/>
      <w:numFmt w:val="lowerLetter"/>
      <w:start w:val="2"/>
    </w:lvl>
    <w:lvl w:ilvl="1">
      <w:lvlJc w:val="left"/>
      <w:lvlText w:val="(%2)"/>
      <w:numFmt w:val="lowerRoman"/>
      <w:start w:val="1"/>
    </w:lvl>
  </w:abstractNum>
  <w:abstractNum w:abstractNumId="54">
    <w:nsid w:val="25A70BF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5">
    <w:nsid w:val="1DBABF0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6">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7">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8">
    <w:nsid w:val="1381823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59">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0">
    <w:nsid w:val="100F8FC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1">
    <w:nsid w:val="6590700B"/>
    <w:multiLevelType w:val="hybridMultilevel"/>
    <w:lvl w:ilvl="0">
      <w:lvlJc w:val="left"/>
      <w:lvlText w:val="%1"/>
      <w:numFmt w:val="decimal"/>
      <w:start w:val="1"/>
    </w:lvl>
    <w:lvl w:ilvl="1">
      <w:lvlJc w:val="left"/>
      <w:lvlText w:val="(%2)"/>
      <w:numFmt w:val="lowerLetter"/>
      <w:start w:val="3"/>
    </w:lvl>
  </w:abstractNum>
  <w:abstractNum w:abstractNumId="62">
    <w:nsid w:val="15014ACB"/>
    <w:multiLevelType w:val="hybridMultilevel"/>
    <w:lvl w:ilvl="0">
      <w:lvlJc w:val="left"/>
      <w:lvlText w:val="%1."/>
      <w:numFmt w:val="decimal"/>
      <w:start w:val="12"/>
    </w:lvl>
    <w:lvl w:ilvl="1">
      <w:lvlJc w:val="left"/>
      <w:lvlText w:val="(%2)"/>
      <w:numFmt w:val="lowerLetter"/>
      <w:start w:val="1"/>
    </w:lvl>
  </w:abstractNum>
  <w:abstractNum w:abstractNumId="63">
    <w:nsid w:val="5F5E7FD0"/>
    <w:multiLevelType w:val="hybridMultilevel"/>
    <w:lvl w:ilvl="0">
      <w:lvlJc w:val="left"/>
      <w:lvlText w:val="%1."/>
      <w:numFmt w:val="decimal"/>
      <w:start w:val="18"/>
    </w:lvl>
  </w:abstractNum>
  <w:abstractNum w:abstractNumId="64">
    <w:nsid w:val="98A3148"/>
    <w:multiLevelType w:val="hybridMultilevel"/>
    <w:lvl w:ilvl="0">
      <w:lvlJc w:val="left"/>
      <w:lvlText w:val="(%1)"/>
      <w:numFmt w:val="lowerLetter"/>
      <w:start w:val="1"/>
    </w:lvl>
    <w:lvl w:ilvl="1">
      <w:lvlJc w:val="left"/>
      <w:lvlText w:val="(%2)"/>
      <w:numFmt w:val="lowerLetter"/>
      <w:start w:val="9"/>
    </w:lvl>
  </w:abstractNum>
  <w:abstractNum w:abstractNumId="65">
    <w:nsid w:val="799D0247"/>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66">
    <w:nsid w:val="6B94764"/>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67">
    <w:nsid w:val="42C296BD"/>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68">
    <w:nsid w:val="168E121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69">
    <w:nsid w:val="1EBA5D23"/>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70">
    <w:nsid w:val="661E3F1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1">
    <w:nsid w:val="5DC79EA8"/>
    <w:multiLevelType w:val="hybridMultilevel"/>
    <w:lvl w:ilvl="0">
      <w:lvlJc w:val="left"/>
      <w:lvlText w:val="(%1)"/>
      <w:numFmt w:val="lowerLetter"/>
      <w:start w:val="6"/>
    </w:lvl>
  </w:abstractNum>
  <w:abstractNum w:abstractNumId="72">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55" Type="http://schemas.openxmlformats.org/officeDocument/2006/relationships/hyperlink" Target="https://www.sec.gov/Archives/edgar/data/1006281/000114420416092335/v435826_ex3-1.htm" TargetMode="External"/><Relationship Id="rId56" Type="http://schemas.openxmlformats.org/officeDocument/2006/relationships/hyperlink" Target="https://www.sec.gov/Archives/edgar/data/1006281/000114420416111273/v443094_def14a.htm" TargetMode="External"/><Relationship Id="rId57" Type="http://schemas.openxmlformats.org/officeDocument/2006/relationships/hyperlink" Target="https://www.sec.gov/Archives/edgar/data/1006281/000114420418054229/tv504383-def14a.htm" TargetMode="External"/><Relationship Id="rId58" Type="http://schemas.openxmlformats.org/officeDocument/2006/relationships/hyperlink" Target="https://www.sec.gov/Archives/edgar/data/1006281/000110465919074602/tm1926620d1_ex3-1.htm" TargetMode="External"/><Relationship Id="rId59" Type="http://schemas.openxmlformats.org/officeDocument/2006/relationships/hyperlink" Target="https://www.sec.gov/Archives/edgar/data/1006281/000155837022013560/plx-20220630xex3d5.htm" TargetMode="External"/><Relationship Id="rId60" Type="http://schemas.openxmlformats.org/officeDocument/2006/relationships/hyperlink" Target="https://www.sec.gov/Archives/edgar/data/1006281/000114420416092335/v435826_ex3-2.htm" TargetMode="External"/><Relationship Id="rId61" Type="http://schemas.openxmlformats.org/officeDocument/2006/relationships/hyperlink" Target="https://www.sec.gov/Archives/edgar/data/1006281/000114420412040015/v318898_ex4-1.htm" TargetMode="External"/><Relationship Id="rId62" Type="http://schemas.openxmlformats.org/officeDocument/2006/relationships/hyperlink" Target="https://www.sec.gov/Archives/edgar/data/1006281/000155837023002102/plx-20221231xex4d7.htm" TargetMode="External"/><Relationship Id="rId63" Type="http://schemas.openxmlformats.org/officeDocument/2006/relationships/hyperlink" Target="https://www.sec.gov/Archives/edgar/data/1006281/000110465920032169/tm2012488d1_ex4-1.htm" TargetMode="External"/><Relationship Id="rId64" Type="http://schemas.openxmlformats.org/officeDocument/2006/relationships/hyperlink" Target="https://www.sec.gov/Archives/edgar/data/1006281/000110465920092375/plx-20200630xex4d8.htm" TargetMode="External"/><Relationship Id="rId65" Type="http://schemas.openxmlformats.org/officeDocument/2006/relationships/hyperlink" Target="https://www.sec.gov/Archives/edgar/data/1006281/000110465920092375/plx-20200630xex4d9.htm" TargetMode="External"/><Relationship Id="rId66" Type="http://schemas.openxmlformats.org/officeDocument/2006/relationships/hyperlink" Target="https://www.sec.gov/Archives/edgar/data/1006281/000155837021012078/plx-20210824xex4d2.htm" TargetMode="External"/><Relationship Id="rId67" Type="http://schemas.openxmlformats.org/officeDocument/2006/relationships/hyperlink" Target="https://www.sec.gov/Archives/edgar/data/1006281/000155837021012078/plx-20210824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2023-08-07T06:09:23Z</dcterms:created>
  <dcterms:modified xsi:type="dcterms:W3CDTF">2023-08-07T06:09:23Z</dcterms:modified>
</cp:coreProperties>
</file>