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628015</wp:posOffset>
            </wp:positionH>
            <wp:positionV relativeFrom="page">
              <wp:posOffset>706120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791845</wp:posOffset>
            </wp:positionV>
            <wp:extent cx="6292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107950</wp:posOffset>
            </wp:positionV>
            <wp:extent cx="15773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0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138430</wp:posOffset>
            </wp:positionV>
            <wp:extent cx="15773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34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84"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01"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For the quarterly period ended June 30, 2024</w:t>
      </w:r>
    </w:p>
    <w:p>
      <w:pPr>
        <w:spacing w:after="0" w:line="8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84" w:lineRule="exact"/>
        <w:rPr>
          <w:sz w:val="24"/>
          <w:szCs w:val="24"/>
          <w:color w:val="auto"/>
        </w:rPr>
      </w:pPr>
    </w:p>
    <w:p>
      <w:pPr>
        <w:ind w:left="300" w:hanging="292"/>
        <w:spacing w:after="0"/>
        <w:tabs>
          <w:tab w:leader="none" w:pos="30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00" w:lineRule="exact"/>
        <w:rPr>
          <w:sz w:val="24"/>
          <w:szCs w:val="24"/>
          <w:color w:val="auto"/>
        </w:rPr>
      </w:pPr>
    </w:p>
    <w:tbl>
      <w:tblPr>
        <w:tblLayout w:type="fixed"/>
        <w:tblInd w:w="340" w:type="dxa"/>
        <w:tblCellMar>
          <w:top w:w="0" w:type="dxa"/>
          <w:left w:w="0" w:type="dxa"/>
          <w:bottom w:w="0" w:type="dxa"/>
          <w:right w:w="0" w:type="dxa"/>
        </w:tblCellMar>
      </w:tblPr>
      <w:tr>
        <w:trPr>
          <w:trHeight w:val="161"/>
        </w:trPr>
        <w:tc>
          <w:tcPr>
            <w:tcW w:w="1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840" w:type="dxa"/>
            <w:vAlign w:val="bottom"/>
          </w:tcPr>
          <w:p>
            <w:pPr>
              <w:spacing w:after="0"/>
              <w:rPr>
                <w:sz w:val="13"/>
                <w:szCs w:val="13"/>
                <w:color w:val="auto"/>
              </w:rPr>
            </w:pPr>
          </w:p>
        </w:tc>
        <w:tc>
          <w:tcPr>
            <w:tcW w:w="27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to</w:t>
            </w:r>
          </w:p>
        </w:tc>
      </w:tr>
      <w:tr>
        <w:trPr>
          <w:trHeight w:val="212"/>
        </w:trPr>
        <w:tc>
          <w:tcPr>
            <w:tcW w:w="18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001-33357</w:t>
            </w:r>
          </w:p>
        </w:tc>
      </w:tr>
      <w:tr>
        <w:trPr>
          <w:trHeight w:val="190"/>
        </w:trPr>
        <w:tc>
          <w:tcPr>
            <w:tcW w:w="1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109220</wp:posOffset>
            </wp:positionV>
            <wp:extent cx="1577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8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PROTALIX BIOTHERAPEUTICS, INC.</w:t>
      </w:r>
    </w:p>
    <w:p>
      <w:pPr>
        <w:spacing w:after="0" w:line="3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107950</wp:posOffset>
            </wp:positionV>
            <wp:extent cx="15773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26" w:lineRule="exact"/>
        <w:rPr>
          <w:sz w:val="24"/>
          <w:szCs w:val="24"/>
          <w:color w:val="auto"/>
        </w:rPr>
      </w:pPr>
    </w:p>
    <w:tbl>
      <w:tblPr>
        <w:tblLayout w:type="fixed"/>
        <w:tblInd w:w="1300" w:type="dxa"/>
        <w:tblCellMar>
          <w:top w:w="0" w:type="dxa"/>
          <w:left w:w="0" w:type="dxa"/>
          <w:bottom w:w="0" w:type="dxa"/>
          <w:right w:w="0" w:type="dxa"/>
        </w:tblCellMar>
      </w:tblPr>
      <w:tr>
        <w:trPr>
          <w:trHeight w:val="161"/>
        </w:trPr>
        <w:tc>
          <w:tcPr>
            <w:tcW w:w="9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(State or</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940" w:type="dxa"/>
            <w:vAlign w:val="bottom"/>
            <w:gridSpan w:val="4"/>
          </w:tcPr>
          <w:p>
            <w:pPr>
              <w:spacing w:after="0"/>
              <w:rPr>
                <w:sz w:val="13"/>
                <w:szCs w:val="13"/>
                <w:color w:val="auto"/>
              </w:rPr>
            </w:pPr>
          </w:p>
        </w:tc>
        <w:tc>
          <w:tcPr>
            <w:tcW w:w="1260" w:type="dxa"/>
            <w:vAlign w:val="bottom"/>
            <w:gridSpan w:val="5"/>
          </w:tcPr>
          <w:p>
            <w:pPr>
              <w:jc w:val="center"/>
              <w:ind w:left="149"/>
              <w:spacing w:after="0"/>
              <w:rPr>
                <w:sz w:val="20"/>
                <w:szCs w:val="20"/>
                <w:color w:val="auto"/>
              </w:rPr>
            </w:pPr>
            <w:r>
              <w:rPr>
                <w:rFonts w:ascii="Times New Roman" w:cs="Times New Roman" w:eastAsia="Times New Roman" w:hAnsi="Times New Roman"/>
                <w:sz w:val="14"/>
                <w:szCs w:val="14"/>
                <w:b w:val="1"/>
                <w:bCs w:val="1"/>
                <w:color w:val="auto"/>
              </w:rPr>
              <w:t>__65-0643773__</w:t>
            </w:r>
          </w:p>
        </w:tc>
        <w:tc>
          <w:tcPr>
            <w:tcW w:w="0" w:type="dxa"/>
            <w:vAlign w:val="bottom"/>
          </w:tcPr>
          <w:p>
            <w:pPr>
              <w:spacing w:after="0"/>
              <w:rPr>
                <w:sz w:val="1"/>
                <w:szCs w:val="1"/>
                <w:color w:val="auto"/>
              </w:rPr>
            </w:pPr>
          </w:p>
        </w:tc>
      </w:tr>
      <w:tr>
        <w:trPr>
          <w:trHeight w:val="20"/>
        </w:trPr>
        <w:tc>
          <w:tcPr>
            <w:tcW w:w="900" w:type="dxa"/>
            <w:vAlign w:val="bottom"/>
            <w:gridSpan w:val="2"/>
            <w:vMerge w:val="continue"/>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900" w:type="dxa"/>
            <w:vAlign w:val="bottom"/>
            <w:gridSpan w:val="2"/>
            <w:vMerge w:val="continue"/>
          </w:tcPr>
          <w:p>
            <w:pPr>
              <w:spacing w:after="0"/>
              <w:rPr>
                <w:sz w:val="10"/>
                <w:szCs w:val="10"/>
                <w:color w:val="auto"/>
              </w:rPr>
            </w:pPr>
          </w:p>
        </w:tc>
        <w:tc>
          <w:tcPr>
            <w:tcW w:w="4520" w:type="dxa"/>
            <w:vAlign w:val="bottom"/>
            <w:gridSpan w:val="5"/>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other jurisdiction</w:t>
            </w:r>
          </w:p>
        </w:tc>
        <w:tc>
          <w:tcPr>
            <w:tcW w:w="1260" w:type="dxa"/>
            <w:vAlign w:val="bottom"/>
            <w:gridSpan w:val="5"/>
          </w:tcPr>
          <w:p>
            <w:pPr>
              <w:jc w:val="center"/>
              <w:ind w:left="109"/>
              <w:spacing w:after="0" w:line="118" w:lineRule="exact"/>
              <w:rPr>
                <w:sz w:val="20"/>
                <w:szCs w:val="20"/>
                <w:color w:val="auto"/>
              </w:rPr>
            </w:pPr>
            <w:r>
              <w:rPr>
                <w:rFonts w:ascii="Times New Roman" w:cs="Times New Roman" w:eastAsia="Times New Roman" w:hAnsi="Times New Roman"/>
                <w:sz w:val="13"/>
                <w:szCs w:val="13"/>
                <w:b w:val="1"/>
                <w:bCs w:val="1"/>
                <w:color w:val="auto"/>
              </w:rPr>
              <w:t>(I.R.S. Employer</w:t>
            </w:r>
          </w:p>
        </w:tc>
        <w:tc>
          <w:tcPr>
            <w:tcW w:w="0" w:type="dxa"/>
            <w:vAlign w:val="bottom"/>
          </w:tcPr>
          <w:p>
            <w:pPr>
              <w:spacing w:after="0"/>
              <w:rPr>
                <w:sz w:val="1"/>
                <w:szCs w:val="1"/>
                <w:color w:val="auto"/>
              </w:rPr>
            </w:pPr>
          </w:p>
        </w:tc>
      </w:tr>
      <w:tr>
        <w:trPr>
          <w:trHeight w:val="190"/>
        </w:trPr>
        <w:tc>
          <w:tcPr>
            <w:tcW w:w="5420" w:type="dxa"/>
            <w:vAlign w:val="bottom"/>
            <w:gridSpan w:val="7"/>
          </w:tcPr>
          <w:p>
            <w:pPr>
              <w:ind w:left="160"/>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tc>
        <w:tc>
          <w:tcPr>
            <w:tcW w:w="12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55"/>
        </w:trPr>
        <w:tc>
          <w:tcPr>
            <w:tcW w:w="5420" w:type="dxa"/>
            <w:vAlign w:val="bottom"/>
            <w:gridSpan w:val="7"/>
          </w:tcPr>
          <w:p>
            <w:pPr>
              <w:jc w:val="center"/>
              <w:ind w:right="2988"/>
              <w:spacing w:after="0"/>
              <w:rPr>
                <w:sz w:val="20"/>
                <w:szCs w:val="20"/>
                <w:color w:val="auto"/>
              </w:rPr>
            </w:pPr>
            <w:r>
              <w:rPr>
                <w:rFonts w:ascii="Times New Roman" w:cs="Times New Roman" w:eastAsia="Times New Roman" w:hAnsi="Times New Roman"/>
                <w:sz w:val="14"/>
                <w:szCs w:val="14"/>
                <w:b w:val="1"/>
                <w:bCs w:val="1"/>
                <w:color w:val="auto"/>
              </w:rPr>
              <w:t>2 University Plaza</w:t>
            </w: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520" w:type="dxa"/>
            <w:vAlign w:val="bottom"/>
            <w:gridSpan w:val="5"/>
          </w:tcPr>
          <w:p>
            <w:pPr>
              <w:jc w:val="center"/>
              <w:ind w:right="3888"/>
              <w:spacing w:after="0" w:line="149" w:lineRule="exact"/>
              <w:rPr>
                <w:sz w:val="20"/>
                <w:szCs w:val="20"/>
                <w:color w:val="auto"/>
              </w:rPr>
            </w:pPr>
            <w:r>
              <w:rPr>
                <w:rFonts w:ascii="Times New Roman" w:cs="Times New Roman" w:eastAsia="Times New Roman" w:hAnsi="Times New Roman"/>
                <w:sz w:val="14"/>
                <w:szCs w:val="14"/>
                <w:b w:val="1"/>
                <w:bCs w:val="1"/>
                <w:color w:val="auto"/>
              </w:rPr>
              <w:t>Suite 100</w:t>
            </w:r>
          </w:p>
        </w:tc>
        <w:tc>
          <w:tcPr>
            <w:tcW w:w="1080" w:type="dxa"/>
            <w:vAlign w:val="bottom"/>
            <w:gridSpan w:val="4"/>
            <w:vMerge w:val="restart"/>
          </w:tcPr>
          <w:p>
            <w:pPr>
              <w:jc w:val="center"/>
              <w:ind w:left="289"/>
              <w:spacing w:after="0"/>
              <w:rPr>
                <w:sz w:val="20"/>
                <w:szCs w:val="20"/>
                <w:color w:val="auto"/>
              </w:rPr>
            </w:pPr>
            <w:r>
              <w:rPr>
                <w:rFonts w:ascii="Times New Roman" w:cs="Times New Roman" w:eastAsia="Times New Roman" w:hAnsi="Times New Roman"/>
                <w:sz w:val="14"/>
                <w:szCs w:val="14"/>
                <w:b w:val="1"/>
                <w:bCs w:val="1"/>
                <w:color w:val="auto"/>
              </w:rPr>
              <w:t>07601</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(Address of</w:t>
            </w:r>
          </w:p>
        </w:tc>
        <w:tc>
          <w:tcPr>
            <w:tcW w:w="4720" w:type="dxa"/>
            <w:vAlign w:val="bottom"/>
            <w:gridSpan w:val="6"/>
          </w:tcPr>
          <w:p>
            <w:pPr>
              <w:jc w:val="center"/>
              <w:ind w:right="3668"/>
              <w:spacing w:after="0" w:line="160" w:lineRule="exact"/>
              <w:rPr>
                <w:sz w:val="20"/>
                <w:szCs w:val="20"/>
                <w:color w:val="auto"/>
              </w:rPr>
            </w:pPr>
            <w:r>
              <w:rPr>
                <w:rFonts w:ascii="Times New Roman" w:cs="Times New Roman" w:eastAsia="Times New Roman" w:hAnsi="Times New Roman"/>
                <w:sz w:val="14"/>
                <w:szCs w:val="14"/>
                <w:b w:val="1"/>
                <w:bCs w:val="1"/>
                <w:color w:val="auto"/>
              </w:rPr>
              <w:t>Hackensack, NJ</w:t>
            </w:r>
          </w:p>
        </w:tc>
        <w:tc>
          <w:tcPr>
            <w:tcW w:w="1080" w:type="dxa"/>
            <w:vAlign w:val="bottom"/>
            <w:gridSpan w:val="4"/>
            <w:vMerge w:val="continue"/>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vMerge w:val="continue"/>
          </w:tcPr>
          <w:p>
            <w:pPr>
              <w:spacing w:after="0" w:line="20" w:lineRule="exact"/>
              <w:rPr>
                <w:sz w:val="1"/>
                <w:szCs w:val="1"/>
                <w:color w:val="auto"/>
              </w:rPr>
            </w:pPr>
          </w:p>
        </w:tc>
        <w:tc>
          <w:tcPr>
            <w:tcW w:w="980" w:type="dxa"/>
            <w:vAlign w:val="bottom"/>
            <w:gridSpan w:val="3"/>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00" w:type="dxa"/>
            <w:vAlign w:val="bottom"/>
            <w:vMerge w:val="continue"/>
          </w:tcPr>
          <w:p>
            <w:pPr>
              <w:spacing w:after="0"/>
              <w:rPr>
                <w:sz w:val="15"/>
                <w:szCs w:val="15"/>
                <w:color w:val="auto"/>
              </w:rPr>
            </w:pPr>
          </w:p>
        </w:tc>
        <w:tc>
          <w:tcPr>
            <w:tcW w:w="472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principal executive offices)</w:t>
            </w:r>
          </w:p>
        </w:tc>
        <w:tc>
          <w:tcPr>
            <w:tcW w:w="1260" w:type="dxa"/>
            <w:vAlign w:val="bottom"/>
            <w:gridSpan w:val="5"/>
          </w:tcPr>
          <w:p>
            <w:pPr>
              <w:jc w:val="center"/>
              <w:ind w:left="109"/>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188"/>
        </w:trPr>
        <w:tc>
          <w:tcPr>
            <w:tcW w:w="3200" w:type="dxa"/>
            <w:vAlign w:val="bottom"/>
            <w:gridSpan w:val="5"/>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(201)-696-9345</w:t>
            </w:r>
          </w:p>
        </w:tc>
        <w:tc>
          <w:tcPr>
            <w:tcW w:w="1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including area code)</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(Registrant’s telephone number,</w:t>
            </w:r>
          </w:p>
        </w:tc>
        <w:tc>
          <w:tcPr>
            <w:tcW w:w="130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u w:val="single" w:color="auto"/>
          <w:color w:val="auto"/>
        </w:rPr>
        <w:t>N/A</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6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67945</wp:posOffset>
            </wp:positionV>
            <wp:extent cx="6292215" cy="2311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31140"/>
                    </a:xfrm>
                    <a:prstGeom prst="rect">
                      <a:avLst/>
                    </a:prstGeom>
                    <a:noFill/>
                  </pic:spPr>
                </pic:pic>
              </a:graphicData>
            </a:graphic>
          </wp:anchor>
        </w:drawing>
      </w:r>
    </w:p>
    <w:p>
      <w:pPr>
        <w:spacing w:after="0" w:line="103" w:lineRule="exact"/>
        <w:rPr>
          <w:sz w:val="24"/>
          <w:szCs w:val="24"/>
          <w:color w:val="auto"/>
        </w:rPr>
      </w:pPr>
    </w:p>
    <w:tbl>
      <w:tblPr>
        <w:tblLayout w:type="fixed"/>
        <w:tblInd w:w="600" w:type="dxa"/>
        <w:tblCellMar>
          <w:top w:w="0" w:type="dxa"/>
          <w:left w:w="0" w:type="dxa"/>
          <w:bottom w:w="0" w:type="dxa"/>
          <w:right w:w="0" w:type="dxa"/>
        </w:tblCellMar>
      </w:tblPr>
      <w:tr>
        <w:trPr>
          <w:trHeight w:val="164"/>
        </w:trPr>
        <w:tc>
          <w:tcPr>
            <w:tcW w:w="2860" w:type="dxa"/>
            <w:vAlign w:val="bottom"/>
          </w:tcPr>
          <w:p>
            <w:pPr>
              <w:jc w:val="center"/>
              <w:ind w:right="86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82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440" w:type="dxa"/>
            <w:vAlign w:val="bottom"/>
          </w:tcPr>
          <w:p>
            <w:pPr>
              <w:jc w:val="center"/>
              <w:ind w:left="68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8"/>
        </w:trPr>
        <w:tc>
          <w:tcPr>
            <w:tcW w:w="2860" w:type="dxa"/>
            <w:vAlign w:val="bottom"/>
          </w:tcPr>
          <w:p>
            <w:pPr>
              <w:jc w:val="center"/>
              <w:ind w:right="868"/>
              <w:spacing w:after="0"/>
              <w:rPr>
                <w:sz w:val="20"/>
                <w:szCs w:val="20"/>
                <w:color w:val="auto"/>
              </w:rPr>
            </w:pPr>
            <w:r>
              <w:rPr>
                <w:rFonts w:ascii="Times New Roman" w:cs="Times New Roman" w:eastAsia="Times New Roman" w:hAnsi="Times New Roman"/>
                <w:sz w:val="14"/>
                <w:szCs w:val="14"/>
                <w:color w:val="auto"/>
              </w:rPr>
              <w:t>Common stock, $0.001 par value</w:t>
            </w:r>
          </w:p>
        </w:tc>
        <w:tc>
          <w:tcPr>
            <w:tcW w:w="282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PLX</w:t>
            </w:r>
          </w:p>
        </w:tc>
        <w:tc>
          <w:tcPr>
            <w:tcW w:w="3440" w:type="dxa"/>
            <w:vAlign w:val="bottom"/>
          </w:tcPr>
          <w:p>
            <w:pPr>
              <w:jc w:val="center"/>
              <w:ind w:left="688"/>
              <w:spacing w:after="0"/>
              <w:rPr>
                <w:sz w:val="20"/>
                <w:szCs w:val="20"/>
                <w:color w:val="auto"/>
              </w:rPr>
            </w:pPr>
            <w:r>
              <w:rPr>
                <w:rFonts w:ascii="Times New Roman" w:cs="Times New Roman" w:eastAsia="Times New Roman" w:hAnsi="Times New Roman"/>
                <w:sz w:val="14"/>
                <w:szCs w:val="14"/>
                <w:color w:val="auto"/>
              </w:rPr>
              <w:t>NYSE American</w:t>
            </w:r>
          </w:p>
        </w:tc>
      </w:tr>
    </w:tbl>
    <w:p>
      <w:pPr>
        <w:spacing w:after="0" w:line="55" w:lineRule="exact"/>
        <w:rPr>
          <w:sz w:val="24"/>
          <w:szCs w:val="24"/>
          <w:color w:val="auto"/>
        </w:rPr>
      </w:pPr>
    </w:p>
    <w:p>
      <w:pPr>
        <w:ind w:right="420"/>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90 days.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58" w:lineRule="exact"/>
        <w:rPr>
          <w:sz w:val="24"/>
          <w:szCs w:val="24"/>
          <w:color w:val="auto"/>
        </w:rPr>
      </w:pPr>
    </w:p>
    <w:p>
      <w:pPr>
        <w:ind w:right="26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47" w:lineRule="exact"/>
        <w:rPr>
          <w:sz w:val="24"/>
          <w:szCs w:val="24"/>
          <w:color w:val="auto"/>
        </w:rPr>
      </w:pPr>
    </w:p>
    <w:p>
      <w:pPr>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9" w:lineRule="exact"/>
        <w:rPr>
          <w:sz w:val="24"/>
          <w:szCs w:val="24"/>
          <w:color w:val="auto"/>
        </w:rPr>
      </w:pPr>
    </w:p>
    <w:tbl>
      <w:tblPr>
        <w:tblLayout w:type="fixed"/>
        <w:tblInd w:w="500" w:type="dxa"/>
        <w:tblCellMar>
          <w:top w:w="0" w:type="dxa"/>
          <w:left w:w="0" w:type="dxa"/>
          <w:bottom w:w="0" w:type="dxa"/>
          <w:right w:w="0" w:type="dxa"/>
        </w:tblCellMar>
      </w:tblPr>
      <w:tr>
        <w:trPr>
          <w:trHeight w:val="188"/>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300" w:type="dxa"/>
            <w:vAlign w:val="bottom"/>
          </w:tcPr>
          <w:p>
            <w:pPr>
              <w:ind w:left="52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352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Accelerated filer</w:t>
            </w:r>
          </w:p>
        </w:tc>
        <w:tc>
          <w:tcPr>
            <w:tcW w:w="460" w:type="dxa"/>
            <w:vAlign w:val="bottom"/>
          </w:tcPr>
          <w:p>
            <w:pPr>
              <w:ind w:left="340"/>
              <w:spacing w:after="0" w:line="188" w:lineRule="exact"/>
              <w:rPr>
                <w:sz w:val="20"/>
                <w:szCs w:val="20"/>
                <w:color w:val="auto"/>
              </w:rPr>
            </w:pPr>
            <w:r>
              <w:rPr>
                <w:rFonts w:ascii="Arial Unicode MS" w:cs="Arial Unicode MS" w:eastAsia="Arial Unicode MS" w:hAnsi="Arial Unicode MS"/>
                <w:sz w:val="14"/>
                <w:szCs w:val="14"/>
                <w:color w:val="auto"/>
                <w:w w:val="96"/>
              </w:rPr>
              <w:t>☐</w:t>
            </w:r>
          </w:p>
        </w:tc>
      </w:tr>
      <w:tr>
        <w:trPr>
          <w:trHeight w:val="175"/>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300" w:type="dxa"/>
            <w:vAlign w:val="bottom"/>
          </w:tcPr>
          <w:p>
            <w:pPr>
              <w:ind w:left="520"/>
              <w:spacing w:after="0" w:line="176" w:lineRule="exact"/>
              <w:rPr>
                <w:sz w:val="20"/>
                <w:szCs w:val="20"/>
                <w:color w:val="auto"/>
              </w:rPr>
            </w:pPr>
            <w:r>
              <w:rPr>
                <w:rFonts w:ascii="Arial Unicode MS" w:cs="Arial Unicode MS" w:eastAsia="Arial Unicode MS" w:hAnsi="Arial Unicode MS"/>
                <w:sz w:val="14"/>
                <w:szCs w:val="14"/>
                <w:color w:val="auto"/>
              </w:rPr>
              <w:t>⌧</w:t>
            </w:r>
          </w:p>
        </w:tc>
        <w:tc>
          <w:tcPr>
            <w:tcW w:w="352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60" w:type="dxa"/>
            <w:vAlign w:val="bottom"/>
          </w:tcPr>
          <w:p>
            <w:pPr>
              <w:ind w:left="340"/>
              <w:spacing w:after="0" w:line="176" w:lineRule="exact"/>
              <w:rPr>
                <w:sz w:val="20"/>
                <w:szCs w:val="20"/>
                <w:color w:val="auto"/>
              </w:rPr>
            </w:pPr>
            <w:r>
              <w:rPr>
                <w:rFonts w:ascii="Arial Unicode MS" w:cs="Arial Unicode MS" w:eastAsia="Arial Unicode MS" w:hAnsi="Arial Unicode MS"/>
                <w:sz w:val="14"/>
                <w:szCs w:val="14"/>
                <w:color w:val="auto"/>
                <w:w w:val="96"/>
              </w:rPr>
              <w:t>☒</w:t>
            </w:r>
          </w:p>
        </w:tc>
      </w:tr>
      <w:tr>
        <w:trPr>
          <w:trHeight w:val="242"/>
        </w:trPr>
        <w:tc>
          <w:tcPr>
            <w:tcW w:w="180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352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Emerging growth company</w:t>
            </w:r>
          </w:p>
        </w:tc>
        <w:tc>
          <w:tcPr>
            <w:tcW w:w="460" w:type="dxa"/>
            <w:vAlign w:val="bottom"/>
          </w:tcPr>
          <w:p>
            <w:pPr>
              <w:ind w:left="340"/>
              <w:spacing w:after="0" w:line="188" w:lineRule="exact"/>
              <w:rPr>
                <w:sz w:val="20"/>
                <w:szCs w:val="20"/>
                <w:color w:val="auto"/>
              </w:rPr>
            </w:pPr>
            <w:r>
              <w:rPr>
                <w:rFonts w:ascii="Arial Unicode MS" w:cs="Arial Unicode MS" w:eastAsia="Arial Unicode MS" w:hAnsi="Arial Unicode MS"/>
                <w:sz w:val="14"/>
                <w:szCs w:val="14"/>
                <w:color w:val="auto"/>
                <w:w w:val="96"/>
              </w:rPr>
              <w:t>☐</w:t>
            </w:r>
          </w:p>
        </w:tc>
      </w:tr>
    </w:tbl>
    <w:p>
      <w:pPr>
        <w:spacing w:after="0" w:line="46" w:lineRule="exact"/>
        <w:rPr>
          <w:sz w:val="24"/>
          <w:szCs w:val="24"/>
          <w:color w:val="auto"/>
        </w:rPr>
      </w:pPr>
    </w:p>
    <w:p>
      <w:pPr>
        <w:ind w:right="42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29" w:lineRule="exact"/>
        <w:rPr>
          <w:sz w:val="24"/>
          <w:szCs w:val="24"/>
          <w:color w:val="auto"/>
        </w:rPr>
      </w:pPr>
    </w:p>
    <w:p>
      <w:pPr>
        <w:ind w:right="2360"/>
        <w:spacing w:after="0" w:line="23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On August 1, 2024, approximately 73,542,674 shares of the Registrant’s common stock, $0.001 par value,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469900</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50165</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92710</wp:posOffset>
            </wp:positionV>
            <wp:extent cx="629221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880"/>
          </w:cols>
          <w:pgMar w:left="980" w:top="1332" w:right="10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76"/>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40" w:type="dxa"/>
            <w:vAlign w:val="bottom"/>
            <w:gridSpan w:val="14"/>
          </w:tcPr>
          <w:p>
            <w:pPr>
              <w:jc w:val="center"/>
              <w:ind w:right="2320"/>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PART I – FINANCIAL INFORMATION</w:t>
            </w:r>
          </w:p>
        </w:tc>
        <w:tc>
          <w:tcPr>
            <w:tcW w:w="580" w:type="dxa"/>
            <w:vAlign w:val="bottom"/>
          </w:tcPr>
          <w:p>
            <w:pPr>
              <w:spacing w:after="0"/>
              <w:rPr>
                <w:sz w:val="15"/>
                <w:szCs w:val="15"/>
                <w:color w:val="auto"/>
              </w:rPr>
            </w:pPr>
          </w:p>
        </w:tc>
      </w:tr>
      <w:tr>
        <w:trPr>
          <w:trHeight w:val="25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260" w:type="dxa"/>
            <w:vAlign w:val="bottom"/>
            <w:gridSpan w:val="3"/>
          </w:tcPr>
          <w:p>
            <w:pPr>
              <w:spacing w:after="0"/>
              <w:rPr>
                <w:sz w:val="21"/>
                <w:szCs w:val="21"/>
                <w:color w:val="auto"/>
              </w:rPr>
            </w:pP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Financial Statements</w:t>
            </w:r>
          </w:p>
        </w:tc>
        <w:tc>
          <w:tcPr>
            <w:tcW w:w="3160" w:type="dxa"/>
            <w:vAlign w:val="bottom"/>
            <w:tcBorders>
              <w:top w:val="single" w:sz="8" w:color="0000EE"/>
            </w:tcBorders>
            <w:gridSpan w:val="7"/>
          </w:tcPr>
          <w:p>
            <w:pPr>
              <w:spacing w:after="0"/>
              <w:rPr>
                <w:sz w:val="21"/>
                <w:szCs w:val="21"/>
                <w:color w:val="auto"/>
              </w:rPr>
            </w:pPr>
          </w:p>
        </w:tc>
        <w:tc>
          <w:tcPr>
            <w:tcW w:w="2700" w:type="dxa"/>
            <w:vAlign w:val="bottom"/>
            <w:gridSpan w:val="6"/>
          </w:tcPr>
          <w:p>
            <w:pPr>
              <w:spacing w:after="0"/>
              <w:rPr>
                <w:sz w:val="21"/>
                <w:szCs w:val="21"/>
                <w:color w:val="auto"/>
              </w:rPr>
            </w:pPr>
          </w:p>
        </w:tc>
        <w:tc>
          <w:tcPr>
            <w:tcW w:w="580" w:type="dxa"/>
            <w:vAlign w:val="bottom"/>
          </w:tcPr>
          <w:p>
            <w:pPr>
              <w:spacing w:after="0"/>
              <w:rPr>
                <w:sz w:val="21"/>
                <w:szCs w:val="2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4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Balance Sheets (Unaudited) – As of June 30, 2024 and December 31, 2023</w:t>
            </w:r>
          </w:p>
        </w:tc>
        <w:tc>
          <w:tcPr>
            <w:tcW w:w="1320" w:type="dxa"/>
            <w:vAlign w:val="bottom"/>
            <w:gridSpan w:val="4"/>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8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 (Unaudited) – For the Six and Three Months Ended June 30, 2024</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and 2023</w:t>
            </w: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Changes in Stockholders’ Equity (Capital Deficiency) (Unaudited) – For the</w:t>
            </w:r>
          </w:p>
        </w:tc>
        <w:tc>
          <w:tcPr>
            <w:tcW w:w="58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36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Six and Three Months Ended June 30, 2024 and 2023</w:t>
            </w:r>
          </w:p>
        </w:tc>
        <w:tc>
          <w:tcPr>
            <w:tcW w:w="200" w:type="dxa"/>
            <w:vAlign w:val="bottom"/>
            <w:gridSpan w:val="3"/>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Cash Flows (Unaudited) – For the Six Months Ended June 30, 2024 and 2023</w:t>
            </w: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Condensed Consolidated Financial Statements</w:t>
            </w:r>
          </w:p>
        </w:tc>
        <w:tc>
          <w:tcPr>
            <w:tcW w:w="4460" w:type="dxa"/>
            <w:vAlign w:val="bottom"/>
            <w:tcBorders>
              <w:top w:val="single" w:sz="8" w:color="0000EE"/>
            </w:tcBorders>
            <w:gridSpan w:val="8"/>
          </w:tcPr>
          <w:p>
            <w:pPr>
              <w:spacing w:after="0"/>
              <w:rPr>
                <w:sz w:val="17"/>
                <w:szCs w:val="17"/>
                <w:color w:val="auto"/>
              </w:rPr>
            </w:pPr>
          </w:p>
        </w:tc>
        <w:tc>
          <w:tcPr>
            <w:tcW w:w="100" w:type="dxa"/>
            <w:vAlign w:val="bottom"/>
            <w:gridSpan w:val="2"/>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2.</w:t>
            </w:r>
          </w:p>
        </w:tc>
        <w:tc>
          <w:tcPr>
            <w:tcW w:w="260" w:type="dxa"/>
            <w:vAlign w:val="bottom"/>
            <w:gridSpan w:val="3"/>
          </w:tcPr>
          <w:p>
            <w:pPr>
              <w:spacing w:after="0"/>
              <w:rPr>
                <w:sz w:val="17"/>
                <w:szCs w:val="17"/>
                <w:color w:val="auto"/>
              </w:rPr>
            </w:pPr>
          </w:p>
        </w:tc>
        <w:tc>
          <w:tcPr>
            <w:tcW w:w="646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2100" w:type="dxa"/>
            <w:vAlign w:val="bottom"/>
            <w:gridSpan w:val="5"/>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15</w:t>
            </w: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3.</w:t>
            </w:r>
          </w:p>
        </w:tc>
        <w:tc>
          <w:tcPr>
            <w:tcW w:w="260" w:type="dxa"/>
            <w:vAlign w:val="bottom"/>
            <w:gridSpan w:val="3"/>
          </w:tcPr>
          <w:p>
            <w:pPr>
              <w:spacing w:after="0"/>
              <w:rPr>
                <w:sz w:val="17"/>
                <w:szCs w:val="17"/>
                <w:color w:val="auto"/>
              </w:rPr>
            </w:pPr>
          </w:p>
        </w:tc>
        <w:tc>
          <w:tcPr>
            <w:tcW w:w="436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4200" w:type="dxa"/>
            <w:vAlign w:val="bottom"/>
            <w:gridSpan w:val="8"/>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32</w:t>
            </w:r>
          </w:p>
        </w:tc>
      </w:tr>
      <w:tr>
        <w:trPr>
          <w:trHeight w:val="196"/>
        </w:trPr>
        <w:tc>
          <w:tcPr>
            <w:tcW w:w="7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85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32</w:t>
            </w:r>
          </w:p>
        </w:tc>
      </w:tr>
      <w:tr>
        <w:trPr>
          <w:trHeight w:val="196"/>
        </w:trPr>
        <w:tc>
          <w:tcPr>
            <w:tcW w:w="5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720" w:type="dxa"/>
            <w:vAlign w:val="bottom"/>
            <w:gridSpan w:val="12"/>
          </w:tcPr>
          <w:p>
            <w:pPr>
              <w:jc w:val="center"/>
              <w:ind w:right="2860"/>
              <w:spacing w:after="0" w:line="196" w:lineRule="exact"/>
              <w:rPr>
                <w:sz w:val="20"/>
                <w:szCs w:val="20"/>
                <w:color w:val="auto"/>
              </w:rPr>
            </w:pPr>
            <w:r>
              <w:rPr>
                <w:rFonts w:ascii="Times New Roman" w:cs="Times New Roman" w:eastAsia="Times New Roman" w:hAnsi="Times New Roman"/>
                <w:sz w:val="18"/>
                <w:szCs w:val="18"/>
                <w:b w:val="1"/>
                <w:bCs w:val="1"/>
                <w:color w:val="0000EE"/>
                <w:w w:val="98"/>
              </w:rPr>
              <w:t>PART II – OTHER INFORMATION</w:t>
            </w:r>
          </w:p>
        </w:tc>
        <w:tc>
          <w:tcPr>
            <w:tcW w:w="580" w:type="dxa"/>
            <w:vAlign w:val="bottom"/>
          </w:tcPr>
          <w:p>
            <w:pPr>
              <w:spacing w:after="0"/>
              <w:rPr>
                <w:sz w:val="17"/>
                <w:szCs w:val="17"/>
                <w:color w:val="auto"/>
              </w:rPr>
            </w:pPr>
          </w:p>
        </w:tc>
      </w:tr>
      <w:tr>
        <w:trPr>
          <w:trHeight w:val="250"/>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260" w:type="dxa"/>
            <w:vAlign w:val="bottom"/>
            <w:gridSpan w:val="3"/>
          </w:tcPr>
          <w:p>
            <w:pPr>
              <w:spacing w:after="0"/>
              <w:rPr>
                <w:sz w:val="21"/>
                <w:szCs w:val="21"/>
                <w:color w:val="auto"/>
              </w:rPr>
            </w:pPr>
          </w:p>
        </w:tc>
        <w:tc>
          <w:tcPr>
            <w:tcW w:w="13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1500" w:type="dxa"/>
            <w:vAlign w:val="bottom"/>
            <w:gridSpan w:val="5"/>
          </w:tcPr>
          <w:p>
            <w:pPr>
              <w:spacing w:after="0"/>
              <w:rPr>
                <w:sz w:val="21"/>
                <w:szCs w:val="21"/>
                <w:color w:val="auto"/>
              </w:rPr>
            </w:pPr>
          </w:p>
        </w:tc>
        <w:tc>
          <w:tcPr>
            <w:tcW w:w="2860" w:type="dxa"/>
            <w:vAlign w:val="bottom"/>
            <w:tcBorders>
              <w:top w:val="single" w:sz="8" w:color="0000EE"/>
            </w:tcBorders>
            <w:gridSpan w:val="5"/>
          </w:tcPr>
          <w:p>
            <w:pPr>
              <w:spacing w:after="0"/>
              <w:rPr>
                <w:sz w:val="21"/>
                <w:szCs w:val="21"/>
                <w:color w:val="auto"/>
              </w:rPr>
            </w:pPr>
          </w:p>
        </w:tc>
        <w:tc>
          <w:tcPr>
            <w:tcW w:w="2860" w:type="dxa"/>
            <w:vAlign w:val="bottom"/>
            <w:gridSpan w:val="7"/>
          </w:tcPr>
          <w:p>
            <w:pPr>
              <w:spacing w:after="0"/>
              <w:rPr>
                <w:sz w:val="21"/>
                <w:szCs w:val="21"/>
                <w:color w:val="auto"/>
              </w:rPr>
            </w:pPr>
          </w:p>
        </w:tc>
        <w:tc>
          <w:tcPr>
            <w:tcW w:w="5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33</w:t>
            </w:r>
          </w:p>
        </w:tc>
      </w:tr>
      <w:tr>
        <w:trPr>
          <w:trHeight w:val="196"/>
        </w:trPr>
        <w:tc>
          <w:tcPr>
            <w:tcW w:w="7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1A.</w:t>
            </w:r>
          </w:p>
        </w:tc>
        <w:tc>
          <w:tcPr>
            <w:tcW w:w="85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33</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220" w:type="dxa"/>
            <w:vAlign w:val="bottom"/>
            <w:gridSpan w:val="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2.</w:t>
            </w:r>
          </w:p>
        </w:tc>
        <w:tc>
          <w:tcPr>
            <w:tcW w:w="120" w:type="dxa"/>
            <w:vAlign w:val="bottom"/>
          </w:tcPr>
          <w:p>
            <w:pPr>
              <w:spacing w:after="0"/>
              <w:rPr>
                <w:sz w:val="17"/>
                <w:szCs w:val="17"/>
                <w:color w:val="auto"/>
              </w:rPr>
            </w:pPr>
          </w:p>
        </w:tc>
        <w:tc>
          <w:tcPr>
            <w:tcW w:w="140" w:type="dxa"/>
            <w:vAlign w:val="bottom"/>
            <w:gridSpan w:val="2"/>
          </w:tcPr>
          <w:p>
            <w:pPr>
              <w:spacing w:after="0"/>
              <w:rPr>
                <w:sz w:val="17"/>
                <w:szCs w:val="17"/>
                <w:color w:val="auto"/>
              </w:rPr>
            </w:pPr>
          </w:p>
        </w:tc>
        <w:tc>
          <w:tcPr>
            <w:tcW w:w="85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33</w:t>
            </w:r>
          </w:p>
        </w:tc>
      </w:tr>
      <w:tr>
        <w:trPr>
          <w:trHeight w:val="196"/>
        </w:trPr>
        <w:tc>
          <w:tcPr>
            <w:tcW w:w="52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3.</w:t>
            </w:r>
          </w:p>
        </w:tc>
        <w:tc>
          <w:tcPr>
            <w:tcW w:w="260" w:type="dxa"/>
            <w:vAlign w:val="bottom"/>
            <w:gridSpan w:val="3"/>
          </w:tcPr>
          <w:p>
            <w:pPr>
              <w:spacing w:after="0"/>
              <w:rPr>
                <w:sz w:val="17"/>
                <w:szCs w:val="17"/>
                <w:color w:val="auto"/>
              </w:rPr>
            </w:pPr>
          </w:p>
        </w:tc>
        <w:tc>
          <w:tcPr>
            <w:tcW w:w="434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4220" w:type="dxa"/>
            <w:vAlign w:val="bottom"/>
            <w:gridSpan w:val="9"/>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33</w:t>
            </w:r>
          </w:p>
        </w:tc>
      </w:tr>
      <w:tr>
        <w:trPr>
          <w:trHeight w:val="196"/>
        </w:trPr>
        <w:tc>
          <w:tcPr>
            <w:tcW w:w="52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4.</w:t>
            </w:r>
          </w:p>
        </w:tc>
        <w:tc>
          <w:tcPr>
            <w:tcW w:w="260" w:type="dxa"/>
            <w:vAlign w:val="bottom"/>
            <w:gridSpan w:val="3"/>
          </w:tcPr>
          <w:p>
            <w:pPr>
              <w:spacing w:after="0"/>
              <w:rPr>
                <w:sz w:val="17"/>
                <w:szCs w:val="17"/>
                <w:color w:val="auto"/>
              </w:rPr>
            </w:pPr>
          </w:p>
        </w:tc>
        <w:tc>
          <w:tcPr>
            <w:tcW w:w="232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6240" w:type="dxa"/>
            <w:vAlign w:val="bottom"/>
            <w:gridSpan w:val="14"/>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33</w:t>
            </w:r>
          </w:p>
        </w:tc>
      </w:tr>
      <w:tr>
        <w:trPr>
          <w:trHeight w:val="196"/>
        </w:trPr>
        <w:tc>
          <w:tcPr>
            <w:tcW w:w="5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5.</w:t>
            </w:r>
          </w:p>
        </w:tc>
        <w:tc>
          <w:tcPr>
            <w:tcW w:w="260" w:type="dxa"/>
            <w:vAlign w:val="bottom"/>
            <w:gridSpan w:val="3"/>
          </w:tcPr>
          <w:p>
            <w:pPr>
              <w:spacing w:after="0"/>
              <w:rPr>
                <w:sz w:val="17"/>
                <w:szCs w:val="17"/>
                <w:color w:val="auto"/>
              </w:rPr>
            </w:pPr>
          </w:p>
        </w:tc>
        <w:tc>
          <w:tcPr>
            <w:tcW w:w="132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440" w:type="dxa"/>
            <w:vAlign w:val="bottom"/>
            <w:tcBorders>
              <w:top w:val="single" w:sz="8" w:color="0000EE"/>
            </w:tcBorders>
            <w:gridSpan w:val="3"/>
          </w:tcPr>
          <w:p>
            <w:pPr>
              <w:spacing w:after="0"/>
              <w:rPr>
                <w:sz w:val="17"/>
                <w:szCs w:val="17"/>
                <w:color w:val="auto"/>
              </w:rPr>
            </w:pPr>
          </w:p>
        </w:tc>
        <w:tc>
          <w:tcPr>
            <w:tcW w:w="6800" w:type="dxa"/>
            <w:vAlign w:val="bottom"/>
            <w:gridSpan w:val="15"/>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33</w:t>
            </w: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6.</w:t>
            </w:r>
          </w:p>
        </w:tc>
        <w:tc>
          <w:tcPr>
            <w:tcW w:w="260" w:type="dxa"/>
            <w:vAlign w:val="bottom"/>
            <w:gridSpan w:val="3"/>
          </w:tcPr>
          <w:p>
            <w:pPr>
              <w:spacing w:after="0"/>
              <w:rPr>
                <w:sz w:val="17"/>
                <w:szCs w:val="17"/>
                <w:color w:val="auto"/>
              </w:rPr>
            </w:pPr>
          </w:p>
        </w:tc>
        <w:tc>
          <w:tcPr>
            <w:tcW w:w="6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7900" w:type="dxa"/>
            <w:vAlign w:val="bottom"/>
            <w:gridSpan w:val="20"/>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33</w:t>
            </w:r>
          </w:p>
        </w:tc>
      </w:tr>
      <w:tr>
        <w:trPr>
          <w:trHeight w:val="196"/>
        </w:trPr>
        <w:tc>
          <w:tcPr>
            <w:tcW w:w="7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Signatures</w:t>
            </w: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35</w:t>
            </w:r>
          </w:p>
        </w:tc>
      </w:tr>
      <w:tr>
        <w:trPr>
          <w:trHeight w:val="959"/>
        </w:trPr>
        <w:tc>
          <w:tcPr>
            <w:tcW w:w="5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089"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5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6920" w:type="dxa"/>
            <w:vAlign w:val="bottom"/>
          </w:tcPr>
          <w:p>
            <w:pPr>
              <w:ind w:left="30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23,399</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bank deposits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21,630</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receivable – Trade</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10,126</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20,719</w:t>
            </w:r>
          </w:p>
        </w:tc>
        <w:tc>
          <w:tcPr>
            <w:tcW w:w="2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77,367</w:t>
            </w:r>
          </w:p>
        </w:tc>
        <w:tc>
          <w:tcPr>
            <w:tcW w:w="2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69,932</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Funds in respect of employee rights upon retirement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4,609</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income tax asset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5,730</w:t>
            </w:r>
          </w:p>
        </w:tc>
        <w:tc>
          <w:tcPr>
            <w:tcW w:w="2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5,909</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91,540</w:t>
            </w:r>
          </w:p>
        </w:tc>
        <w:tc>
          <w:tcPr>
            <w:tcW w:w="2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84,434</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 and accruals:</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Trade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4,064</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19,343</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Contracts liability</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12,695</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Convertible notes</w:t>
            </w: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20,420</w:t>
            </w:r>
          </w:p>
        </w:tc>
        <w:tc>
          <w:tcPr>
            <w:tcW w:w="2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57,972</w:t>
            </w:r>
          </w:p>
        </w:tc>
        <w:tc>
          <w:tcPr>
            <w:tcW w:w="2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45,530</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 TERM LIABILITIES:</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Liability for employee rights upon retirement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4,282</w:t>
            </w:r>
          </w:p>
        </w:tc>
        <w:tc>
          <w:tcPr>
            <w:tcW w:w="2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4,621</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long term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4,987</w:t>
            </w:r>
          </w:p>
        </w:tc>
        <w:tc>
          <w:tcPr>
            <w:tcW w:w="2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62,959</w:t>
            </w:r>
          </w:p>
        </w:tc>
        <w:tc>
          <w:tcPr>
            <w:tcW w:w="2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50,865</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28,581</w:t>
            </w:r>
          </w:p>
        </w:tc>
        <w:tc>
          <w:tcPr>
            <w:tcW w:w="2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33,569</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91,540</w:t>
            </w:r>
          </w:p>
        </w:tc>
        <w:tc>
          <w:tcPr>
            <w:tcW w:w="2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84,434</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 w:name="page4"/>
    <w:bookmarkEnd w:id="3"/>
    <w:p>
      <w:pPr>
        <w:ind w:left="1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840" w:right="2420"/>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PROTALIX BIOTHERAPEUTICS, INC. CONDENSED CONSOLIDATED STATEMENTS OF OPERATIONS </w:t>
      </w:r>
      <w:r>
        <w:rPr>
          <w:rFonts w:ascii="Times New Roman" w:cs="Times New Roman" w:eastAsia="Times New Roman" w:hAnsi="Times New Roman"/>
          <w:sz w:val="18"/>
          <w:szCs w:val="18"/>
          <w:color w:val="auto"/>
        </w:rPr>
        <w:t>(U.S. dollars in thousands, except share and per share data) (Unaudited)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40" w:type="dxa"/>
            <w:vAlign w:val="bottom"/>
          </w:tcPr>
          <w:p>
            <w:pPr>
              <w:spacing w:after="0"/>
              <w:rPr>
                <w:sz w:val="15"/>
                <w:szCs w:val="15"/>
                <w:color w:val="auto"/>
              </w:rPr>
            </w:pPr>
          </w:p>
        </w:tc>
        <w:tc>
          <w:tcPr>
            <w:tcW w:w="248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49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June 30, 2023</w:t>
            </w: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1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June 30, 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REVENUES FROM SELLING GOODS</w:t>
            </w: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16,981</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20,141</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13,304</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15,075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REVENUES FROM LICENSE AND R&amp;D SERVICES</w:t>
            </w: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241</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24,522</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170</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REVENUE</w:t>
            </w: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17,222</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44,663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13,474</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35,075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COST OF GOODS SOLD</w:t>
            </w:r>
          </w:p>
        </w:tc>
        <w:tc>
          <w:tcPr>
            <w:tcW w:w="140" w:type="dxa"/>
            <w:vAlign w:val="bottom"/>
          </w:tcPr>
          <w:p>
            <w:pPr>
              <w:spacing w:after="0"/>
              <w:rPr>
                <w:sz w:val="12"/>
                <w:szCs w:val="12"/>
                <w:color w:val="auto"/>
              </w:rPr>
            </w:pPr>
          </w:p>
        </w:tc>
        <w:tc>
          <w:tcPr>
            <w:tcW w:w="12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(12,058)</w:t>
            </w:r>
          </w:p>
        </w:tc>
        <w:tc>
          <w:tcPr>
            <w:tcW w:w="120" w:type="dxa"/>
            <w:vAlign w:val="bottom"/>
          </w:tcPr>
          <w:p>
            <w:pPr>
              <w:spacing w:after="0"/>
              <w:rPr>
                <w:sz w:val="12"/>
                <w:szCs w:val="12"/>
                <w:color w:val="auto"/>
              </w:rPr>
            </w:pPr>
          </w:p>
        </w:tc>
        <w:tc>
          <w:tcPr>
            <w:tcW w:w="12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(9,233)</w:t>
            </w:r>
          </w:p>
        </w:tc>
        <w:tc>
          <w:tcPr>
            <w:tcW w:w="140" w:type="dxa"/>
            <w:vAlign w:val="bottom"/>
          </w:tcPr>
          <w:p>
            <w:pPr>
              <w:spacing w:after="0"/>
              <w:rPr>
                <w:sz w:val="12"/>
                <w:szCs w:val="12"/>
                <w:color w:val="auto"/>
              </w:rPr>
            </w:pPr>
          </w:p>
        </w:tc>
        <w:tc>
          <w:tcPr>
            <w:tcW w:w="12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(9,456)</w:t>
            </w:r>
          </w:p>
        </w:tc>
        <w:tc>
          <w:tcPr>
            <w:tcW w:w="1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RESEARCH AND DEVELOPMENT EXPENSES</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(5,848)</w:t>
            </w: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(10,322)</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(2,961)</w:t>
            </w: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SELLING, GENERAL AND ADMINISTRATIVE EXPENSES</w:t>
            </w:r>
          </w:p>
        </w:tc>
        <w:tc>
          <w:tcPr>
            <w:tcW w:w="140" w:type="dxa"/>
            <w:vAlign w:val="bottom"/>
          </w:tcPr>
          <w:p>
            <w:pPr>
              <w:spacing w:after="0"/>
              <w:rPr>
                <w:sz w:val="12"/>
                <w:szCs w:val="12"/>
                <w:color w:val="auto"/>
              </w:rPr>
            </w:pPr>
          </w:p>
        </w:tc>
        <w:tc>
          <w:tcPr>
            <w:tcW w:w="12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(6,599)</w:t>
            </w:r>
          </w:p>
        </w:tc>
        <w:tc>
          <w:tcPr>
            <w:tcW w:w="120" w:type="dxa"/>
            <w:vAlign w:val="bottom"/>
          </w:tcPr>
          <w:p>
            <w:pPr>
              <w:spacing w:after="0"/>
              <w:rPr>
                <w:sz w:val="12"/>
                <w:szCs w:val="12"/>
                <w:color w:val="auto"/>
              </w:rPr>
            </w:pPr>
          </w:p>
        </w:tc>
        <w:tc>
          <w:tcPr>
            <w:tcW w:w="12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(7,146)</w:t>
            </w:r>
          </w:p>
        </w:tc>
        <w:tc>
          <w:tcPr>
            <w:tcW w:w="140" w:type="dxa"/>
            <w:vAlign w:val="bottom"/>
          </w:tcPr>
          <w:p>
            <w:pPr>
              <w:spacing w:after="0"/>
              <w:rPr>
                <w:sz w:val="12"/>
                <w:szCs w:val="12"/>
                <w:color w:val="auto"/>
              </w:rPr>
            </w:pPr>
          </w:p>
        </w:tc>
        <w:tc>
          <w:tcPr>
            <w:tcW w:w="12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(3,484)</w:t>
            </w:r>
          </w:p>
        </w:tc>
        <w:tc>
          <w:tcPr>
            <w:tcW w:w="1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OPERATING INCOME (LOSS)</w:t>
            </w: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10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(7,283)</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0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17,962</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10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(2,427)</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10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20,421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FINANCIAL EXPENSES</w:t>
            </w:r>
          </w:p>
        </w:tc>
        <w:tc>
          <w:tcPr>
            <w:tcW w:w="140" w:type="dxa"/>
            <w:vAlign w:val="bottom"/>
          </w:tcPr>
          <w:p>
            <w:pPr>
              <w:spacing w:after="0"/>
              <w:rPr>
                <w:sz w:val="12"/>
                <w:szCs w:val="12"/>
                <w:color w:val="auto"/>
              </w:rPr>
            </w:pPr>
          </w:p>
        </w:tc>
        <w:tc>
          <w:tcPr>
            <w:tcW w:w="10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(757)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(2,169)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(367)</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FINANCIAL INCOME</w:t>
            </w:r>
          </w:p>
        </w:tc>
        <w:tc>
          <w:tcPr>
            <w:tcW w:w="14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1,035</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918</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522</w:t>
            </w: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0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FINANCIAL INCOME (EXPENSES), NET</w:t>
            </w: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278</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(1,251)</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155</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INCOME (LOSS) BEFORE TAX BENEFIT (TAXES ON INCOME)</w:t>
            </w: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(7,005)</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16,711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(2,272)</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19,647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TAX BENEFIT (TAXES ON INCOME)</w:t>
            </w:r>
          </w:p>
        </w:tc>
        <w:tc>
          <w:tcPr>
            <w:tcW w:w="14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(503)</w:t>
            </w:r>
          </w:p>
        </w:tc>
        <w:tc>
          <w:tcPr>
            <w:tcW w:w="14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0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INCOME (LOSS) FOR THE PERIOD</w:t>
            </w: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(6,798)</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16,208</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(2,203)</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19,339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EARNINGS (LOSS) PER SHARE OF COMMON STOCK:</w:t>
            </w: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9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BASIC</w:t>
            </w: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(0.09)</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0.26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(0.03)</w:t>
            </w: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90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(0.09)</w:t>
            </w:r>
          </w:p>
        </w:tc>
        <w:tc>
          <w:tcPr>
            <w:tcW w:w="18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0.18</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(0.03)</w:t>
            </w:r>
          </w:p>
        </w:tc>
        <w:tc>
          <w:tcPr>
            <w:tcW w:w="18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9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WEIGHTED AVERAGE NUMBER OF SHARES OF COMMON STOCK</w:t>
            </w: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9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USED IN COMPUTING EARNINGS (LOSS) PER SHARE:</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BASIC</w:t>
            </w:r>
          </w:p>
        </w:tc>
        <w:tc>
          <w:tcPr>
            <w:tcW w:w="14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73,172,980</w:t>
            </w:r>
          </w:p>
        </w:tc>
        <w:tc>
          <w:tcPr>
            <w:tcW w:w="1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62,378,745</w:t>
            </w:r>
          </w:p>
        </w:tc>
        <w:tc>
          <w:tcPr>
            <w:tcW w:w="1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73,308,281</w:t>
            </w:r>
          </w:p>
        </w:tc>
        <w:tc>
          <w:tcPr>
            <w:tcW w:w="1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67,158,628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900" w:type="dxa"/>
            <w:vAlign w:val="bottom"/>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73,172,980</w:t>
            </w: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78,896,220</w:t>
            </w: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73,308,281</w:t>
            </w: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83,200,641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360045</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10240"/>
          </w:cols>
          <w:pgMar w:left="820" w:top="661" w:right="8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000" w:right="228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PROTALIX BIOTHERAPEUTICS, INC. CONDENSED CONSOLIDATED STATEMENTS OF CHANGES IN STOCKHOLDERS’ EQUITY (CAPITAL DEFICIENCY) </w:t>
      </w:r>
      <w:r>
        <w:rPr>
          <w:rFonts w:ascii="Times New Roman" w:cs="Times New Roman" w:eastAsia="Times New Roman" w:hAnsi="Times New Roman"/>
          <w:sz w:val="18"/>
          <w:szCs w:val="18"/>
          <w:color w:val="auto"/>
        </w:rPr>
        <w:t>(U.S. dollars in thousands, except share data) (Unaudited)</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3"/>
                <w:szCs w:val="13"/>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8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6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8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 (1)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7"/>
                <w:szCs w:val="17"/>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00" w:type="dxa"/>
            <w:vAlign w:val="bottom"/>
          </w:tcPr>
          <w:p>
            <w:pPr>
              <w:spacing w:after="0"/>
              <w:rPr>
                <w:sz w:val="17"/>
                <w:szCs w:val="17"/>
                <w:color w:val="auto"/>
              </w:rPr>
            </w:pPr>
          </w:p>
        </w:tc>
        <w:tc>
          <w:tcPr>
            <w:tcW w:w="8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7"/>
                <w:szCs w:val="17"/>
                <w:color w:val="auto"/>
              </w:rPr>
            </w:pPr>
          </w:p>
        </w:tc>
        <w:tc>
          <w:tcPr>
            <w:tcW w:w="72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4800" w:type="dxa"/>
            <w:vAlign w:val="bottom"/>
          </w:tcPr>
          <w:p>
            <w:pPr>
              <w:spacing w:after="0"/>
              <w:rPr>
                <w:sz w:val="10"/>
                <w:szCs w:val="10"/>
                <w:color w:val="auto"/>
              </w:rPr>
            </w:pPr>
          </w:p>
        </w:tc>
        <w:tc>
          <w:tcPr>
            <w:tcW w:w="8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48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48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Balance at January 1, 2023</w:t>
            </w:r>
          </w:p>
        </w:tc>
        <w:tc>
          <w:tcPr>
            <w:tcW w:w="8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53,790,167</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54</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379,167</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48"/>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gridSpan w:val="2"/>
            <w:shd w:val="clear" w:color="auto" w:fill="CCEEFF"/>
          </w:tcPr>
          <w:p>
            <w:pPr>
              <w:jc w:val="right"/>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(389,861)</w:t>
            </w: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(10,640)</w:t>
            </w:r>
          </w:p>
        </w:tc>
        <w:tc>
          <w:tcPr>
            <w:tcW w:w="0" w:type="dxa"/>
            <w:vAlign w:val="bottom"/>
          </w:tcPr>
          <w:p>
            <w:pPr>
              <w:spacing w:after="0"/>
              <w:rPr>
                <w:sz w:val="1"/>
                <w:szCs w:val="1"/>
                <w:color w:val="auto"/>
              </w:rPr>
            </w:pPr>
          </w:p>
        </w:tc>
      </w:tr>
      <w:tr>
        <w:trPr>
          <w:trHeight w:val="148"/>
        </w:trPr>
        <w:tc>
          <w:tcPr>
            <w:tcW w:w="48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Changes during the six-month period ended June 30, 2023:</w:t>
            </w: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under the Sales Agreement, net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12,560,150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23,941</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23,954</w:t>
            </w:r>
          </w:p>
        </w:tc>
        <w:tc>
          <w:tcPr>
            <w:tcW w:w="0" w:type="dxa"/>
            <w:vAlign w:val="bottom"/>
          </w:tcPr>
          <w:p>
            <w:pPr>
              <w:spacing w:after="0"/>
              <w:rPr>
                <w:sz w:val="1"/>
                <w:szCs w:val="1"/>
                <w:color w:val="auto"/>
              </w:rPr>
            </w:pPr>
          </w:p>
        </w:tc>
      </w:tr>
      <w:tr>
        <w:trPr>
          <w:trHeight w:val="148"/>
        </w:trPr>
        <w:tc>
          <w:tcPr>
            <w:tcW w:w="4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Convertible notes conversions</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4,691,623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7,778</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7,783</w:t>
            </w:r>
          </w:p>
        </w:tc>
        <w:tc>
          <w:tcPr>
            <w:tcW w:w="0" w:type="dxa"/>
            <w:vAlign w:val="bottom"/>
          </w:tcPr>
          <w:p>
            <w:pPr>
              <w:spacing w:after="0"/>
              <w:rPr>
                <w:sz w:val="1"/>
                <w:szCs w:val="1"/>
                <w:color w:val="auto"/>
              </w:rPr>
            </w:pPr>
          </w:p>
        </w:tc>
      </w:tr>
      <w:tr>
        <w:trPr>
          <w:trHeight w:val="148"/>
        </w:trPr>
        <w:tc>
          <w:tcPr>
            <w:tcW w:w="4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related to stock options</w:t>
            </w: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812</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812</w:t>
            </w:r>
          </w:p>
        </w:tc>
        <w:tc>
          <w:tcPr>
            <w:tcW w:w="0" w:type="dxa"/>
            <w:vAlign w:val="bottom"/>
          </w:tcPr>
          <w:p>
            <w:pPr>
              <w:spacing w:after="0"/>
              <w:rPr>
                <w:sz w:val="1"/>
                <w:szCs w:val="1"/>
                <w:color w:val="auto"/>
              </w:rPr>
            </w:pPr>
          </w:p>
        </w:tc>
      </w:tr>
      <w:tr>
        <w:trPr>
          <w:trHeight w:val="149"/>
        </w:trPr>
        <w:tc>
          <w:tcPr>
            <w:tcW w:w="4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related to restricted stock awards</w:t>
            </w: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172</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172</w:t>
            </w:r>
          </w:p>
        </w:tc>
        <w:tc>
          <w:tcPr>
            <w:tcW w:w="0" w:type="dxa"/>
            <w:vAlign w:val="bottom"/>
          </w:tcPr>
          <w:p>
            <w:pPr>
              <w:spacing w:after="0"/>
              <w:rPr>
                <w:sz w:val="1"/>
                <w:szCs w:val="1"/>
                <w:color w:val="auto"/>
              </w:rPr>
            </w:pPr>
          </w:p>
        </w:tc>
      </w:tr>
      <w:tr>
        <w:trPr>
          <w:trHeight w:val="148"/>
        </w:trPr>
        <w:tc>
          <w:tcPr>
            <w:tcW w:w="4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Exercise of warrants</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538,822</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712</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712</w:t>
            </w:r>
          </w:p>
        </w:tc>
        <w:tc>
          <w:tcPr>
            <w:tcW w:w="0" w:type="dxa"/>
            <w:vAlign w:val="bottom"/>
          </w:tcPr>
          <w:p>
            <w:pPr>
              <w:spacing w:after="0"/>
              <w:rPr>
                <w:sz w:val="1"/>
                <w:szCs w:val="1"/>
                <w:color w:val="auto"/>
              </w:rPr>
            </w:pPr>
          </w:p>
        </w:tc>
      </w:tr>
      <w:tr>
        <w:trPr>
          <w:trHeight w:val="148"/>
        </w:trPr>
        <w:tc>
          <w:tcPr>
            <w:tcW w:w="480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Net income for the period</w:t>
            </w:r>
          </w:p>
        </w:tc>
        <w:tc>
          <w:tcPr>
            <w:tcW w:w="88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16,208</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16,208</w:t>
            </w:r>
          </w:p>
        </w:tc>
        <w:tc>
          <w:tcPr>
            <w:tcW w:w="0" w:type="dxa"/>
            <w:vAlign w:val="bottom"/>
          </w:tcPr>
          <w:p>
            <w:pPr>
              <w:spacing w:after="0"/>
              <w:rPr>
                <w:sz w:val="1"/>
                <w:szCs w:val="1"/>
                <w:color w:val="auto"/>
              </w:rPr>
            </w:pPr>
          </w:p>
        </w:tc>
      </w:tr>
      <w:tr>
        <w:trPr>
          <w:trHeight w:val="142"/>
        </w:trPr>
        <w:tc>
          <w:tcPr>
            <w:tcW w:w="480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June 30, 2023</w:t>
            </w: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71,580,762</w:t>
            </w:r>
          </w:p>
        </w:tc>
        <w:tc>
          <w:tcPr>
            <w:tcW w:w="1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72</w:t>
            </w:r>
          </w:p>
        </w:tc>
        <w:tc>
          <w:tcPr>
            <w:tcW w:w="1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412,582</w:t>
            </w:r>
          </w:p>
        </w:tc>
        <w:tc>
          <w:tcPr>
            <w:tcW w:w="1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(373,653)</w:t>
            </w:r>
          </w:p>
        </w:tc>
        <w:tc>
          <w:tcPr>
            <w:tcW w:w="2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39,001</w:t>
            </w: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at January 1, 2024</w:t>
            </w:r>
          </w:p>
        </w:tc>
        <w:tc>
          <w:tcPr>
            <w:tcW w:w="8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800" w:type="dxa"/>
            <w:vAlign w:val="bottom"/>
            <w:vMerge w:val="continue"/>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72,952,124</w:t>
            </w:r>
          </w:p>
        </w:tc>
        <w:tc>
          <w:tcPr>
            <w:tcW w:w="180" w:type="dxa"/>
            <w:vAlign w:val="bottom"/>
            <w:vMerge w:val="continue"/>
          </w:tcPr>
          <w:p>
            <w:pPr>
              <w:spacing w:after="0"/>
              <w:rPr>
                <w:sz w:val="11"/>
                <w:szCs w:val="11"/>
                <w:color w:val="auto"/>
              </w:rPr>
            </w:pPr>
          </w:p>
        </w:tc>
        <w:tc>
          <w:tcPr>
            <w:tcW w:w="1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73</w:t>
            </w:r>
          </w:p>
        </w:tc>
        <w:tc>
          <w:tcPr>
            <w:tcW w:w="180" w:type="dxa"/>
            <w:vAlign w:val="bottom"/>
          </w:tcPr>
          <w:p>
            <w:pPr>
              <w:spacing w:after="0"/>
              <w:rPr>
                <w:sz w:val="11"/>
                <w:szCs w:val="11"/>
                <w:color w:val="auto"/>
              </w:rPr>
            </w:pPr>
          </w:p>
        </w:tc>
        <w:tc>
          <w:tcPr>
            <w:tcW w:w="1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415,045</w:t>
            </w:r>
          </w:p>
        </w:tc>
        <w:tc>
          <w:tcPr>
            <w:tcW w:w="180" w:type="dxa"/>
            <w:vAlign w:val="bottom"/>
          </w:tcPr>
          <w:p>
            <w:pPr>
              <w:spacing w:after="0"/>
              <w:rPr>
                <w:sz w:val="11"/>
                <w:szCs w:val="11"/>
                <w:color w:val="auto"/>
              </w:rPr>
            </w:pPr>
          </w:p>
        </w:tc>
        <w:tc>
          <w:tcPr>
            <w:tcW w:w="200" w:type="dxa"/>
            <w:vAlign w:val="bottom"/>
          </w:tcPr>
          <w:p>
            <w:pPr>
              <w:jc w:val="right"/>
              <w:ind w:right="48"/>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(381,549)</w:t>
            </w:r>
          </w:p>
        </w:tc>
        <w:tc>
          <w:tcPr>
            <w:tcW w:w="200" w:type="dxa"/>
            <w:vAlign w:val="bottom"/>
            <w:vMerge w:val="continue"/>
          </w:tcPr>
          <w:p>
            <w:pPr>
              <w:spacing w:after="0"/>
              <w:rPr>
                <w:sz w:val="11"/>
                <w:szCs w:val="11"/>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33,569</w:t>
            </w:r>
          </w:p>
        </w:tc>
        <w:tc>
          <w:tcPr>
            <w:tcW w:w="0" w:type="dxa"/>
            <w:vAlign w:val="bottom"/>
          </w:tcPr>
          <w:p>
            <w:pPr>
              <w:spacing w:after="0"/>
              <w:rPr>
                <w:sz w:val="1"/>
                <w:szCs w:val="1"/>
                <w:color w:val="auto"/>
              </w:rPr>
            </w:pPr>
          </w:p>
        </w:tc>
      </w:tr>
      <w:tr>
        <w:trPr>
          <w:trHeight w:val="148"/>
        </w:trPr>
        <w:tc>
          <w:tcPr>
            <w:tcW w:w="4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Changes during the six-month period ended June 30, 2024:</w:t>
            </w: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Initial adoption of ASU 2020-06</w:t>
            </w: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(393)</w:t>
            </w: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224</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(169)</w:t>
            </w:r>
          </w:p>
        </w:tc>
        <w:tc>
          <w:tcPr>
            <w:tcW w:w="0" w:type="dxa"/>
            <w:vAlign w:val="bottom"/>
          </w:tcPr>
          <w:p>
            <w:pPr>
              <w:spacing w:after="0"/>
              <w:rPr>
                <w:sz w:val="1"/>
                <w:szCs w:val="1"/>
                <w:color w:val="auto"/>
              </w:rPr>
            </w:pPr>
          </w:p>
        </w:tc>
      </w:tr>
      <w:tr>
        <w:trPr>
          <w:trHeight w:val="148"/>
        </w:trPr>
        <w:tc>
          <w:tcPr>
            <w:tcW w:w="4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related to stock options</w:t>
            </w: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833</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833</w:t>
            </w:r>
          </w:p>
        </w:tc>
        <w:tc>
          <w:tcPr>
            <w:tcW w:w="0" w:type="dxa"/>
            <w:vAlign w:val="bottom"/>
          </w:tcPr>
          <w:p>
            <w:pPr>
              <w:spacing w:after="0"/>
              <w:rPr>
                <w:sz w:val="1"/>
                <w:szCs w:val="1"/>
                <w:color w:val="auto"/>
              </w:rPr>
            </w:pPr>
          </w:p>
        </w:tc>
      </w:tr>
      <w:tr>
        <w:trPr>
          <w:trHeight w:val="148"/>
        </w:trPr>
        <w:tc>
          <w:tcPr>
            <w:tcW w:w="4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related to restricted stock awards</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340,550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1,146</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1,146</w:t>
            </w:r>
          </w:p>
        </w:tc>
        <w:tc>
          <w:tcPr>
            <w:tcW w:w="0" w:type="dxa"/>
            <w:vAlign w:val="bottom"/>
          </w:tcPr>
          <w:p>
            <w:pPr>
              <w:spacing w:after="0"/>
              <w:rPr>
                <w:sz w:val="1"/>
                <w:szCs w:val="1"/>
                <w:color w:val="auto"/>
              </w:rPr>
            </w:pPr>
          </w:p>
        </w:tc>
      </w:tr>
      <w:tr>
        <w:trPr>
          <w:trHeight w:val="148"/>
        </w:trPr>
        <w:tc>
          <w:tcPr>
            <w:tcW w:w="4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 for the period</w:t>
            </w: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(6,798)</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(6,798)</w:t>
            </w:r>
          </w:p>
        </w:tc>
        <w:tc>
          <w:tcPr>
            <w:tcW w:w="0" w:type="dxa"/>
            <w:vAlign w:val="bottom"/>
          </w:tcPr>
          <w:p>
            <w:pPr>
              <w:spacing w:after="0"/>
              <w:rPr>
                <w:sz w:val="1"/>
                <w:szCs w:val="1"/>
                <w:color w:val="auto"/>
              </w:rPr>
            </w:pPr>
          </w:p>
        </w:tc>
      </w:tr>
      <w:tr>
        <w:trPr>
          <w:trHeight w:val="182"/>
        </w:trPr>
        <w:tc>
          <w:tcPr>
            <w:tcW w:w="480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June 30, 2024</w:t>
            </w: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73,292,674</w:t>
            </w:r>
          </w:p>
        </w:tc>
        <w:tc>
          <w:tcPr>
            <w:tcW w:w="1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73</w:t>
            </w:r>
          </w:p>
        </w:tc>
        <w:tc>
          <w:tcPr>
            <w:tcW w:w="1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416,631</w:t>
            </w:r>
          </w:p>
        </w:tc>
        <w:tc>
          <w:tcPr>
            <w:tcW w:w="18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(388,123)</w:t>
            </w:r>
          </w:p>
        </w:tc>
        <w:tc>
          <w:tcPr>
            <w:tcW w:w="2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28,581</w:t>
            </w:r>
          </w:p>
        </w:tc>
        <w:tc>
          <w:tcPr>
            <w:tcW w:w="0" w:type="dxa"/>
            <w:vAlign w:val="bottom"/>
          </w:tcPr>
          <w:p>
            <w:pPr>
              <w:spacing w:after="0"/>
              <w:rPr>
                <w:sz w:val="1"/>
                <w:szCs w:val="1"/>
                <w:color w:val="auto"/>
              </w:rPr>
            </w:pPr>
          </w:p>
        </w:tc>
      </w:tr>
      <w:tr>
        <w:trPr>
          <w:trHeight w:val="129"/>
        </w:trPr>
        <w:tc>
          <w:tcPr>
            <w:tcW w:w="48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Balance at March 31, 2023</w:t>
            </w:r>
          </w:p>
        </w:tc>
        <w:tc>
          <w:tcPr>
            <w:tcW w:w="8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62,002,649</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62</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393,938</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48"/>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(392,992)</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1,008</w:t>
            </w:r>
          </w:p>
        </w:tc>
        <w:tc>
          <w:tcPr>
            <w:tcW w:w="0" w:type="dxa"/>
            <w:vAlign w:val="bottom"/>
          </w:tcPr>
          <w:p>
            <w:pPr>
              <w:spacing w:after="0"/>
              <w:rPr>
                <w:sz w:val="1"/>
                <w:szCs w:val="1"/>
                <w:color w:val="auto"/>
              </w:rPr>
            </w:pPr>
          </w:p>
        </w:tc>
      </w:tr>
      <w:tr>
        <w:trPr>
          <w:trHeight w:val="148"/>
        </w:trPr>
        <w:tc>
          <w:tcPr>
            <w:tcW w:w="48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Changes during the three-month period ended June 30, 2023:</w:t>
            </w: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under the Sales Agreement, net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4,347,668</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9,716</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9,721</w:t>
            </w:r>
          </w:p>
        </w:tc>
        <w:tc>
          <w:tcPr>
            <w:tcW w:w="0" w:type="dxa"/>
            <w:vAlign w:val="bottom"/>
          </w:tcPr>
          <w:p>
            <w:pPr>
              <w:spacing w:after="0"/>
              <w:rPr>
                <w:sz w:val="1"/>
                <w:szCs w:val="1"/>
                <w:color w:val="auto"/>
              </w:rPr>
            </w:pPr>
          </w:p>
        </w:tc>
      </w:tr>
      <w:tr>
        <w:trPr>
          <w:trHeight w:val="148"/>
        </w:trPr>
        <w:tc>
          <w:tcPr>
            <w:tcW w:w="4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Convertible notes conversions</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4,691,623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7,778</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7,783</w:t>
            </w:r>
          </w:p>
        </w:tc>
        <w:tc>
          <w:tcPr>
            <w:tcW w:w="0" w:type="dxa"/>
            <w:vAlign w:val="bottom"/>
          </w:tcPr>
          <w:p>
            <w:pPr>
              <w:spacing w:after="0"/>
              <w:rPr>
                <w:sz w:val="1"/>
                <w:szCs w:val="1"/>
                <w:color w:val="auto"/>
              </w:rPr>
            </w:pPr>
          </w:p>
        </w:tc>
      </w:tr>
      <w:tr>
        <w:trPr>
          <w:trHeight w:val="148"/>
        </w:trPr>
        <w:tc>
          <w:tcPr>
            <w:tcW w:w="4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related to stock options</w:t>
            </w: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359</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359</w:t>
            </w:r>
          </w:p>
        </w:tc>
        <w:tc>
          <w:tcPr>
            <w:tcW w:w="0" w:type="dxa"/>
            <w:vAlign w:val="bottom"/>
          </w:tcPr>
          <w:p>
            <w:pPr>
              <w:spacing w:after="0"/>
              <w:rPr>
                <w:sz w:val="1"/>
                <w:szCs w:val="1"/>
                <w:color w:val="auto"/>
              </w:rPr>
            </w:pPr>
          </w:p>
        </w:tc>
      </w:tr>
      <w:tr>
        <w:trPr>
          <w:trHeight w:val="148"/>
        </w:trPr>
        <w:tc>
          <w:tcPr>
            <w:tcW w:w="4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related to restricted stock awards</w:t>
            </w: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149"/>
        </w:trPr>
        <w:tc>
          <w:tcPr>
            <w:tcW w:w="4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Exercise of warrants</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538,822</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712</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712</w:t>
            </w:r>
          </w:p>
        </w:tc>
        <w:tc>
          <w:tcPr>
            <w:tcW w:w="0" w:type="dxa"/>
            <w:vAlign w:val="bottom"/>
          </w:tcPr>
          <w:p>
            <w:pPr>
              <w:spacing w:after="0"/>
              <w:rPr>
                <w:sz w:val="1"/>
                <w:szCs w:val="1"/>
                <w:color w:val="auto"/>
              </w:rPr>
            </w:pPr>
          </w:p>
        </w:tc>
      </w:tr>
      <w:tr>
        <w:trPr>
          <w:trHeight w:val="148"/>
        </w:trPr>
        <w:tc>
          <w:tcPr>
            <w:tcW w:w="480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Net income for the period</w:t>
            </w:r>
          </w:p>
        </w:tc>
        <w:tc>
          <w:tcPr>
            <w:tcW w:w="88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19,339</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19,339</w:t>
            </w:r>
          </w:p>
        </w:tc>
        <w:tc>
          <w:tcPr>
            <w:tcW w:w="0" w:type="dxa"/>
            <w:vAlign w:val="bottom"/>
          </w:tcPr>
          <w:p>
            <w:pPr>
              <w:spacing w:after="0"/>
              <w:rPr>
                <w:sz w:val="1"/>
                <w:szCs w:val="1"/>
                <w:color w:val="auto"/>
              </w:rPr>
            </w:pPr>
          </w:p>
        </w:tc>
      </w:tr>
      <w:tr>
        <w:trPr>
          <w:trHeight w:val="142"/>
        </w:trPr>
        <w:tc>
          <w:tcPr>
            <w:tcW w:w="480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June 30, 2023</w:t>
            </w: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71,580,762</w:t>
            </w:r>
          </w:p>
        </w:tc>
        <w:tc>
          <w:tcPr>
            <w:tcW w:w="1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72</w:t>
            </w:r>
          </w:p>
        </w:tc>
        <w:tc>
          <w:tcPr>
            <w:tcW w:w="1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412,582</w:t>
            </w:r>
          </w:p>
        </w:tc>
        <w:tc>
          <w:tcPr>
            <w:tcW w:w="1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(373,653)</w:t>
            </w:r>
          </w:p>
        </w:tc>
        <w:tc>
          <w:tcPr>
            <w:tcW w:w="2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39,001</w:t>
            </w: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at March 31, 2024</w:t>
            </w:r>
          </w:p>
        </w:tc>
        <w:tc>
          <w:tcPr>
            <w:tcW w:w="8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800" w:type="dxa"/>
            <w:vAlign w:val="bottom"/>
            <w:vMerge w:val="continue"/>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73,052,124</w:t>
            </w:r>
          </w:p>
        </w:tc>
        <w:tc>
          <w:tcPr>
            <w:tcW w:w="180" w:type="dxa"/>
            <w:vAlign w:val="bottom"/>
            <w:vMerge w:val="continue"/>
          </w:tcPr>
          <w:p>
            <w:pPr>
              <w:spacing w:after="0"/>
              <w:rPr>
                <w:sz w:val="11"/>
                <w:szCs w:val="11"/>
                <w:color w:val="auto"/>
              </w:rPr>
            </w:pPr>
          </w:p>
        </w:tc>
        <w:tc>
          <w:tcPr>
            <w:tcW w:w="1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73</w:t>
            </w:r>
          </w:p>
        </w:tc>
        <w:tc>
          <w:tcPr>
            <w:tcW w:w="180" w:type="dxa"/>
            <w:vAlign w:val="bottom"/>
          </w:tcPr>
          <w:p>
            <w:pPr>
              <w:spacing w:after="0"/>
              <w:rPr>
                <w:sz w:val="11"/>
                <w:szCs w:val="11"/>
                <w:color w:val="auto"/>
              </w:rPr>
            </w:pPr>
          </w:p>
        </w:tc>
        <w:tc>
          <w:tcPr>
            <w:tcW w:w="1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415,633</w:t>
            </w:r>
          </w:p>
        </w:tc>
        <w:tc>
          <w:tcPr>
            <w:tcW w:w="180" w:type="dxa"/>
            <w:vAlign w:val="bottom"/>
          </w:tcPr>
          <w:p>
            <w:pPr>
              <w:spacing w:after="0"/>
              <w:rPr>
                <w:sz w:val="11"/>
                <w:szCs w:val="11"/>
                <w:color w:val="auto"/>
              </w:rPr>
            </w:pPr>
          </w:p>
        </w:tc>
        <w:tc>
          <w:tcPr>
            <w:tcW w:w="200" w:type="dxa"/>
            <w:vAlign w:val="bottom"/>
          </w:tcPr>
          <w:p>
            <w:pPr>
              <w:jc w:val="right"/>
              <w:ind w:right="48"/>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(385,920)</w:t>
            </w:r>
          </w:p>
        </w:tc>
        <w:tc>
          <w:tcPr>
            <w:tcW w:w="200" w:type="dxa"/>
            <w:vAlign w:val="bottom"/>
            <w:vMerge w:val="continue"/>
          </w:tcPr>
          <w:p>
            <w:pPr>
              <w:spacing w:after="0"/>
              <w:rPr>
                <w:sz w:val="11"/>
                <w:szCs w:val="11"/>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29,786</w:t>
            </w:r>
          </w:p>
        </w:tc>
        <w:tc>
          <w:tcPr>
            <w:tcW w:w="0" w:type="dxa"/>
            <w:vAlign w:val="bottom"/>
          </w:tcPr>
          <w:p>
            <w:pPr>
              <w:spacing w:after="0"/>
              <w:rPr>
                <w:sz w:val="1"/>
                <w:szCs w:val="1"/>
                <w:color w:val="auto"/>
              </w:rPr>
            </w:pPr>
          </w:p>
        </w:tc>
      </w:tr>
      <w:tr>
        <w:trPr>
          <w:trHeight w:val="149"/>
        </w:trPr>
        <w:tc>
          <w:tcPr>
            <w:tcW w:w="4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Changes during the three-month period ended June 30, 2024:</w:t>
            </w: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related to stock options</w:t>
            </w: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333</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333</w:t>
            </w:r>
          </w:p>
        </w:tc>
        <w:tc>
          <w:tcPr>
            <w:tcW w:w="0" w:type="dxa"/>
            <w:vAlign w:val="bottom"/>
          </w:tcPr>
          <w:p>
            <w:pPr>
              <w:spacing w:after="0"/>
              <w:rPr>
                <w:sz w:val="1"/>
                <w:szCs w:val="1"/>
                <w:color w:val="auto"/>
              </w:rPr>
            </w:pPr>
          </w:p>
        </w:tc>
      </w:tr>
      <w:tr>
        <w:trPr>
          <w:trHeight w:val="149"/>
        </w:trPr>
        <w:tc>
          <w:tcPr>
            <w:tcW w:w="4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related to restricted stock awards</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240,550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665</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665</w:t>
            </w:r>
          </w:p>
        </w:tc>
        <w:tc>
          <w:tcPr>
            <w:tcW w:w="0" w:type="dxa"/>
            <w:vAlign w:val="bottom"/>
          </w:tcPr>
          <w:p>
            <w:pPr>
              <w:spacing w:after="0"/>
              <w:rPr>
                <w:sz w:val="1"/>
                <w:szCs w:val="1"/>
                <w:color w:val="auto"/>
              </w:rPr>
            </w:pPr>
          </w:p>
        </w:tc>
      </w:tr>
      <w:tr>
        <w:trPr>
          <w:trHeight w:val="148"/>
        </w:trPr>
        <w:tc>
          <w:tcPr>
            <w:tcW w:w="4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 for the period</w:t>
            </w: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(2,203)</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(2,203)</w:t>
            </w:r>
          </w:p>
        </w:tc>
        <w:tc>
          <w:tcPr>
            <w:tcW w:w="0" w:type="dxa"/>
            <w:vAlign w:val="bottom"/>
          </w:tcPr>
          <w:p>
            <w:pPr>
              <w:spacing w:after="0"/>
              <w:rPr>
                <w:sz w:val="1"/>
                <w:szCs w:val="1"/>
                <w:color w:val="auto"/>
              </w:rPr>
            </w:pPr>
          </w:p>
        </w:tc>
      </w:tr>
      <w:tr>
        <w:trPr>
          <w:trHeight w:val="142"/>
        </w:trPr>
        <w:tc>
          <w:tcPr>
            <w:tcW w:w="480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June 30, 2024</w:t>
            </w: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73,292,674</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73</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416,631</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(388,123)</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28,581</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*Represents an amount equal to less than $1.</w:t>
      </w:r>
    </w:p>
    <w:p>
      <w:pPr>
        <w:spacing w:after="0" w:line="225"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$0.001 par value; Authorized – as of June 30, 2024 and December 31, 2023 – 185,000,000 shares.</w:t>
      </w:r>
    </w:p>
    <w:p>
      <w:pPr>
        <w:spacing w:after="0" w:line="221"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4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2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June 30, 2023</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(6,798)</w:t>
            </w:r>
          </w:p>
        </w:tc>
        <w:tc>
          <w:tcPr>
            <w:tcW w:w="3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Adjustments required to reconcile net loss to net cash provided by operating activities: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Share-based compensation</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Financial income, net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Changes in accrued liability for employee rights upon retirement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deferred tax asset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Gain on amounts funded in respect of employee rights upon retirement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on conversions of convertible notes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Amortization of debt issuance costs and debt discount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Increase (decrease) in contracts liability</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Decrease (increase) in accounts receivable-trade and other assets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Changes in operating lease right of use assets, net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Increase in inventories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Increase in accounts payable and accruals</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sale of short-term deposits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Amounts funded in respect of employee rights upon retirement, net</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4,510</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stock under the Sales Agreement, net</w:t>
            </w:r>
          </w:p>
        </w:tc>
        <w:tc>
          <w:tcPr>
            <w:tcW w:w="3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Exercise of warrants</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EFFECT OF EXCHANGE RATE CHANGES ON CASH AND CASH</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EQUIVALENTS</w:t>
            </w:r>
          </w:p>
        </w:tc>
        <w:tc>
          <w:tcPr>
            <w:tcW w:w="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31,073</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BALANCE OF CASH AND CASH EQUIVALENTS AT BEGINNING OF PERIOD</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23,634</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17,111</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OF CASH AND CASH EQUIVALENTS AT END OF PERIOD</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23,399</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48,184</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(Continued) – 2</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40" w:type="dxa"/>
            <w:vAlign w:val="bottom"/>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June 30, 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34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SUPPLEMENTARY INFORMATION ON INVESTING AND FINANCING ACTIVITIES</w:t>
            </w: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NOT INVOLVING CASH FLOWS:</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20" w:type="dxa"/>
            <w:vAlign w:val="bottom"/>
          </w:tcPr>
          <w:p>
            <w:pPr>
              <w:spacing w:after="0"/>
              <w:rPr>
                <w:sz w:val="22"/>
                <w:szCs w:val="22"/>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40" w:type="dxa"/>
            <w:vAlign w:val="bottom"/>
            <w:tcBorders>
              <w:top w:val="single" w:sz="8" w:color="CCEEFF"/>
              <w:bottom w:val="single" w:sz="8" w:color="CCEEFF"/>
            </w:tcBorders>
            <w:shd w:val="clear" w:color="auto" w:fill="CCEEFF"/>
          </w:tcPr>
          <w:p>
            <w:pPr>
              <w:ind w:left="200"/>
              <w:spacing w:after="0" w:line="196" w:lineRule="exact"/>
              <w:rPr>
                <w:sz w:val="20"/>
                <w:szCs w:val="20"/>
                <w:color w:val="auto"/>
              </w:rPr>
            </w:pPr>
            <w:r>
              <w:rPr>
                <w:rFonts w:ascii="Times New Roman" w:cs="Times New Roman" w:eastAsia="Times New Roman" w:hAnsi="Times New Roman"/>
                <w:sz w:val="18"/>
                <w:szCs w:val="18"/>
                <w:color w:val="auto"/>
              </w:rPr>
              <w:t>Operating lease right of use assets obtained in exchange for new operating lease liabilities</w:t>
            </w: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258</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1,079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Convertible notes conversions</w:t>
            </w: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3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7,783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SUPPLEMENTARY DISCLOSURE ON CASH FLOWS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paid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2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Borders>
              <w:top w:val="single" w:sz="8" w:color="CCEEFF"/>
              <w:bottom w:val="single" w:sz="8" w:color="CCEEFF"/>
            </w:tcBorders>
            <w:vMerge w:val="restart"/>
          </w:tcPr>
          <w:p>
            <w:pPr>
              <w:ind w:left="200"/>
              <w:spacing w:after="0"/>
              <w:rPr>
                <w:sz w:val="20"/>
                <w:szCs w:val="20"/>
                <w:color w:val="auto"/>
              </w:rPr>
            </w:pPr>
            <w:r>
              <w:rPr>
                <w:rFonts w:ascii="Times New Roman" w:cs="Times New Roman" w:eastAsia="Times New Roman" w:hAnsi="Times New Roman"/>
                <w:sz w:val="18"/>
                <w:szCs w:val="18"/>
                <w:color w:val="auto"/>
              </w:rPr>
              <w:t>Interest received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34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22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000" w:right="200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PROTALIX BIOTHERAPEUTICS, INC. NOTES TO CONDENSED CONSOLIDATED FINANCIAL STATEMENTS </w:t>
      </w:r>
      <w:r>
        <w:rPr>
          <w:rFonts w:ascii="Times New Roman" w:cs="Times New Roman" w:eastAsia="Times New Roman" w:hAnsi="Times New Roman"/>
          <w:sz w:val="18"/>
          <w:szCs w:val="18"/>
          <w:color w:val="auto"/>
        </w:rPr>
        <w:t>(Unaudited)</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SIGNIFICANT ACCOUNTING POLICIES</w:t>
      </w:r>
    </w:p>
    <w:p>
      <w:pPr>
        <w:spacing w:after="0" w:line="185"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188" w:lineRule="exact"/>
        <w:rPr>
          <w:rFonts w:ascii="Times New Roman" w:cs="Times New Roman" w:eastAsia="Times New Roman" w:hAnsi="Times New Roman"/>
          <w:sz w:val="18"/>
          <w:szCs w:val="18"/>
          <w:b w:val="1"/>
          <w:bCs w:val="1"/>
          <w:color w:val="auto"/>
        </w:rPr>
      </w:pPr>
    </w:p>
    <w:p>
      <w:pPr>
        <w:ind w:left="980" w:right="140"/>
        <w:spacing w:after="0" w:line="22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Protalix BioTherapeutics, Inc. (collectively with its subsidiaries, the “Company”) and its wholly-owned subsidiaries, Protalix Ltd. and Protalix B.V. (collectively, the “Subsidiaries”), are biopharmaceutical companies focused on the development and commercialization of recombinant therapeutic proteins based on the Company’s proprietary ProCellEx</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protein expression system (“ProCellEx”). To date, the Company has successfully developed two enzyme replacement therapies (ERTs); Elfabrio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(pegunigalsidase alfa) for the treatment of adult patients with a confirmed diagnosis of Fabry disease and Elelyso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(taliglucerase alfa) for the treatment of adult patients with Gaucher disease. Elfabrio, which the Company referred to as PRX-102 during its development stage, has been approved for marketing in the United States, the European Union, Great Britain, Switzerland and Israel. The Company has partnered with Chiesi Farmaceutici S.p.A. (“Chiesi”) for the development and commercialization of Elfabrio.</w:t>
      </w:r>
    </w:p>
    <w:p>
      <w:pPr>
        <w:spacing w:after="0" w:line="172" w:lineRule="exact"/>
        <w:rPr>
          <w:rFonts w:ascii="Times New Roman" w:cs="Times New Roman" w:eastAsia="Times New Roman" w:hAnsi="Times New Roman"/>
          <w:sz w:val="18"/>
          <w:szCs w:val="18"/>
          <w:b w:val="1"/>
          <w:bCs w:val="1"/>
          <w:color w:val="auto"/>
        </w:rPr>
      </w:pPr>
    </w:p>
    <w:p>
      <w:pPr>
        <w:ind w:left="980" w:right="1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licensed the rights to commercialize Elelyso worldwide (other than Brazil) to Pfizer Inc. (“Pfizer”), and in Brazil to Fundação Oswaldo Cruz (“Fiocruz”), an arm of the Brazilian Ministry of Health (the “Brazilian MoH”). Elelyso is marketed as BioManguinhos alfataliglicerase in Brazil.</w:t>
      </w:r>
    </w:p>
    <w:p>
      <w:pPr>
        <w:spacing w:after="0" w:line="135" w:lineRule="exact"/>
        <w:rPr>
          <w:rFonts w:ascii="Times New Roman" w:cs="Times New Roman" w:eastAsia="Times New Roman" w:hAnsi="Times New Roman"/>
          <w:sz w:val="18"/>
          <w:szCs w:val="18"/>
          <w:b w:val="1"/>
          <w:bCs w:val="1"/>
          <w:color w:val="auto"/>
        </w:rPr>
      </w:pPr>
    </w:p>
    <w:p>
      <w:pPr>
        <w:ind w:left="980" w:right="2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committed to leveraging its track record of success as the Company progresses with the development of treatments for rare and orphan diseases. Accordingly, the Company is turning its focus to new, early-stage product candidates that treat indications for which there are high unmet needs in terms of efficacy and safety, including renal diseases. Treatments of interest will address both genetic and non-genetic diseases. The Company intends to use its ProCellEx platform and PEGylization capabilities, as well as other modalities such as small molecules and antibodies, to take advantage of highly innovative opportunities. The Company is also exploring novel platform technologies.</w:t>
      </w:r>
    </w:p>
    <w:p>
      <w:pPr>
        <w:spacing w:after="0" w:line="146" w:lineRule="exact"/>
        <w:rPr>
          <w:rFonts w:ascii="Times New Roman" w:cs="Times New Roman" w:eastAsia="Times New Roman" w:hAnsi="Times New Roman"/>
          <w:sz w:val="18"/>
          <w:szCs w:val="18"/>
          <w:b w:val="1"/>
          <w:bCs w:val="1"/>
          <w:color w:val="auto"/>
        </w:rPr>
      </w:pPr>
    </w:p>
    <w:p>
      <w:pPr>
        <w:ind w:left="98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May 5, 2023, the European Commission (“EC”) announced that it had approved the Marketing Authorization Application (“MAA”) for Elfabrio and on May 9, 2023, the U.S. Food and Drug Administration (“FDA”) announced that it had approved the Biologics License Application (“BLA”) for Elfabrio, each for adult patients with a confirmed diagnosis of Fabry disease. Both approvals cover the 1 mg/kg every two weeks dosage. The European Medicines Agency (“EMA”) approval followed the February 2023 adoption of a positive opinion and recommendation of marketing authorization for Elfabrio by the EMA’s Committee for Medicinal Products for Human Use the (“CHMP”). Elfabrio was approved by the FDA with a boxed warning for hypersensitivity reactions/anaphylaxis, consistent with Enzyme Replacement Therapy (ERT) class labeling, and Warnings/Precautions providing guidance on the signs and symptoms of hypersensitivity and infusion-associated reactions seen in the clinical studies as well as treatments to manage such events should they occur. The Warnings/Precautions for membranoproliferative glomerulonephritis (MPGN) alert prescribers to the possibility of MPGN and provide guidance for appropriate patient management. Overall, the FDA review team concluded that in the context of Fabry disease as a rare, serious disease with limited therapeutic options that may not be suitable to all individual patients, the benefit-risk of Elfabrio is favorable for the treatment of adults with confirmed Fabry disease.</w:t>
      </w:r>
    </w:p>
    <w:p>
      <w:pPr>
        <w:spacing w:after="0" w:line="160" w:lineRule="exact"/>
        <w:rPr>
          <w:rFonts w:ascii="Times New Roman" w:cs="Times New Roman" w:eastAsia="Times New Roman" w:hAnsi="Times New Roman"/>
          <w:sz w:val="18"/>
          <w:szCs w:val="18"/>
          <w:b w:val="1"/>
          <w:bCs w:val="1"/>
          <w:color w:val="auto"/>
        </w:rPr>
      </w:pPr>
    </w:p>
    <w:p>
      <w:pPr>
        <w:ind w:left="98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entered into two exclusive global licensing and supply agreements for Elfabrio with Chiesi. On October 19, 2017, Protalix Ltd., the Company’s wholly-owned subsidiary, entered into an Exclusive License and Supply Agreement with Chiesi (the “Chiesi Ex-US Agreement”) pursuant to which Chiesi was granted an exclusive license for all markets outside of the United States to commercialize Elfabrio. On July 23, 2018, Protalix Ltd. entered into an Exclusive License and Supply Agreement with Chiesi (the “Chiesi US Agreement”), with respect to the commercialization of Elfabrio in the United States.</w:t>
      </w:r>
    </w:p>
    <w:p>
      <w:pPr>
        <w:spacing w:after="0" w:line="160" w:lineRule="exact"/>
        <w:rPr>
          <w:rFonts w:ascii="Times New Roman" w:cs="Times New Roman" w:eastAsia="Times New Roman" w:hAnsi="Times New Roman"/>
          <w:sz w:val="18"/>
          <w:szCs w:val="18"/>
          <w:b w:val="1"/>
          <w:bCs w:val="1"/>
          <w:color w:val="auto"/>
        </w:rPr>
      </w:pPr>
    </w:p>
    <w:p>
      <w:pPr>
        <w:ind w:left="980" w:right="20"/>
        <w:spacing w:after="0" w:line="27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 xml:space="preserve">Elfabrio was the subject of a phase III clinical program studying the drug as a treatment of patients with Fabry disease, a rare, genetic lysosomal disorder. The phase III clinical program included three separate studies, which are referred to as the </w:t>
      </w:r>
      <w:r>
        <w:rPr>
          <w:rFonts w:ascii="Times New Roman" w:cs="Times New Roman" w:eastAsia="Times New Roman" w:hAnsi="Times New Roman"/>
          <w:sz w:val="17"/>
          <w:szCs w:val="17"/>
          <w:i w:val="1"/>
          <w:iCs w:val="1"/>
          <w:color w:val="auto"/>
        </w:rPr>
        <w:t xml:space="preserve">BALANCE </w:t>
      </w:r>
      <w:r>
        <w:rPr>
          <w:rFonts w:ascii="Times New Roman" w:cs="Times New Roman" w:eastAsia="Times New Roman" w:hAnsi="Times New Roman"/>
          <w:sz w:val="17"/>
          <w:szCs w:val="17"/>
          <w:color w:val="auto"/>
        </w:rPr>
        <w:t>study, the</w:t>
      </w:r>
      <w:r>
        <w:rPr>
          <w:rFonts w:ascii="Times New Roman" w:cs="Times New Roman" w:eastAsia="Times New Roman" w:hAnsi="Times New Roman"/>
          <w:sz w:val="17"/>
          <w:szCs w:val="17"/>
          <w:i w:val="1"/>
          <w:iCs w:val="1"/>
          <w:color w:val="auto"/>
        </w:rPr>
        <w:t xml:space="preserve"> BRIDGE </w:t>
      </w:r>
      <w:r>
        <w:rPr>
          <w:rFonts w:ascii="Times New Roman" w:cs="Times New Roman" w:eastAsia="Times New Roman" w:hAnsi="Times New Roman"/>
          <w:sz w:val="17"/>
          <w:szCs w:val="17"/>
          <w:color w:val="auto"/>
        </w:rPr>
        <w:t>study and the</w:t>
      </w:r>
      <w:r>
        <w:rPr>
          <w:rFonts w:ascii="Times New Roman" w:cs="Times New Roman" w:eastAsia="Times New Roman" w:hAnsi="Times New Roman"/>
          <w:sz w:val="17"/>
          <w:szCs w:val="17"/>
          <w:i w:val="1"/>
          <w:iCs w:val="1"/>
          <w:color w:val="auto"/>
        </w:rPr>
        <w:t xml:space="preserve"> BRIGHT </w:t>
      </w:r>
      <w:r>
        <w:rPr>
          <w:rFonts w:ascii="Times New Roman" w:cs="Times New Roman" w:eastAsia="Times New Roman" w:hAnsi="Times New Roman"/>
          <w:sz w:val="17"/>
          <w:szCs w:val="17"/>
          <w:color w:val="auto"/>
        </w:rPr>
        <w:t>study. The phase III clinical program analyzed two potential dosing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regimens: 1 mg/kg every two weeks and 2 mg/kg every four weeks. In addition, the phase III clinical program included two</w:t>
      </w:r>
    </w:p>
    <w:p>
      <w:pPr>
        <w:spacing w:after="0" w:line="3" w:lineRule="exact"/>
        <w:rPr>
          <w:sz w:val="20"/>
          <w:szCs w:val="20"/>
          <w:color w:val="auto"/>
        </w:rPr>
      </w:pPr>
    </w:p>
    <w:p>
      <w:pPr>
        <w:jc w:val="both"/>
        <w:ind w:left="980" w:right="160"/>
        <w:spacing w:after="0" w:line="250" w:lineRule="auto"/>
        <w:rPr>
          <w:sz w:val="20"/>
          <w:szCs w:val="20"/>
          <w:color w:val="auto"/>
        </w:rPr>
      </w:pPr>
      <w:r>
        <w:rPr>
          <w:rFonts w:ascii="Times New Roman" w:cs="Times New Roman" w:eastAsia="Times New Roman" w:hAnsi="Times New Roman"/>
          <w:sz w:val="18"/>
          <w:szCs w:val="18"/>
          <w:color w:val="auto"/>
        </w:rPr>
        <w:t>extension studies in which subjects that participated in the Company’s phase I/II clinical trials and phase III clinical trials had the opportunity to enroll and continue to be treated with PRX-102. As of March 1, 2023, sponsorship of the two open label extension studies was transferred to Chiesi, which is now administering the extension studies.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PROTALIX BIOTHERAPEUTICS, INC. NOTES TO CONDENSED CONSOLIDATED FINANCIAL STATEMENTS </w:t>
      </w:r>
      <w:r>
        <w:rPr>
          <w:rFonts w:ascii="Times New Roman" w:cs="Times New Roman" w:eastAsia="Times New Roman" w:hAnsi="Times New Roman"/>
          <w:sz w:val="18"/>
          <w:szCs w:val="18"/>
          <w:color w:val="auto"/>
        </w:rPr>
        <w:t>(Unaudited)</w:t>
      </w:r>
    </w:p>
    <w:p>
      <w:pPr>
        <w:spacing w:after="0" w:line="388" w:lineRule="exact"/>
        <w:rPr>
          <w:sz w:val="20"/>
          <w:szCs w:val="20"/>
          <w:color w:val="auto"/>
        </w:rPr>
      </w:pPr>
    </w:p>
    <w:p>
      <w:pPr>
        <w:ind w:left="980" w:right="200"/>
        <w:spacing w:after="0" w:line="282" w:lineRule="auto"/>
        <w:rPr>
          <w:sz w:val="20"/>
          <w:szCs w:val="20"/>
          <w:color w:val="auto"/>
        </w:rPr>
      </w:pPr>
      <w:r>
        <w:rPr>
          <w:rFonts w:ascii="Times New Roman" w:cs="Times New Roman" w:eastAsia="Times New Roman" w:hAnsi="Times New Roman"/>
          <w:sz w:val="18"/>
          <w:szCs w:val="18"/>
          <w:color w:val="auto"/>
        </w:rPr>
        <w:t>From time to time, and as Elfabrio is approved for marketing in different jurisdictions, participants switch out of the open label extension studies. Most of them transfer to a commercial setting, others withdraw for other reasons.</w:t>
      </w:r>
    </w:p>
    <w:p>
      <w:pPr>
        <w:spacing w:after="0" w:line="148" w:lineRule="exact"/>
        <w:rPr>
          <w:sz w:val="20"/>
          <w:szCs w:val="20"/>
          <w:color w:val="auto"/>
        </w:rPr>
      </w:pPr>
    </w:p>
    <w:p>
      <w:pPr>
        <w:ind w:left="980" w:right="240"/>
        <w:spacing w:after="0" w:line="266" w:lineRule="auto"/>
        <w:rPr>
          <w:sz w:val="20"/>
          <w:szCs w:val="20"/>
          <w:color w:val="auto"/>
        </w:rPr>
      </w:pPr>
      <w:r>
        <w:rPr>
          <w:rFonts w:ascii="Times New Roman" w:cs="Times New Roman" w:eastAsia="Times New Roman" w:hAnsi="Times New Roman"/>
          <w:sz w:val="18"/>
          <w:szCs w:val="18"/>
          <w:color w:val="auto"/>
        </w:rPr>
        <w:t>The BLA for Elfabrio for the treatment of adult patients with Fabry disease was resubmitted to the FDA on November 9, 2022. An initial BLA for Elfabrio was submitted to the FDA on May 27, 2020 under the FDA’s Accelerated Approval pathway, but resulted in a Complete Response Letter (“CRL”).</w:t>
      </w:r>
    </w:p>
    <w:p>
      <w:pPr>
        <w:spacing w:after="0" w:line="149" w:lineRule="exact"/>
        <w:rPr>
          <w:sz w:val="20"/>
          <w:szCs w:val="20"/>
          <w:color w:val="auto"/>
        </w:rPr>
      </w:pPr>
    </w:p>
    <w:p>
      <w:pPr>
        <w:ind w:left="980" w:right="160"/>
        <w:spacing w:after="0" w:line="282" w:lineRule="auto"/>
        <w:rPr>
          <w:sz w:val="20"/>
          <w:szCs w:val="20"/>
          <w:color w:val="auto"/>
        </w:rPr>
      </w:pPr>
      <w:r>
        <w:rPr>
          <w:rFonts w:ascii="Times New Roman" w:cs="Times New Roman" w:eastAsia="Times New Roman" w:hAnsi="Times New Roman"/>
          <w:sz w:val="18"/>
          <w:szCs w:val="18"/>
          <w:color w:val="auto"/>
        </w:rPr>
        <w:t>The MAA was submitted to the EMA on February 7, 2022, after the October 8, 2021 meeting the Company held, together with Chiesi, with the Rapporteur and Co-Rapporteur of the EMA regarding PRX-102.</w:t>
      </w:r>
    </w:p>
    <w:p>
      <w:pPr>
        <w:spacing w:after="0" w:line="148" w:lineRule="exact"/>
        <w:rPr>
          <w:sz w:val="20"/>
          <w:szCs w:val="20"/>
          <w:color w:val="auto"/>
        </w:rPr>
      </w:pPr>
    </w:p>
    <w:p>
      <w:pPr>
        <w:ind w:left="980" w:right="40"/>
        <w:spacing w:after="0" w:line="272" w:lineRule="auto"/>
        <w:rPr>
          <w:sz w:val="20"/>
          <w:szCs w:val="20"/>
          <w:color w:val="auto"/>
        </w:rPr>
      </w:pPr>
      <w:r>
        <w:rPr>
          <w:rFonts w:ascii="Times New Roman" w:cs="Times New Roman" w:eastAsia="Times New Roman" w:hAnsi="Times New Roman"/>
          <w:sz w:val="17"/>
          <w:szCs w:val="17"/>
          <w:color w:val="auto"/>
        </w:rPr>
        <w:t xml:space="preserve">The FDA publicly released the internal review documents for Elfabrio (pegunigalsidase alfa-iwxj) injection BLA 761161. These documents provide previously unavailable additional information regarding the basis for the FDA’s May 2023 approval decision. In particular, the FDA determined that substantial evidence of effectiveness for Elfabrio in Fabry patients was established with one adequate and well-controlled study (Study PB-102-F01/02) with confirmatory evidence provided by the </w:t>
      </w:r>
      <w:r>
        <w:rPr>
          <w:rFonts w:ascii="Times New Roman" w:cs="Times New Roman" w:eastAsia="Times New Roman" w:hAnsi="Times New Roman"/>
          <w:sz w:val="17"/>
          <w:szCs w:val="17"/>
          <w:i w:val="1"/>
          <w:iCs w:val="1"/>
          <w:color w:val="auto"/>
        </w:rPr>
        <w:t>BALANCE</w:t>
      </w:r>
      <w:r>
        <w:rPr>
          <w:rFonts w:ascii="Times New Roman" w:cs="Times New Roman" w:eastAsia="Times New Roman" w:hAnsi="Times New Roman"/>
          <w:sz w:val="17"/>
          <w:szCs w:val="17"/>
          <w:color w:val="auto"/>
        </w:rPr>
        <w:t xml:space="preserve"> study (also referred to as Study PB-102-F20). The FDA review team also concluded that the </w:t>
      </w:r>
      <w:r>
        <w:rPr>
          <w:rFonts w:ascii="Times New Roman" w:cs="Times New Roman" w:eastAsia="Times New Roman" w:hAnsi="Times New Roman"/>
          <w:sz w:val="17"/>
          <w:szCs w:val="17"/>
          <w:i w:val="1"/>
          <w:iCs w:val="1"/>
          <w:color w:val="auto"/>
        </w:rPr>
        <w:t xml:space="preserve">BALANCE </w:t>
      </w:r>
      <w:r>
        <w:rPr>
          <w:rFonts w:ascii="Times New Roman" w:cs="Times New Roman" w:eastAsia="Times New Roman" w:hAnsi="Times New Roman"/>
          <w:sz w:val="17"/>
          <w:szCs w:val="17"/>
          <w:color w:val="auto"/>
        </w:rPr>
        <w:t>study met its primary efficacy endpoint, which assessed the annualized rate of change in eGFR (estimated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glomerular filtration rate) over 104 weeks. However, the FDA also determined that the results from the </w:t>
      </w:r>
      <w:r>
        <w:rPr>
          <w:rFonts w:ascii="Times New Roman" w:cs="Times New Roman" w:eastAsia="Times New Roman" w:hAnsi="Times New Roman"/>
          <w:sz w:val="17"/>
          <w:szCs w:val="17"/>
          <w:i w:val="1"/>
          <w:iCs w:val="1"/>
          <w:color w:val="auto"/>
        </w:rPr>
        <w:t>BALANCE</w:t>
      </w:r>
      <w:r>
        <w:rPr>
          <w:rFonts w:ascii="Times New Roman" w:cs="Times New Roman" w:eastAsia="Times New Roman" w:hAnsi="Times New Roman"/>
          <w:sz w:val="17"/>
          <w:szCs w:val="17"/>
          <w:color w:val="auto"/>
        </w:rPr>
        <w:t xml:space="preserve"> study did not support a non-inferiority claim to the comparator product due to the lack of data to support a non-inferiority margin.</w:t>
      </w:r>
    </w:p>
    <w:p>
      <w:pPr>
        <w:spacing w:after="0" w:line="158" w:lineRule="exact"/>
        <w:rPr>
          <w:sz w:val="20"/>
          <w:szCs w:val="20"/>
          <w:color w:val="auto"/>
        </w:rPr>
      </w:pPr>
    </w:p>
    <w:p>
      <w:pPr>
        <w:ind w:left="980" w:right="140"/>
        <w:spacing w:after="0" w:line="289" w:lineRule="auto"/>
        <w:rPr>
          <w:sz w:val="20"/>
          <w:szCs w:val="20"/>
          <w:color w:val="auto"/>
        </w:rPr>
      </w:pPr>
      <w:r>
        <w:rPr>
          <w:rFonts w:ascii="Times New Roman" w:cs="Times New Roman" w:eastAsia="Times New Roman" w:hAnsi="Times New Roman"/>
          <w:sz w:val="17"/>
          <w:szCs w:val="17"/>
          <w:color w:val="auto"/>
        </w:rPr>
        <w:t>The Company continuously evaluates potential strategic marketing partnerships as well as collaboration programs with biotechnology and pharmaceutical companies and academic research institutions. Except with respect to Elfabrio and Elelyso, the Company holds the worldwide commercialization rights to its other proprietary development drug candidates.</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Company’s product pipeline currently includes, among other candidates:</w:t>
      </w:r>
    </w:p>
    <w:p>
      <w:pPr>
        <w:spacing w:after="0" w:line="212" w:lineRule="exact"/>
        <w:rPr>
          <w:sz w:val="20"/>
          <w:szCs w:val="20"/>
          <w:color w:val="auto"/>
        </w:rPr>
      </w:pPr>
    </w:p>
    <w:p>
      <w:pPr>
        <w:ind w:left="980" w:right="60"/>
        <w:spacing w:after="0" w:line="282" w:lineRule="auto"/>
        <w:tabs>
          <w:tab w:leader="none" w:pos="130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PRX-115, the Company’s plant cell-expressed recombinant PEGylated uricase (urate oxidase) – a chemically modified enzyme to treat uncontrolled gout; and</w:t>
      </w:r>
    </w:p>
    <w:p>
      <w:pPr>
        <w:spacing w:after="0" w:line="134" w:lineRule="exact"/>
        <w:rPr>
          <w:rFonts w:ascii="Times New Roman" w:cs="Times New Roman" w:eastAsia="Times New Roman" w:hAnsi="Times New Roman"/>
          <w:sz w:val="18"/>
          <w:szCs w:val="18"/>
          <w:color w:val="auto"/>
        </w:rPr>
      </w:pPr>
    </w:p>
    <w:p>
      <w:pPr>
        <w:ind w:left="980" w:right="580"/>
        <w:spacing w:after="0" w:line="282" w:lineRule="auto"/>
        <w:tabs>
          <w:tab w:leader="none" w:pos="130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PRX-119, the Company’s plant cell-expressed PEGylated recombinant human DNase I product candidate being designed to elongate half-life in the circulation for NETs-related diseases.</w:t>
      </w:r>
    </w:p>
    <w:p>
      <w:pPr>
        <w:spacing w:after="0" w:line="148" w:lineRule="exact"/>
        <w:rPr>
          <w:sz w:val="20"/>
          <w:szCs w:val="20"/>
          <w:color w:val="auto"/>
        </w:rPr>
      </w:pPr>
    </w:p>
    <w:p>
      <w:pPr>
        <w:jc w:val="both"/>
        <w:ind w:left="980" w:right="140"/>
        <w:spacing w:after="0" w:line="266" w:lineRule="auto"/>
        <w:rPr>
          <w:sz w:val="20"/>
          <w:szCs w:val="20"/>
          <w:color w:val="auto"/>
        </w:rPr>
      </w:pPr>
      <w:r>
        <w:rPr>
          <w:rFonts w:ascii="Times New Roman" w:cs="Times New Roman" w:eastAsia="Times New Roman" w:hAnsi="Times New Roman"/>
          <w:sz w:val="18"/>
          <w:szCs w:val="18"/>
          <w:color w:val="auto"/>
        </w:rPr>
        <w:t>Obtaining marketing approval with respect to any product candidate in any country is dependent on the Company’s ability to implement the necessary regulatory steps required to obtain such approvals, and demonstrate the safety and efficacy of its product candidates. The Company cannot reasonably predict the outcome of these activities.</w:t>
      </w:r>
    </w:p>
    <w:p>
      <w:pPr>
        <w:spacing w:after="0" w:line="135" w:lineRule="exact"/>
        <w:rPr>
          <w:sz w:val="20"/>
          <w:szCs w:val="20"/>
          <w:color w:val="auto"/>
        </w:rPr>
      </w:pPr>
    </w:p>
    <w:p>
      <w:pPr>
        <w:ind w:left="980"/>
        <w:spacing w:after="0" w:line="256" w:lineRule="auto"/>
        <w:rPr>
          <w:sz w:val="20"/>
          <w:szCs w:val="20"/>
          <w:color w:val="auto"/>
        </w:rPr>
      </w:pPr>
      <w:r>
        <w:rPr>
          <w:rFonts w:ascii="Times New Roman" w:cs="Times New Roman" w:eastAsia="Times New Roman" w:hAnsi="Times New Roman"/>
          <w:sz w:val="18"/>
          <w:szCs w:val="18"/>
          <w:color w:val="auto"/>
        </w:rPr>
        <w:t>On March 21, 2023, the first patient was dosed in the Company’s phase I First-in-Human clinical trial of PRX-115. This study was initially designed to be conducted in approximately 56 adult male and female subjects in the dose escalation design with seven sequential dosing cohorts, each composed of eight subjects (six active and two placebo). On May 10, 2024, following encouraging results from the initial seven cohorts, the Company announced its decision to expand the study by adding an eighth cohort with eight new subjects. As of June 30, 2024, 64 patients have been dosed in this study. In addition, the Company has commenced preparations for a phase II clinical trial of PRX-115.</w:t>
      </w:r>
    </w:p>
    <w:p>
      <w:pPr>
        <w:spacing w:after="0" w:line="160" w:lineRule="exact"/>
        <w:rPr>
          <w:sz w:val="20"/>
          <w:szCs w:val="20"/>
          <w:color w:val="auto"/>
        </w:rPr>
      </w:pPr>
    </w:p>
    <w:p>
      <w:pPr>
        <w:ind w:left="980" w:right="100"/>
        <w:spacing w:after="0" w:line="258" w:lineRule="auto"/>
        <w:rPr>
          <w:sz w:val="20"/>
          <w:szCs w:val="20"/>
          <w:color w:val="auto"/>
        </w:rPr>
      </w:pPr>
      <w:r>
        <w:rPr>
          <w:rFonts w:ascii="Times New Roman" w:cs="Times New Roman" w:eastAsia="Times New Roman" w:hAnsi="Times New Roman"/>
          <w:sz w:val="18"/>
          <w:szCs w:val="18"/>
          <w:color w:val="auto"/>
        </w:rPr>
        <w:t>On July 2, 2021, the Company entered into an At The Market Offering Agreement (the “2021 Sales Agreement”) with H.C. Wainwright &amp; Co., LLC, as the Company’s sales agent (the “Agent”) which was amended on May 2, 2022. Pursuant to the terms of the 2021 Sales Agreement, the Company was able to sell, from time to time through the Agent, shares of its common stock, par value $0.001 per share (the “Common Stock”), having an aggregate offering price of up to $20.0 million (the “ATM Shares”).</w:t>
      </w:r>
    </w:p>
    <w:p>
      <w:pPr>
        <w:spacing w:after="0" w:line="143" w:lineRule="exact"/>
        <w:rPr>
          <w:sz w:val="20"/>
          <w:szCs w:val="20"/>
          <w:color w:val="auto"/>
        </w:rPr>
      </w:pPr>
    </w:p>
    <w:p>
      <w:pPr>
        <w:ind w:left="980" w:right="180"/>
        <w:spacing w:after="0" w:line="266" w:lineRule="auto"/>
        <w:rPr>
          <w:sz w:val="20"/>
          <w:szCs w:val="20"/>
          <w:color w:val="auto"/>
        </w:rPr>
      </w:pPr>
      <w:r>
        <w:rPr>
          <w:rFonts w:ascii="Times New Roman" w:cs="Times New Roman" w:eastAsia="Times New Roman" w:hAnsi="Times New Roman"/>
          <w:sz w:val="18"/>
          <w:szCs w:val="18"/>
          <w:color w:val="auto"/>
        </w:rPr>
        <w:t>During the term of the 2021 Sales Agreement which ended during the quarter ended March 31, 2023, the Company sold a total of 13,980,060 ATM Shares for total gross proceeds of approximately $20.0 million thereby completing the ATM program under said agreement.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PROTALIX BIOTHERAPEUTICS, INC. NOTES TO CONDENSED CONSOLIDATED FINANCIAL STATEMENTS </w:t>
      </w:r>
      <w:r>
        <w:rPr>
          <w:rFonts w:ascii="Times New Roman" w:cs="Times New Roman" w:eastAsia="Times New Roman" w:hAnsi="Times New Roman"/>
          <w:sz w:val="18"/>
          <w:szCs w:val="18"/>
          <w:color w:val="auto"/>
        </w:rPr>
        <w:t>(Unaudited)</w:t>
      </w:r>
    </w:p>
    <w:p>
      <w:pPr>
        <w:spacing w:after="0" w:line="388" w:lineRule="exact"/>
        <w:rPr>
          <w:sz w:val="20"/>
          <w:szCs w:val="20"/>
          <w:color w:val="auto"/>
        </w:rPr>
      </w:pPr>
    </w:p>
    <w:p>
      <w:pPr>
        <w:ind w:left="980" w:right="180"/>
        <w:spacing w:after="0" w:line="281" w:lineRule="auto"/>
        <w:rPr>
          <w:sz w:val="20"/>
          <w:szCs w:val="20"/>
          <w:color w:val="auto"/>
        </w:rPr>
      </w:pPr>
      <w:r>
        <w:rPr>
          <w:rFonts w:ascii="Times New Roman" w:cs="Times New Roman" w:eastAsia="Times New Roman" w:hAnsi="Times New Roman"/>
          <w:sz w:val="17"/>
          <w:szCs w:val="17"/>
          <w:color w:val="auto"/>
        </w:rPr>
        <w:t>On February 27, 2023, the Company entered into an At The Market Offering Agreement (the “2023 Sales Agreement”) with the Agent. Pursuant to the terms of the 2023 Sales Agreement, the Company may sell, from time to time through the Agent, ATM Shares having an aggregate offering price of up to $20.0 million. As of June 30, 2024, shares of Common Stock for total gross proceeds of approximately $6.4 million remain available to be sold under the 2023 Sales Agreement.</w:t>
      </w:r>
    </w:p>
    <w:p>
      <w:pPr>
        <w:spacing w:after="0" w:line="124" w:lineRule="exact"/>
        <w:rPr>
          <w:sz w:val="20"/>
          <w:szCs w:val="20"/>
          <w:color w:val="auto"/>
        </w:rPr>
      </w:pPr>
    </w:p>
    <w:p>
      <w:pPr>
        <w:ind w:left="980"/>
        <w:spacing w:after="0" w:line="253" w:lineRule="auto"/>
        <w:rPr>
          <w:sz w:val="20"/>
          <w:szCs w:val="20"/>
          <w:color w:val="auto"/>
        </w:rPr>
      </w:pPr>
      <w:r>
        <w:rPr>
          <w:rFonts w:ascii="Times New Roman" w:cs="Times New Roman" w:eastAsia="Times New Roman" w:hAnsi="Times New Roman"/>
          <w:sz w:val="18"/>
          <w:szCs w:val="18"/>
          <w:color w:val="auto"/>
        </w:rPr>
        <w:t>Under each of the Chiesi Ex-US Agreement and the Chiesi US Agreement (collectively, the “Chiesi Agreements”), Chiesi made an upfront payment to Protalix Ltd. of $25.0 million in connection with the execution of each agreement. In addition, under the Chiesi Ex-US Agreement, Protalix Ltd. is entitled to additional payments of up to $25.0 million in pegunigalsidase alfa development costs and to receive additional payments of up to $320.0 million, in the aggregate, in regulatory and commercial milestone payments. Under the Chiesi US Agreement, Protalix Ltd. is entitled to payments of up to a maximum of $20.0 million to cover development costs for pegunigalsidase alfa and to receive additional payments of up to a maximum of $760.0 million, in the aggregate, in regulatory and commercial milestone payments. To date, Protalix Ltd. has received the complete amount of development costs to which it is entitled under the Chiesi Agreements. In addition, following the approval of Elfabrio by the FDA, the Company received a milestone payment equal to $20.0 million.</w:t>
      </w:r>
    </w:p>
    <w:p>
      <w:pPr>
        <w:spacing w:after="0" w:line="1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On May 13, 2021, the Company signed a binding term sheet with Chiesi pursuant to which the Company and Chiesi</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amended the Chiesi Agreements in order to provide the Company with near-term capital. Chiesi agreed to make a</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$10.0 million payment to the Company before the end of the second quarter of 2021 in exchange for a $25.0 million</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reduction in a longer term regulatory milestone payment provided in the Chiesi EX-US Agreement. All other regulatory</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and commercial milestone payments remain unchanged. The Company received the payment in June 2021. The Company</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also agreed to negotiate certain manufacturing related matters.</w:t>
      </w:r>
    </w:p>
    <w:p>
      <w:pPr>
        <w:spacing w:after="0" w:line="139" w:lineRule="exact"/>
        <w:rPr>
          <w:sz w:val="20"/>
          <w:szCs w:val="20"/>
          <w:color w:val="auto"/>
        </w:rPr>
      </w:pPr>
    </w:p>
    <w:p>
      <w:pPr>
        <w:ind w:left="980" w:right="100"/>
        <w:spacing w:after="0" w:line="254" w:lineRule="auto"/>
        <w:rPr>
          <w:sz w:val="20"/>
          <w:szCs w:val="20"/>
          <w:color w:val="auto"/>
        </w:rPr>
      </w:pPr>
      <w:r>
        <w:rPr>
          <w:rFonts w:ascii="Times New Roman" w:cs="Times New Roman" w:eastAsia="Times New Roman" w:hAnsi="Times New Roman"/>
          <w:sz w:val="18"/>
          <w:szCs w:val="18"/>
          <w:color w:val="auto"/>
        </w:rPr>
        <w:t>Under the terms of both of the Chiesi Agreements, Protalix Ltd. is required to manufacture all of the Elfabrio drug substance needed under the agreements, subject to certain exceptions, and Chiesi will purchase Elfabrio drug product from Protalix, subject to certain terms and conditions. The consideration for Protalix Ltd. is based on the drug product supplied to Chiesi and the average selling price of the drug product in the relevant territory multiplied by tiered payments as described in the relevant agreement. Under the Chiesi Ex-US Agreement, the price payable to the Company for drug product supplied is based on a range of 15% to 35% of the average selling price of the drug product in the applicable territory, and under the Chiesi US Agreement, such price is based on a range of 15% to 40% of the average selling price of the drug product in the United States.</w:t>
      </w:r>
    </w:p>
    <w:p>
      <w:pPr>
        <w:spacing w:after="0" w:line="111" w:lineRule="exact"/>
        <w:rPr>
          <w:sz w:val="20"/>
          <w:szCs w:val="20"/>
          <w:color w:val="auto"/>
        </w:rPr>
      </w:pPr>
    </w:p>
    <w:p>
      <w:pPr>
        <w:ind w:left="980"/>
        <w:spacing w:after="0" w:line="254" w:lineRule="auto"/>
        <w:rPr>
          <w:sz w:val="20"/>
          <w:szCs w:val="20"/>
          <w:color w:val="auto"/>
        </w:rPr>
      </w:pPr>
      <w:r>
        <w:rPr>
          <w:rFonts w:ascii="Times New Roman" w:cs="Times New Roman" w:eastAsia="Times New Roman" w:hAnsi="Times New Roman"/>
          <w:sz w:val="18"/>
          <w:szCs w:val="18"/>
          <w:color w:val="auto"/>
        </w:rPr>
        <w:t>On August 29, 2022, the Company entered into a Fill/Finish Agreement (the “F/F Agreement”) and a Letter Agreement (the “Letter Agreement”), in each case with Chiesi. The Company agreed to supply Chiesi with drug substance for pegunigalsidase alfa in connection with the commercial fill/finish services. Under the F/F Agreement, and, following relevant technology and technical information transfer activities, Chiesi agreed, among other things, to provide the Company with commercial fill/finish services for pegunigalsidase alfa, including to support the anticipated global launch of pegunigalsidase alfa. The F/F Agreement shall continue in force until December 31, 2025, unless terminated earlier in accordance with the terms of the F/F Agreement and the term may be extended by mutual agreement for an additional period of seven years upon mutual written agreement prior to expiration of the initial term.</w:t>
      </w:r>
    </w:p>
    <w:p>
      <w:pPr>
        <w:spacing w:after="0" w:line="124" w:lineRule="exact"/>
        <w:rPr>
          <w:sz w:val="20"/>
          <w:szCs w:val="20"/>
          <w:color w:val="auto"/>
        </w:rPr>
      </w:pPr>
    </w:p>
    <w:p>
      <w:pPr>
        <w:ind w:left="980" w:right="60"/>
        <w:spacing w:after="0" w:line="254" w:lineRule="auto"/>
        <w:rPr>
          <w:sz w:val="20"/>
          <w:szCs w:val="20"/>
          <w:color w:val="auto"/>
        </w:rPr>
      </w:pPr>
      <w:r>
        <w:rPr>
          <w:rFonts w:ascii="Times New Roman" w:cs="Times New Roman" w:eastAsia="Times New Roman" w:hAnsi="Times New Roman"/>
          <w:sz w:val="18"/>
          <w:szCs w:val="18"/>
          <w:color w:val="auto"/>
        </w:rPr>
        <w:t>Since its approval by the FDA, taliglucerase alfa has been marketed by Pfizer in accordance with the exclusive license and supply agreement entered into between Protalix Ltd. and Pfizer, which is referred to herein as the Pfizer Agreement. In October 2015, Protalix Ltd. and Pfizer entered into an amended exclusive license and supply agreement, which is referred to herein as the Amended Pfizer Agreement, pursuant to which the Company sold to Pfizer its share in the collaboration created under the Pfizer Agreement for the commercialization of Elelyso. As part of the sale, the Company agreed to transfer its rights to Elelyso in Israel to Pfizer while gaining full rights to it in Brazil. Under the Amended Pfizer Agreement, Pfizer is entitled to all of the revenues, and is responsible for 100% of expenses globally for Elelyso, excluding Brazil where the Company is responsible for all expenses and retains all revenues.</w:t>
      </w:r>
    </w:p>
    <w:p>
      <w:pPr>
        <w:spacing w:after="0" w:line="124" w:lineRule="exact"/>
        <w:rPr>
          <w:sz w:val="20"/>
          <w:szCs w:val="20"/>
          <w:color w:val="auto"/>
        </w:rPr>
      </w:pPr>
    </w:p>
    <w:p>
      <w:pPr>
        <w:ind w:left="980" w:right="100"/>
        <w:spacing w:after="0" w:line="255" w:lineRule="auto"/>
        <w:rPr>
          <w:sz w:val="20"/>
          <w:szCs w:val="20"/>
          <w:color w:val="auto"/>
        </w:rPr>
      </w:pPr>
      <w:r>
        <w:rPr>
          <w:rFonts w:ascii="Times New Roman" w:cs="Times New Roman" w:eastAsia="Times New Roman" w:hAnsi="Times New Roman"/>
          <w:sz w:val="18"/>
          <w:szCs w:val="18"/>
          <w:color w:val="auto"/>
        </w:rPr>
        <w:t>On June 18, 2013, the Company entered into a Supply and Technology Transfer Agreement (the “Brazil Agreement”) with Fiocruz for BioManguinhos alfataliglicerase. Fiocruz’s purchases of BioManguinhos alfataliglicerase to date have been significantly below certain agreed-upon purchase milestones and, accordingly, the Company has the right to terminate the Brazil Agreement. Notwithstanding the termination right, the Company is, at this time, continuing to</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000" w:right="200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PROTALIX BIOTHERAPEUTICS, INC. NOTES TO CONDENSED CONSOLIDATED FINANCIAL STATEMENTS </w:t>
      </w:r>
      <w:r>
        <w:rPr>
          <w:rFonts w:ascii="Times New Roman" w:cs="Times New Roman" w:eastAsia="Times New Roman" w:hAnsi="Times New Roman"/>
          <w:sz w:val="18"/>
          <w:szCs w:val="18"/>
          <w:color w:val="auto"/>
        </w:rPr>
        <w:t>(Unaudited)</w:t>
      </w:r>
    </w:p>
    <w:p>
      <w:pPr>
        <w:spacing w:after="0" w:line="388" w:lineRule="exact"/>
        <w:rPr>
          <w:sz w:val="20"/>
          <w:szCs w:val="20"/>
          <w:color w:val="auto"/>
        </w:rPr>
      </w:pPr>
    </w:p>
    <w:p>
      <w:pPr>
        <w:ind w:left="980" w:right="20"/>
        <w:spacing w:after="0" w:line="282" w:lineRule="auto"/>
        <w:rPr>
          <w:sz w:val="20"/>
          <w:szCs w:val="20"/>
          <w:color w:val="auto"/>
        </w:rPr>
      </w:pPr>
      <w:r>
        <w:rPr>
          <w:rFonts w:ascii="Times New Roman" w:cs="Times New Roman" w:eastAsia="Times New Roman" w:hAnsi="Times New Roman"/>
          <w:sz w:val="18"/>
          <w:szCs w:val="18"/>
          <w:color w:val="auto"/>
        </w:rPr>
        <w:t>supply BioManguinhos alfataliglicerase to Fiocruz and patients continue to be treated with BioManguinhos alfataliglicerase in Brazil.</w:t>
      </w:r>
    </w:p>
    <w:p>
      <w:pPr>
        <w:spacing w:after="0" w:line="94" w:lineRule="exact"/>
        <w:rPr>
          <w:sz w:val="20"/>
          <w:szCs w:val="20"/>
          <w:color w:val="auto"/>
        </w:rPr>
      </w:pPr>
    </w:p>
    <w:p>
      <w:pPr>
        <w:ind w:left="980"/>
        <w:spacing w:after="0" w:line="268" w:lineRule="auto"/>
        <w:rPr>
          <w:sz w:val="20"/>
          <w:szCs w:val="20"/>
          <w:color w:val="auto"/>
        </w:rPr>
      </w:pPr>
      <w:r>
        <w:rPr>
          <w:rFonts w:ascii="Times New Roman" w:cs="Times New Roman" w:eastAsia="Times New Roman" w:hAnsi="Times New Roman"/>
          <w:sz w:val="17"/>
          <w:szCs w:val="17"/>
          <w:color w:val="auto"/>
        </w:rPr>
        <w:t>Because the Company’s operations are conducted in the State of Israel, the business and operations may be directly affected by economic, political, geopolitical and military conditions in Israel. In October 2023, Hamas terrorists infiltrated Israel’s southern border from the Gaza Strip and conducted a series of attacks on civilian and military targets. Hamas also launched extensive rocket attacks on Israeli population and industrial centers located along Israel’s border with the Gaza Strip and in other areas within the State of Israel attacking a number of civilian and military targets. At the same time, clashes between Israel and Hezbollah in Lebanon have increased. In response, Israel’s security cabinet declared war against the Hamas and a military campaign against these terrorist organizations commenced in parallel to their continued rocket and terror attacks. Moreover, the attacks by Hamas and Hezbollah, and Israel’s defensive measures, may result in a greater regional conflict. Since the outbreak of the war, other regional actors, including Iran, have taken military action against Israel. It is currently not possible to predict the duration or severity of the ongoing conflict or its effects on the Company’s business, operations and financial conditions. The ongoing conflict is rapidly evolving and developing, and could disrupt certain of the Company’s business and operations, among others. The Company has elected to store manufactured drug substance in multiple locations, both within and outside of Israel, to mitigate the risk of loss due to the military operations. As of the issuance of these financial statements, the impact of the war has not had an adverse effect on the Company’s operations.</w:t>
      </w:r>
    </w:p>
    <w:p>
      <w:pPr>
        <w:spacing w:after="0" w:line="103" w:lineRule="exact"/>
        <w:rPr>
          <w:sz w:val="20"/>
          <w:szCs w:val="20"/>
          <w:color w:val="auto"/>
        </w:rPr>
      </w:pPr>
    </w:p>
    <w:p>
      <w:pPr>
        <w:ind w:left="980" w:right="100"/>
        <w:spacing w:after="0" w:line="255" w:lineRule="auto"/>
        <w:rPr>
          <w:sz w:val="20"/>
          <w:szCs w:val="20"/>
          <w:color w:val="auto"/>
        </w:rPr>
      </w:pPr>
      <w:r>
        <w:rPr>
          <w:rFonts w:ascii="Times New Roman" w:cs="Times New Roman" w:eastAsia="Times New Roman" w:hAnsi="Times New Roman"/>
          <w:sz w:val="18"/>
          <w:szCs w:val="18"/>
          <w:color w:val="auto"/>
        </w:rPr>
        <w:t>The Company expects to continue to incur significant expenditures in the near future due to research and developments efforts with respect to the product candidates. Under the terms of the Company’s outstanding 7.50% Senior Secured Convertible Notes due September 2024 (the “2024 Notes”), the Company is required to comply with certain financial covenants, including the maintenance of a minimum cash balance of at least $7.5 million. As of June 30, 2024, the Company is in compliance with all such covenants. The Company believes that its cash, cash equivalents and short-term bank deposits as of June 30, 2024 are sufficient to satisfy the Company’s capital needs for at least 12 months from the date that these financial statements are issued including the redemption of the 2024 Notes.</w:t>
      </w:r>
    </w:p>
    <w:p>
      <w:pPr>
        <w:spacing w:after="0" w:line="117"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61" w:lineRule="exact"/>
        <w:rPr>
          <w:rFonts w:ascii="Times New Roman" w:cs="Times New Roman" w:eastAsia="Times New Roman" w:hAnsi="Times New Roman"/>
          <w:sz w:val="18"/>
          <w:szCs w:val="18"/>
          <w:b w:val="1"/>
          <w:bCs w:val="1"/>
          <w:color w:val="auto"/>
        </w:rPr>
      </w:pPr>
    </w:p>
    <w:p>
      <w:pPr>
        <w:ind w:left="980" w:right="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accompanying unaudited condensed consolidated financial statements of the Company have been prepared in accordance with generally accepted accounting principles in the United States (“GAAP”) for interim financial information. Accordingly, they do not include all of the information and notes required by GAAP for annual financial statements. In the opinion of management, all adjustments (of a normal recurring nature) considered necessary for a fair statement of the results for the interim periods presented have been included. Operating results for the interim period are not necessarily indicative of the results that may be expected for the full year.</w:t>
      </w:r>
    </w:p>
    <w:p>
      <w:pPr>
        <w:spacing w:after="0" w:line="187" w:lineRule="exact"/>
        <w:rPr>
          <w:rFonts w:ascii="Times New Roman" w:cs="Times New Roman" w:eastAsia="Times New Roman" w:hAnsi="Times New Roman"/>
          <w:sz w:val="18"/>
          <w:szCs w:val="18"/>
          <w:b w:val="1"/>
          <w:bCs w:val="1"/>
          <w:color w:val="auto"/>
        </w:rPr>
      </w:pPr>
    </w:p>
    <w:p>
      <w:pPr>
        <w:ind w:left="980" w:right="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These unaudited condensed consolidated financial statements should be read in conjunction with the audited consolidated financial statements in the Annual Report on Form 10-K for the year ended December 31, 2023, filed by the Company with the U.S. Securities and Exchange Commission (the “Commission”). The comparative balance sheet at December 31, 2023 has been derived from the audited financial statements at that date. There have been no material changes in our significant accounting policies as described in our consolidated financial statements for the year ended December 31, 2023, except for convertible notes, as described below.</w:t>
      </w:r>
    </w:p>
    <w:p>
      <w:pPr>
        <w:spacing w:after="0" w:line="183"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(Loss) per share</w:t>
      </w:r>
    </w:p>
    <w:p>
      <w:pPr>
        <w:spacing w:after="0" w:line="229" w:lineRule="exact"/>
        <w:rPr>
          <w:rFonts w:ascii="Times New Roman" w:cs="Times New Roman" w:eastAsia="Times New Roman" w:hAnsi="Times New Roman"/>
          <w:sz w:val="18"/>
          <w:szCs w:val="18"/>
          <w:b w:val="1"/>
          <w:bCs w:val="1"/>
          <w:color w:val="auto"/>
        </w:rPr>
      </w:pPr>
    </w:p>
    <w:p>
      <w:pPr>
        <w:ind w:left="980" w:righ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calculates earnings (loss) per share by dividing the net income (loss) by the weighted average number of shares of Common Stock outstanding during each period.</w:t>
      </w:r>
    </w:p>
    <w:p>
      <w:pPr>
        <w:spacing w:after="0" w:line="121" w:lineRule="exact"/>
        <w:rPr>
          <w:rFonts w:ascii="Times New Roman" w:cs="Times New Roman" w:eastAsia="Times New Roman" w:hAnsi="Times New Roman"/>
          <w:sz w:val="18"/>
          <w:szCs w:val="18"/>
          <w:b w:val="1"/>
          <w:bCs w:val="1"/>
          <w:color w:val="auto"/>
        </w:rPr>
      </w:pPr>
    </w:p>
    <w:p>
      <w:pPr>
        <w:ind w:left="980" w:right="1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Diluted earnings per share is calculated by dividing the net income by the weighted-average number of shares of Common Stock outstanding during each period increased to include the number of additional shares of Common Stock that would have been outstanding if the potentially dilutive shares had been issued.</w:t>
      </w:r>
    </w:p>
    <w:p>
      <w:pPr>
        <w:spacing w:after="0" w:line="149" w:lineRule="exact"/>
        <w:rPr>
          <w:sz w:val="20"/>
          <w:szCs w:val="20"/>
          <w:color w:val="auto"/>
        </w:rPr>
      </w:pPr>
    </w:p>
    <w:p>
      <w:pPr>
        <w:ind w:left="980" w:right="20"/>
        <w:spacing w:after="0" w:line="261" w:lineRule="auto"/>
        <w:rPr>
          <w:sz w:val="20"/>
          <w:szCs w:val="20"/>
          <w:color w:val="auto"/>
        </w:rPr>
      </w:pPr>
      <w:r>
        <w:rPr>
          <w:rFonts w:ascii="Times New Roman" w:cs="Times New Roman" w:eastAsia="Times New Roman" w:hAnsi="Times New Roman"/>
          <w:sz w:val="18"/>
          <w:szCs w:val="18"/>
          <w:color w:val="auto"/>
        </w:rPr>
        <w:t>In computing diluted earnings per share, basic earnings per share are adjusted to take into account the potential dilution that could occur upon: (i) the exercise of options granted under employee stock compensation plans using the treasury</w:t>
      </w: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PROTALIX BIOTHERAPEUTICS, INC. NOTES TO CONDENSED CONSOLIDATED FINANCIAL STATEMENTS </w:t>
      </w:r>
      <w:r>
        <w:rPr>
          <w:rFonts w:ascii="Times New Roman" w:cs="Times New Roman" w:eastAsia="Times New Roman" w:hAnsi="Times New Roman"/>
          <w:sz w:val="18"/>
          <w:szCs w:val="18"/>
          <w:color w:val="auto"/>
        </w:rPr>
        <w:t>(Unaudited)</w:t>
      </w:r>
    </w:p>
    <w:p>
      <w:pPr>
        <w:spacing w:after="0" w:line="388" w:lineRule="exact"/>
        <w:rPr>
          <w:sz w:val="20"/>
          <w:szCs w:val="20"/>
          <w:color w:val="auto"/>
        </w:rPr>
      </w:pPr>
    </w:p>
    <w:p>
      <w:pPr>
        <w:ind w:left="980" w:right="60"/>
        <w:spacing w:after="0" w:line="282" w:lineRule="auto"/>
        <w:rPr>
          <w:sz w:val="20"/>
          <w:szCs w:val="20"/>
          <w:color w:val="auto"/>
        </w:rPr>
      </w:pPr>
      <w:r>
        <w:rPr>
          <w:rFonts w:ascii="Times New Roman" w:cs="Times New Roman" w:eastAsia="Times New Roman" w:hAnsi="Times New Roman"/>
          <w:sz w:val="18"/>
          <w:szCs w:val="18"/>
          <w:color w:val="auto"/>
        </w:rPr>
        <w:t>stock method; (ii) the exercise of warrants using the treasury stock method; and (iii) the conversion of the convertible notes using the “if-converted” method.</w:t>
      </w:r>
    </w:p>
    <w:p>
      <w:pPr>
        <w:spacing w:after="0" w:line="121" w:lineRule="exact"/>
        <w:rPr>
          <w:sz w:val="20"/>
          <w:szCs w:val="20"/>
          <w:color w:val="auto"/>
        </w:rPr>
      </w:pPr>
    </w:p>
    <w:p>
      <w:pPr>
        <w:ind w:left="980" w:right="240"/>
        <w:spacing w:after="0" w:line="282" w:lineRule="auto"/>
        <w:rPr>
          <w:sz w:val="20"/>
          <w:szCs w:val="20"/>
          <w:color w:val="auto"/>
        </w:rPr>
      </w:pPr>
      <w:r>
        <w:rPr>
          <w:rFonts w:ascii="Times New Roman" w:cs="Times New Roman" w:eastAsia="Times New Roman" w:hAnsi="Times New Roman"/>
          <w:sz w:val="18"/>
          <w:szCs w:val="18"/>
          <w:color w:val="auto"/>
        </w:rPr>
        <w:t>Diluted earnings per share do not include 16,158,086 shares of Common Stock underlying outstanding stock options and warrants of the Company for the six months ended June 30, 2023 because the effect would be anti-dilutive.</w:t>
      </w:r>
    </w:p>
    <w:p>
      <w:pPr>
        <w:spacing w:after="0" w:line="135" w:lineRule="exact"/>
        <w:rPr>
          <w:sz w:val="20"/>
          <w:szCs w:val="20"/>
          <w:color w:val="auto"/>
        </w:rPr>
      </w:pPr>
    </w:p>
    <w:p>
      <w:pPr>
        <w:ind w:left="980" w:right="180"/>
        <w:spacing w:after="0" w:line="282" w:lineRule="auto"/>
        <w:rPr>
          <w:sz w:val="20"/>
          <w:szCs w:val="20"/>
          <w:color w:val="auto"/>
        </w:rPr>
      </w:pPr>
      <w:r>
        <w:rPr>
          <w:rFonts w:ascii="Times New Roman" w:cs="Times New Roman" w:eastAsia="Times New Roman" w:hAnsi="Times New Roman"/>
          <w:sz w:val="18"/>
          <w:szCs w:val="18"/>
          <w:color w:val="auto"/>
        </w:rPr>
        <w:t>Diluted earnings per share do not include 1,896,733 shares of Common Stock underlying outstanding stock options of the Company for the three months ended June 30, 2023 because the effect would be anti-dilutive.</w:t>
      </w:r>
    </w:p>
    <w:p>
      <w:pPr>
        <w:spacing w:after="0" w:line="121" w:lineRule="exact"/>
        <w:rPr>
          <w:sz w:val="20"/>
          <w:szCs w:val="20"/>
          <w:color w:val="auto"/>
        </w:rPr>
      </w:pPr>
    </w:p>
    <w:p>
      <w:pPr>
        <w:ind w:left="980" w:right="140"/>
        <w:spacing w:after="0" w:line="266" w:lineRule="auto"/>
        <w:rPr>
          <w:sz w:val="20"/>
          <w:szCs w:val="20"/>
          <w:color w:val="auto"/>
        </w:rPr>
      </w:pPr>
      <w:r>
        <w:rPr>
          <w:rFonts w:ascii="Times New Roman" w:cs="Times New Roman" w:eastAsia="Times New Roman" w:hAnsi="Times New Roman"/>
          <w:sz w:val="18"/>
          <w:szCs w:val="18"/>
          <w:color w:val="auto"/>
        </w:rPr>
        <w:t>Diluted loss per share does not include 31,744,960 and 31,791,645 shares of Common Stock underlying outstanding stock options, warrants and the 2024 Notes for the three and six months ended June 30, 2024, respectively, because the effect would be anti-dilutive.</w:t>
      </w:r>
    </w:p>
    <w:p>
      <w:pPr>
        <w:spacing w:after="0" w:line="131"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notes</w:t>
      </w:r>
    </w:p>
    <w:p>
      <w:pPr>
        <w:spacing w:after="0" w:line="229" w:lineRule="exact"/>
        <w:rPr>
          <w:rFonts w:ascii="Times New Roman" w:cs="Times New Roman" w:eastAsia="Times New Roman" w:hAnsi="Times New Roman"/>
          <w:sz w:val="18"/>
          <w:szCs w:val="18"/>
          <w:b w:val="1"/>
          <w:bCs w:val="1"/>
          <w:color w:val="auto"/>
        </w:rPr>
      </w:pPr>
    </w:p>
    <w:p>
      <w:pPr>
        <w:ind w:left="980" w:right="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Prior to January 1, 2024, the Company accounted for its outstanding convertible notes using the guidance set forth in the Financial Accounting Standards Board (“FASB”) Accounting Standards Codification (“ASC”) 815 which required that the Company determine whether the embedded conversion option must be separated from the other features of the applicable note instrument and accounted for separately. ASC 470-20 regarding debt with conversion and other options requires the issuer of a convertible debt instrument that may be settled in cash upon conversion to separately account for the liability (debt) and equity (conversion option) components of the instrument in a manner that reflects the issuer’s nonconvertible debt borrowing rate. The Company’s outstanding 2024 Notes were accounted for as a liability (debt) and equity component (conversion option) as the convertible notes may be settled wholly or partly in cash, at the option of the Company, when converted.</w:t>
      </w:r>
    </w:p>
    <w:p>
      <w:pPr>
        <w:spacing w:after="0" w:line="161" w:lineRule="exact"/>
        <w:rPr>
          <w:rFonts w:ascii="Times New Roman" w:cs="Times New Roman" w:eastAsia="Times New Roman" w:hAnsi="Times New Roman"/>
          <w:sz w:val="18"/>
          <w:szCs w:val="18"/>
          <w:b w:val="1"/>
          <w:bCs w:val="1"/>
          <w:color w:val="auto"/>
        </w:rPr>
      </w:pPr>
    </w:p>
    <w:p>
      <w:pPr>
        <w:ind w:left="98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August 2020, the FASB issued ASU 2020-06 “Debt – Debt with Conversion and Other Options (Subtopic 470-20) and Derivatives and Hedging – Contracts in Entity’s Own Equity (Subtopic 815 – 40)” (“ASU 2020-06”). ASU 2020-06 simplifies the accounting for convertible instruments by removing certain separation models in ASC 470-20, Debt—Debt with Conversion and Other Options, for convertible instruments. ASU 2020-06 updates the guidance on certain embedded conversion features that are not required to be accounted for as derivatives under Topic 815, Derivatives and Hedging, or that do not result in substantial premiums accounted for as paid-in capital, such that those features are no longer required to be separated from the host contract. The convertible debt instruments will be accounted for as a single liability measured at amortized cost. This will also result in the interest expense recognized for convertible debt instruments to be typically closer to the coupon interest rate when applying the guidance in Topic 835. On January 1, 2024, the Company adopted ASU 2020-06 using the modified retrospective method of adoption. Under this method, the Company applied the guidance to the 2024 Notes at the adoption date and was required to make an adjustment to January 1, 2024, opening accumulated deficit balance and additional paid in capital. The prior period consolidated financial statements have not been retrospectively adjusted and continue to be reported under the accounting standards in effect for those periods. Under ASU 2020-06, the 2024 Notes (debt and conversion option) are accounted for as a liability. The impact to the Company's consolidated balance sheet as of December 31, 2023 resulting from its adoption of ASU 2020-06 is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Updated</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January 1,</w:t>
            </w:r>
          </w:p>
        </w:tc>
        <w:tc>
          <w:tcPr>
            <w:tcW w:w="160" w:type="dxa"/>
            <w:vAlign w:val="bottom"/>
          </w:tcPr>
          <w:p>
            <w:pPr>
              <w:spacing w:after="0"/>
              <w:rPr>
                <w:sz w:val="18"/>
                <w:szCs w:val="18"/>
                <w:color w:val="auto"/>
              </w:rPr>
            </w:pPr>
          </w:p>
        </w:tc>
        <w:tc>
          <w:tcPr>
            <w:tcW w:w="17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w:t>
            </w:r>
          </w:p>
        </w:tc>
      </w:tr>
      <w:tr>
        <w:trPr>
          <w:trHeight w:val="238"/>
        </w:trPr>
        <w:tc>
          <w:tcPr>
            <w:tcW w:w="3920" w:type="dxa"/>
            <w:vAlign w:val="bottom"/>
            <w:gridSpan w:val="2"/>
          </w:tcPr>
          <w:p>
            <w:pPr>
              <w:ind w:left="1000"/>
              <w:spacing w:after="0"/>
              <w:rPr>
                <w:sz w:val="20"/>
                <w:szCs w:val="20"/>
                <w:color w:val="auto"/>
              </w:rPr>
            </w:pPr>
            <w:r>
              <w:rPr>
                <w:rFonts w:ascii="Times New Roman" w:cs="Times New Roman" w:eastAsia="Times New Roman" w:hAnsi="Times New Roman"/>
                <w:sz w:val="18"/>
                <w:szCs w:val="18"/>
                <w:i w:val="1"/>
                <w:iCs w:val="1"/>
                <w:color w:val="auto"/>
              </w:rPr>
              <w:t>(U.S. dollars in thousands)</w:t>
            </w:r>
          </w:p>
        </w:tc>
        <w:tc>
          <w:tcPr>
            <w:tcW w:w="2960" w:type="dxa"/>
            <w:vAlign w:val="bottom"/>
            <w:gridSpan w:val="3"/>
          </w:tcPr>
          <w:p>
            <w:pPr>
              <w:jc w:val="center"/>
              <w:ind w:left="2050"/>
              <w:spacing w:after="0"/>
              <w:rPr>
                <w:sz w:val="20"/>
                <w:szCs w:val="20"/>
                <w:color w:val="auto"/>
              </w:rPr>
            </w:pPr>
            <w:r>
              <w:rPr>
                <w:rFonts w:ascii="Times New Roman" w:cs="Times New Roman" w:eastAsia="Times New Roman" w:hAnsi="Times New Roman"/>
                <w:sz w:val="18"/>
                <w:szCs w:val="18"/>
                <w:b w:val="1"/>
                <w:bCs w:val="1"/>
                <w:color w:val="auto"/>
                <w:w w:val="98"/>
              </w:rPr>
              <w:t>31, 2023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60" w:type="dxa"/>
            <w:vAlign w:val="bottom"/>
          </w:tcPr>
          <w:p>
            <w:pPr>
              <w:spacing w:after="0"/>
              <w:rPr>
                <w:sz w:val="20"/>
                <w:szCs w:val="20"/>
                <w:color w:val="auto"/>
              </w:rPr>
            </w:pPr>
          </w:p>
        </w:tc>
        <w:tc>
          <w:tcPr>
            <w:tcW w:w="17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0"/>
        </w:trPr>
        <w:tc>
          <w:tcPr>
            <w:tcW w:w="1000" w:type="dxa"/>
            <w:vAlign w:val="bottom"/>
          </w:tcPr>
          <w:p>
            <w:pPr>
              <w:spacing w:after="0"/>
              <w:rPr>
                <w:sz w:val="18"/>
                <w:szCs w:val="18"/>
                <w:color w:val="auto"/>
              </w:rPr>
            </w:pPr>
          </w:p>
        </w:tc>
        <w:tc>
          <w:tcPr>
            <w:tcW w:w="2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2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20,251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20,420</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2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415,045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414,652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381,549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381,325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980" w:type="dxa"/>
            <w:vAlign w:val="bottom"/>
          </w:tcPr>
          <w:p>
            <w:pPr>
              <w:spacing w:after="0"/>
              <w:rPr>
                <w:sz w:val="18"/>
                <w:szCs w:val="18"/>
                <w:color w:val="auto"/>
              </w:rPr>
            </w:pPr>
          </w:p>
        </w:tc>
      </w:tr>
      <w:tr>
        <w:trPr>
          <w:trHeight w:val="432"/>
        </w:trPr>
        <w:tc>
          <w:tcPr>
            <w:tcW w:w="10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0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561"/>
        </w:trPr>
        <w:tc>
          <w:tcPr>
            <w:tcW w:w="10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1"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000" w:right="200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PROTALIX BIOTHERAPEUTICS, INC. NOTES TO CONDENSED CONSOLIDATED FINANCIAL STATEMENTS </w:t>
      </w:r>
      <w:r>
        <w:rPr>
          <w:rFonts w:ascii="Times New Roman" w:cs="Times New Roman" w:eastAsia="Times New Roman" w:hAnsi="Times New Roman"/>
          <w:sz w:val="18"/>
          <w:szCs w:val="18"/>
          <w:color w:val="auto"/>
        </w:rPr>
        <w:t>(Unaudited)</w:t>
      </w:r>
    </w:p>
    <w:p>
      <w:pPr>
        <w:spacing w:after="0" w:line="384"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accounting pronouncements</w:t>
      </w:r>
    </w:p>
    <w:p>
      <w:pPr>
        <w:spacing w:after="0" w:line="186"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Recently adopted accounting pronouncements</w:t>
      </w:r>
    </w:p>
    <w:p>
      <w:pPr>
        <w:spacing w:after="0" w:line="186" w:lineRule="exact"/>
        <w:rPr>
          <w:rFonts w:ascii="Times New Roman" w:cs="Times New Roman" w:eastAsia="Times New Roman" w:hAnsi="Times New Roman"/>
          <w:sz w:val="18"/>
          <w:szCs w:val="18"/>
          <w:b w:val="1"/>
          <w:bCs w:val="1"/>
          <w:color w:val="auto"/>
        </w:rPr>
      </w:pPr>
    </w:p>
    <w:p>
      <w:pPr>
        <w:ind w:left="980" w:right="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ASU 2020-06, which was issued by the FASB in August 2020 and adopted by the Company in January 2024, simplifies the accounting for certain financial instruments with characteristics of both liability and equity, including convertible instruments and contracts on an entity’s own equity. The amendments to this guidance are effective for fiscal years beginning after December 15, 2023, and interim periods within those fiscal years. See Note 1(d).</w:t>
      </w:r>
    </w:p>
    <w:p>
      <w:pPr>
        <w:spacing w:after="0" w:line="150"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Recently issued accounting pronouncements, not yet adopted</w:t>
      </w:r>
    </w:p>
    <w:p>
      <w:pPr>
        <w:spacing w:after="0" w:line="186" w:lineRule="exact"/>
        <w:rPr>
          <w:rFonts w:ascii="Times New Roman" w:cs="Times New Roman" w:eastAsia="Times New Roman" w:hAnsi="Times New Roman"/>
          <w:sz w:val="18"/>
          <w:szCs w:val="18"/>
          <w:b w:val="1"/>
          <w:bCs w:val="1"/>
          <w:color w:val="auto"/>
        </w:rPr>
      </w:pPr>
    </w:p>
    <w:p>
      <w:pPr>
        <w:ind w:left="98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This guidance is intended to enhance the transparency and decision-usefulness of income tax disclosures. The amendments in ASU 2023-09 address investor requests for enhanced income tax information primarily through changes to disclosure regarding rate reconciliation and income taxes paid both in the United States and in foreign jurisdictions. ASU 2023-09 is effective for fiscal years beginning after December 15, 2024 on a prospective basis. Early adoption is permitted, with the option to apply the standard retrospectively. The Company is currently evaluating this guidance to determine the impact it may have on its consolidated financial statements disclosures.</w:t>
      </w:r>
    </w:p>
    <w:p>
      <w:pPr>
        <w:spacing w:after="0" w:line="148" w:lineRule="exact"/>
        <w:rPr>
          <w:rFonts w:ascii="Times New Roman" w:cs="Times New Roman" w:eastAsia="Times New Roman" w:hAnsi="Times New Roman"/>
          <w:sz w:val="18"/>
          <w:szCs w:val="18"/>
          <w:b w:val="1"/>
          <w:bCs w:val="1"/>
          <w:color w:val="auto"/>
        </w:rPr>
      </w:pPr>
    </w:p>
    <w:p>
      <w:pPr>
        <w:ind w:left="980" w:right="8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November 2023, the FASB issued ASU 2023-07 “Segment Reporting: Improvements to Reportable Segment Disclosures.” This guidance expands public entities’ segment disclosures primarily by requiring disclosure of significant segment expenses that are regularly provided to the chief operating decision maker and included within each reported measure of segment profit or loss, an amount and description of its composition for other segment items, and interim disclosures of a reportable segment’s profit or loss and assets. Public entities with a single reportable segment are required to provide the new disclosures and all of the disclosures required under ASC 280. The guidance is effective for fiscal years beginning after December 15, 2023, and interim periods within fiscal years beginning after December 15, 2024, with early adoption permitted. The amendments are required to be applied retrospectively to all prior periods presented in an entity’s financial statements. The Company is currently evaluating this guidance to determine the impact it may have on its consolidated financial statements and related disclosures.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NOTE 2</w:t>
            </w:r>
          </w:p>
        </w:tc>
        <w:tc>
          <w:tcPr>
            <w:tcW w:w="61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INVENTORIES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660" w:type="dxa"/>
            <w:vAlign w:val="bottom"/>
          </w:tcPr>
          <w:p>
            <w:pPr>
              <w:spacing w:after="0"/>
              <w:rPr>
                <w:sz w:val="24"/>
                <w:szCs w:val="24"/>
                <w:color w:val="auto"/>
              </w:rPr>
            </w:pPr>
          </w:p>
        </w:tc>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 at June 30, 2024 and December 31, 2023 consisted of the following:</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660" w:type="dxa"/>
            <w:vAlign w:val="bottom"/>
          </w:tcPr>
          <w:p>
            <w:pPr>
              <w:spacing w:after="0"/>
              <w:rPr>
                <w:sz w:val="24"/>
                <w:szCs w:val="24"/>
                <w:color w:val="auto"/>
              </w:rPr>
            </w:pPr>
          </w:p>
        </w:tc>
        <w:tc>
          <w:tcPr>
            <w:tcW w:w="614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U.S. dollars in thousands)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24"/>
                <w:szCs w:val="24"/>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61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4,301</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5,544</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61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inventory</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20,719</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NOTE 3</w:t>
            </w:r>
          </w:p>
        </w:tc>
        <w:tc>
          <w:tcPr>
            <w:tcW w:w="6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 FAIR VALUE MEASUREMENT</w:t>
            </w: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60" w:type="dxa"/>
            <w:vAlign w:val="bottom"/>
            <w:vMerge w:val="continue"/>
          </w:tcPr>
          <w:p>
            <w:pPr>
              <w:spacing w:after="0"/>
              <w:rPr>
                <w:sz w:val="24"/>
                <w:szCs w:val="24"/>
                <w:color w:val="auto"/>
              </w:rPr>
            </w:pPr>
          </w:p>
        </w:tc>
        <w:tc>
          <w:tcPr>
            <w:tcW w:w="614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left="660" w:right="160"/>
        <w:spacing w:after="0" w:line="266" w:lineRule="auto"/>
        <w:rPr>
          <w:sz w:val="20"/>
          <w:szCs w:val="20"/>
          <w:color w:val="auto"/>
        </w:rPr>
      </w:pPr>
      <w:r>
        <w:rPr>
          <w:rFonts w:ascii="Times New Roman" w:cs="Times New Roman" w:eastAsia="Times New Roman" w:hAnsi="Times New Roman"/>
          <w:sz w:val="18"/>
          <w:szCs w:val="18"/>
          <w:color w:val="auto"/>
        </w:rPr>
        <w:t>The Company discloses fair value measurements for financial assets and liabilities. Fair value is based on the price that would be received from the sale of an asset, or paid to transfer a liability, in an orderly transaction between market participants at the measurement date.</w:t>
      </w:r>
    </w:p>
    <w:p>
      <w:pPr>
        <w:spacing w:after="0" w:line="135" w:lineRule="exact"/>
        <w:rPr>
          <w:sz w:val="20"/>
          <w:szCs w:val="20"/>
          <w:color w:val="auto"/>
        </w:rPr>
      </w:pPr>
    </w:p>
    <w:p>
      <w:pPr>
        <w:jc w:val="both"/>
        <w:ind w:left="660" w:right="160"/>
        <w:spacing w:after="0" w:line="282" w:lineRule="auto"/>
        <w:rPr>
          <w:sz w:val="20"/>
          <w:szCs w:val="20"/>
          <w:color w:val="auto"/>
        </w:rPr>
      </w:pPr>
      <w:r>
        <w:rPr>
          <w:rFonts w:ascii="Times New Roman" w:cs="Times New Roman" w:eastAsia="Times New Roman" w:hAnsi="Times New Roman"/>
          <w:sz w:val="18"/>
          <w:szCs w:val="18"/>
          <w:color w:val="auto"/>
        </w:rPr>
        <w:t>The accounting standard establishes a fair value hierarchy that prioritizes observable and unobservable inputs used to measure fair value into three broad levels, which are described below:</w:t>
      </w:r>
    </w:p>
    <w:p>
      <w:pPr>
        <w:spacing w:after="0" w:line="121" w:lineRule="exact"/>
        <w:rPr>
          <w:sz w:val="20"/>
          <w:szCs w:val="20"/>
          <w:color w:val="auto"/>
        </w:rPr>
      </w:pPr>
    </w:p>
    <w:p>
      <w:pPr>
        <w:ind w:left="660" w:right="240"/>
        <w:spacing w:after="0" w:line="282" w:lineRule="auto"/>
        <w:rPr>
          <w:sz w:val="20"/>
          <w:szCs w:val="20"/>
          <w:color w:val="auto"/>
        </w:rPr>
      </w:pPr>
      <w:r>
        <w:rPr>
          <w:rFonts w:ascii="Times New Roman" w:cs="Times New Roman" w:eastAsia="Times New Roman" w:hAnsi="Times New Roman"/>
          <w:sz w:val="18"/>
          <w:szCs w:val="18"/>
          <w:color w:val="auto"/>
        </w:rPr>
        <w:t>Level 1: Quoted prices (unadjusted) in active markets that are accessible at the measurement date for assets or liabilities. The fair value hierarchy gives the highest priority to Level 1 inputs.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2: Observable prices that are based on inputs not quoted on active markets, but corroborated by market data.</w:t>
      </w:r>
    </w:p>
    <w:p>
      <w:pPr>
        <w:sectPr>
          <w:pgSz w:w="11900" w:h="16838" w:orient="portrait"/>
          <w:cols w:equalWidth="0" w:num="1">
            <w:col w:w="9900"/>
          </w:cols>
          <w:pgMar w:left="980" w:top="661" w:right="1019" w:bottom="1440" w:gutter="0" w:footer="0" w:header="0"/>
        </w:sectPr>
      </w:pP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PROTALIX BIOTHERAPEUTICS, INC. NOTES TO CONDENSED CONSOLIDATED FINANCIAL STATEMENTS </w:t>
      </w:r>
      <w:r>
        <w:rPr>
          <w:rFonts w:ascii="Times New Roman" w:cs="Times New Roman" w:eastAsia="Times New Roman" w:hAnsi="Times New Roman"/>
          <w:sz w:val="18"/>
          <w:szCs w:val="18"/>
          <w:color w:val="auto"/>
        </w:rPr>
        <w:t>(Unaudited)</w:t>
      </w:r>
    </w:p>
    <w:p>
      <w:pPr>
        <w:spacing w:after="0" w:line="388" w:lineRule="exact"/>
        <w:rPr>
          <w:sz w:val="20"/>
          <w:szCs w:val="20"/>
          <w:color w:val="auto"/>
        </w:rPr>
      </w:pPr>
    </w:p>
    <w:p>
      <w:pPr>
        <w:ind w:left="660" w:right="500"/>
        <w:spacing w:after="0" w:line="282" w:lineRule="auto"/>
        <w:rPr>
          <w:sz w:val="20"/>
          <w:szCs w:val="20"/>
          <w:color w:val="auto"/>
        </w:rPr>
      </w:pPr>
      <w:r>
        <w:rPr>
          <w:rFonts w:ascii="Times New Roman" w:cs="Times New Roman" w:eastAsia="Times New Roman" w:hAnsi="Times New Roman"/>
          <w:sz w:val="18"/>
          <w:szCs w:val="18"/>
          <w:color w:val="auto"/>
        </w:rPr>
        <w:t>Level 3: Unobservable inputs are used when little or no market data is available. The fair value hierarchy gives the lowest priority to Level 3 inputs.</w:t>
      </w:r>
    </w:p>
    <w:p>
      <w:pPr>
        <w:spacing w:after="0" w:line="121" w:lineRule="exact"/>
        <w:rPr>
          <w:sz w:val="20"/>
          <w:szCs w:val="20"/>
          <w:color w:val="auto"/>
        </w:rPr>
      </w:pPr>
    </w:p>
    <w:p>
      <w:pPr>
        <w:ind w:left="660" w:right="160"/>
        <w:spacing w:after="0" w:line="282" w:lineRule="auto"/>
        <w:rPr>
          <w:sz w:val="20"/>
          <w:szCs w:val="20"/>
          <w:color w:val="auto"/>
        </w:rPr>
      </w:pPr>
      <w:r>
        <w:rPr>
          <w:rFonts w:ascii="Times New Roman" w:cs="Times New Roman" w:eastAsia="Times New Roman" w:hAnsi="Times New Roman"/>
          <w:sz w:val="18"/>
          <w:szCs w:val="18"/>
          <w:color w:val="auto"/>
        </w:rPr>
        <w:t>In determining fair value, the Company utilizes valuation techniques that maximize the use of observable inputs and minimize the use of unobservable inputs to the extent possible and considers counterparty credit risk in its assessment of fair value.</w:t>
      </w:r>
    </w:p>
    <w:p>
      <w:pPr>
        <w:spacing w:after="0" w:line="135" w:lineRule="exact"/>
        <w:rPr>
          <w:sz w:val="20"/>
          <w:szCs w:val="20"/>
          <w:color w:val="auto"/>
        </w:rPr>
      </w:pPr>
    </w:p>
    <w:p>
      <w:pPr>
        <w:ind w:left="660" w:right="100"/>
        <w:spacing w:after="0" w:line="282" w:lineRule="auto"/>
        <w:rPr>
          <w:sz w:val="20"/>
          <w:szCs w:val="20"/>
          <w:color w:val="auto"/>
        </w:rPr>
      </w:pPr>
      <w:r>
        <w:rPr>
          <w:rFonts w:ascii="Times New Roman" w:cs="Times New Roman" w:eastAsia="Times New Roman" w:hAnsi="Times New Roman"/>
          <w:sz w:val="18"/>
          <w:szCs w:val="18"/>
          <w:color w:val="auto"/>
        </w:rPr>
        <w:t>The fair value of the financial instruments included in the working capital of the Company is identical or close to their carrying value.</w:t>
      </w:r>
    </w:p>
    <w:p>
      <w:pPr>
        <w:spacing w:after="0" w:line="121" w:lineRule="exact"/>
        <w:rPr>
          <w:sz w:val="20"/>
          <w:szCs w:val="20"/>
          <w:color w:val="auto"/>
        </w:rPr>
      </w:pPr>
    </w:p>
    <w:p>
      <w:pPr>
        <w:ind w:left="640"/>
        <w:spacing w:after="0" w:line="266" w:lineRule="auto"/>
        <w:rPr>
          <w:sz w:val="20"/>
          <w:szCs w:val="20"/>
          <w:color w:val="auto"/>
        </w:rPr>
      </w:pPr>
      <w:r>
        <w:rPr>
          <w:rFonts w:ascii="Times New Roman" w:cs="Times New Roman" w:eastAsia="Times New Roman" w:hAnsi="Times New Roman"/>
          <w:sz w:val="18"/>
          <w:szCs w:val="18"/>
          <w:color w:val="auto"/>
        </w:rPr>
        <w:t>Based on a Level 3 measurement, as of June 30, 2024, the fair value of the $20.4 million aggregate principal amount of the Company’s outstanding 2024 Notes is approximately $20.9 million. The value of these notes was estimated by implementing the binomial model. The following parameters were used:</w:t>
      </w:r>
    </w:p>
    <w:p>
      <w:pPr>
        <w:spacing w:after="0" w:line="208"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 (USD)</w:t>
            </w:r>
          </w:p>
        </w:tc>
        <w:tc>
          <w:tcPr>
            <w:tcW w:w="3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0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20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free rate</w:t>
            </w:r>
          </w:p>
        </w:tc>
        <w:tc>
          <w:tcPr>
            <w:tcW w:w="3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Yield</w:t>
            </w:r>
          </w:p>
        </w:tc>
        <w:tc>
          <w:tcPr>
            <w:tcW w:w="3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REVENUES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Company’s disaggregation of revenues:</w:t>
      </w:r>
    </w:p>
    <w:p>
      <w:pPr>
        <w:spacing w:after="0" w:line="219"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5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U.S. dollars in thousands)</w:t>
            </w:r>
          </w:p>
        </w:tc>
        <w:tc>
          <w:tcPr>
            <w:tcW w:w="160" w:type="dxa"/>
            <w:vAlign w:val="bottom"/>
          </w:tcPr>
          <w:p>
            <w:pPr>
              <w:spacing w:after="0"/>
              <w:rPr>
                <w:sz w:val="15"/>
                <w:szCs w:val="15"/>
                <w:color w:val="auto"/>
              </w:rPr>
            </w:pPr>
          </w:p>
        </w:tc>
        <w:tc>
          <w:tcPr>
            <w:tcW w:w="17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80" w:type="dxa"/>
            <w:vAlign w:val="bottom"/>
          </w:tcPr>
          <w:p>
            <w:pPr>
              <w:spacing w:after="0"/>
              <w:rPr>
                <w:sz w:val="15"/>
                <w:szCs w:val="15"/>
                <w:color w:val="auto"/>
              </w:rPr>
            </w:pPr>
          </w:p>
        </w:tc>
        <w:tc>
          <w:tcPr>
            <w:tcW w:w="202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0" w:type="dxa"/>
            <w:vAlign w:val="bottom"/>
          </w:tcPr>
          <w:p>
            <w:pPr>
              <w:spacing w:after="0"/>
              <w:rPr>
                <w:sz w:val="1"/>
                <w:szCs w:val="1"/>
                <w:color w:val="auto"/>
              </w:rPr>
            </w:pPr>
          </w:p>
        </w:tc>
      </w:tr>
      <w:tr>
        <w:trPr>
          <w:trHeight w:val="142"/>
        </w:trPr>
        <w:tc>
          <w:tcPr>
            <w:tcW w:w="354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Pfizer</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5,668</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c>
          <w:tcPr>
            <w:tcW w:w="34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68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4,716</w:t>
            </w:r>
          </w:p>
        </w:tc>
        <w:tc>
          <w:tcPr>
            <w:tcW w:w="3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Chiesi</w:t>
            </w:r>
          </w:p>
        </w:tc>
        <w:tc>
          <w:tcPr>
            <w:tcW w:w="3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11,673</w:t>
            </w:r>
          </w:p>
        </w:tc>
        <w:tc>
          <w:tcPr>
            <w:tcW w:w="68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3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revenues from selling goods</w:t>
            </w:r>
          </w:p>
        </w:tc>
        <w:tc>
          <w:tcPr>
            <w:tcW w:w="1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16,981</w:t>
            </w:r>
          </w:p>
        </w:tc>
        <w:tc>
          <w:tcPr>
            <w:tcW w:w="1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20,141</w:t>
            </w:r>
          </w:p>
        </w:tc>
        <w:tc>
          <w:tcPr>
            <w:tcW w:w="4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13,304</w:t>
            </w:r>
          </w:p>
        </w:tc>
        <w:tc>
          <w:tcPr>
            <w:tcW w:w="1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15,075</w:t>
            </w: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54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Revenues from license and R&amp;D services</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241</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24,522</w:t>
            </w:r>
          </w:p>
        </w:tc>
        <w:tc>
          <w:tcPr>
            <w:tcW w:w="4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170</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20,000</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STOCK TRANSACTIONS</w:t>
      </w:r>
    </w:p>
    <w:p>
      <w:pPr>
        <w:spacing w:after="0" w:line="202" w:lineRule="exact"/>
        <w:rPr>
          <w:sz w:val="20"/>
          <w:szCs w:val="20"/>
          <w:color w:val="auto"/>
        </w:rPr>
      </w:pPr>
    </w:p>
    <w:p>
      <w:pPr>
        <w:ind w:left="660" w:right="60"/>
        <w:spacing w:after="0" w:line="258" w:lineRule="auto"/>
        <w:rPr>
          <w:sz w:val="20"/>
          <w:szCs w:val="20"/>
          <w:color w:val="auto"/>
        </w:rPr>
      </w:pPr>
      <w:r>
        <w:rPr>
          <w:rFonts w:ascii="Times New Roman" w:cs="Times New Roman" w:eastAsia="Times New Roman" w:hAnsi="Times New Roman"/>
          <w:sz w:val="18"/>
          <w:szCs w:val="18"/>
          <w:color w:val="auto"/>
        </w:rPr>
        <w:t>On January 15, 2024, the Company granted, with the approval of the Company’s compensation committee, 100,000 shares of restricted Common Stock, in the aggregate, to certain of the Company’s employees under the Company’s Amended and Restated 2006 Employee Stock Incentive Plan, as amended (the “Plan”). All such shares of restricted Common Stock vest over a three-year period in 12 equal quarterly increments. The Company estimated the fair value of the restricted stock on the date of grant to be approximately $0.2 million.</w:t>
      </w:r>
    </w:p>
    <w:p>
      <w:pPr>
        <w:spacing w:after="0" w:line="183" w:lineRule="exact"/>
        <w:rPr>
          <w:sz w:val="20"/>
          <w:szCs w:val="20"/>
          <w:color w:val="auto"/>
        </w:rPr>
      </w:pPr>
    </w:p>
    <w:p>
      <w:pPr>
        <w:ind w:left="660" w:right="60"/>
        <w:spacing w:after="0" w:line="266" w:lineRule="auto"/>
        <w:rPr>
          <w:sz w:val="20"/>
          <w:szCs w:val="20"/>
          <w:color w:val="auto"/>
        </w:rPr>
      </w:pPr>
      <w:r>
        <w:rPr>
          <w:rFonts w:ascii="Times New Roman" w:cs="Times New Roman" w:eastAsia="Times New Roman" w:hAnsi="Times New Roman"/>
          <w:sz w:val="18"/>
          <w:szCs w:val="18"/>
          <w:color w:val="auto"/>
        </w:rPr>
        <w:t>On April 1, 2024, the Company granted, with the approval of the Company’s compensation committee, 263,960 shares of fully-vested restricted Common Stock to the Company’s President and Chief Executive Officer under the Plan instead of a cash bonus. The Company estimated the fair value of the restricted stock on the date of grant to be approximately $0.3 million.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020" w:right="198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PROTALIX BIOTHERAPEUTICS, INC. NOTES TO CONDENSED CONSOLIDATED FINANCIAL STATEMENTS </w:t>
      </w:r>
      <w:r>
        <w:rPr>
          <w:rFonts w:ascii="Times New Roman" w:cs="Times New Roman" w:eastAsia="Times New Roman" w:hAnsi="Times New Roman"/>
          <w:sz w:val="18"/>
          <w:szCs w:val="18"/>
          <w:color w:val="auto"/>
        </w:rPr>
        <w:t>(Unaudited)</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TAXES ON INCOME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Company’s taxes on income:</w:t>
      </w:r>
    </w:p>
    <w:p>
      <w:pPr>
        <w:spacing w:after="0" w:line="19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0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(U.S. dollars in thousands)</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408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1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June 30, 2023</w:t>
            </w:r>
          </w:p>
        </w:tc>
        <w:tc>
          <w:tcPr>
            <w:tcW w:w="10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8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June 30, 2023</w:t>
            </w:r>
          </w:p>
        </w:tc>
        <w:tc>
          <w:tcPr>
            <w:tcW w:w="0" w:type="dxa"/>
            <w:vAlign w:val="bottom"/>
          </w:tcPr>
          <w:p>
            <w:pPr>
              <w:spacing w:after="0"/>
              <w:rPr>
                <w:sz w:val="1"/>
                <w:szCs w:val="1"/>
                <w:color w:val="auto"/>
              </w:rPr>
            </w:pPr>
          </w:p>
        </w:tc>
      </w:tr>
      <w:tr>
        <w:trPr>
          <w:trHeight w:val="237"/>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taxes on income</w:t>
            </w:r>
          </w:p>
        </w:tc>
        <w:tc>
          <w:tcPr>
            <w:tcW w:w="36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line="234" w:lineRule="exact"/>
              <w:rPr>
                <w:sz w:val="20"/>
                <w:szCs w:val="20"/>
                <w:color w:val="auto"/>
              </w:rPr>
            </w:pPr>
            <w:r>
              <w:rPr>
                <w:rFonts w:ascii="Calibri" w:cs="Calibri" w:eastAsia="Calibri" w:hAnsi="Calibri"/>
                <w:sz w:val="20"/>
                <w:szCs w:val="20"/>
                <w:color w:val="auto"/>
              </w:rPr>
              <w:t>-</w:t>
            </w: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0" w:type="dxa"/>
            <w:vAlign w:val="bottom"/>
          </w:tcPr>
          <w:p>
            <w:pPr>
              <w:spacing w:after="0"/>
              <w:rPr>
                <w:sz w:val="1"/>
                <w:szCs w:val="1"/>
                <w:color w:val="auto"/>
              </w:rPr>
            </w:pPr>
          </w:p>
        </w:tc>
      </w:tr>
      <w:tr>
        <w:trPr>
          <w:trHeight w:val="243"/>
        </w:trPr>
        <w:tc>
          <w:tcPr>
            <w:tcW w:w="4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 taxes on income</w:t>
            </w:r>
          </w:p>
        </w:tc>
        <w:tc>
          <w:tcPr>
            <w:tcW w:w="1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0" w:type="dxa"/>
            <w:vAlign w:val="bottom"/>
          </w:tcPr>
          <w:p>
            <w:pPr>
              <w:spacing w:after="0"/>
              <w:rPr>
                <w:sz w:val="1"/>
                <w:szCs w:val="1"/>
                <w:color w:val="auto"/>
              </w:rPr>
            </w:pPr>
          </w:p>
        </w:tc>
      </w:tr>
      <w:tr>
        <w:trPr>
          <w:trHeight w:val="209"/>
        </w:trPr>
        <w:tc>
          <w:tcPr>
            <w:tcW w:w="4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taxes on income (tax benefit)</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right="20"/>
        <w:spacing w:after="0" w:line="257" w:lineRule="auto"/>
        <w:rPr>
          <w:sz w:val="20"/>
          <w:szCs w:val="20"/>
          <w:color w:val="auto"/>
        </w:rPr>
      </w:pPr>
      <w:r>
        <w:rPr>
          <w:rFonts w:ascii="Times New Roman" w:cs="Times New Roman" w:eastAsia="Times New Roman" w:hAnsi="Times New Roman"/>
          <w:sz w:val="18"/>
          <w:szCs w:val="18"/>
          <w:color w:val="auto"/>
        </w:rPr>
        <w:t>The Company had an effective tax rate of (3)% for the six months ended June 30, 2024, compared to an effective tax rate of 7% for the six months ended June 30, 2023. For the six months ended June 30, 2024, the difference between the Company’s effective tax rate and the U.S. federal statutory rate of 21% was the result of forecasted profits derived primarily from</w:t>
      </w:r>
    </w:p>
    <w:p>
      <w:pPr>
        <w:spacing w:after="0" w:line="1" w:lineRule="exact"/>
        <w:rPr>
          <w:sz w:val="20"/>
          <w:szCs w:val="20"/>
          <w:color w:val="auto"/>
        </w:rPr>
      </w:pPr>
    </w:p>
    <w:p>
      <w:pPr>
        <w:ind w:left="660" w:right="20"/>
        <w:spacing w:after="0" w:line="260" w:lineRule="auto"/>
        <w:rPr>
          <w:sz w:val="20"/>
          <w:szCs w:val="20"/>
          <w:color w:val="auto"/>
        </w:rPr>
      </w:pPr>
      <w:r>
        <w:rPr>
          <w:rFonts w:ascii="Times New Roman" w:cs="Times New Roman" w:eastAsia="Times New Roman" w:hAnsi="Times New Roman"/>
          <w:sz w:val="18"/>
          <w:szCs w:val="18"/>
          <w:color w:val="auto"/>
        </w:rPr>
        <w:t>U.S. taxable GILTI income mainly due to Section 174 of the U.S. Tax Cuts and Jobs Act, which was enacted in December 2017 (the “TCJA”).</w:t>
      </w:r>
    </w:p>
    <w:p>
      <w:pPr>
        <w:spacing w:after="0" w:line="154" w:lineRule="exact"/>
        <w:rPr>
          <w:sz w:val="20"/>
          <w:szCs w:val="20"/>
          <w:color w:val="auto"/>
        </w:rPr>
      </w:pPr>
    </w:p>
    <w:p>
      <w:pPr>
        <w:ind w:left="660" w:right="280"/>
        <w:spacing w:after="0" w:line="272" w:lineRule="auto"/>
        <w:rPr>
          <w:sz w:val="20"/>
          <w:szCs w:val="20"/>
          <w:color w:val="auto"/>
        </w:rPr>
      </w:pPr>
      <w:r>
        <w:rPr>
          <w:rFonts w:ascii="Times New Roman" w:cs="Times New Roman" w:eastAsia="Times New Roman" w:hAnsi="Times New Roman"/>
          <w:sz w:val="17"/>
          <w:szCs w:val="17"/>
          <w:color w:val="212529"/>
        </w:rPr>
        <w:t>In the second quarter ended June 30, 2023, following the regulatory approvals for Elfabrio in May 2023, the receipt of the $20.0 million milestone payment and the launch of Elfabrio in the United States, the Company released valuation allowance previously recorded on deferred tax assets in respect of its NOLs in the United States resulting in a net tax benefit of</w:t>
      </w:r>
    </w:p>
    <w:p>
      <w:pPr>
        <w:spacing w:after="0" w:line="2" w:lineRule="exact"/>
        <w:rPr>
          <w:sz w:val="20"/>
          <w:szCs w:val="20"/>
          <w:color w:val="auto"/>
        </w:rPr>
      </w:pPr>
    </w:p>
    <w:p>
      <w:pPr>
        <w:ind w:left="660" w:right="60"/>
        <w:spacing w:after="0" w:line="252" w:lineRule="auto"/>
        <w:rPr>
          <w:sz w:val="20"/>
          <w:szCs w:val="20"/>
          <w:color w:val="auto"/>
        </w:rPr>
      </w:pPr>
      <w:r>
        <w:rPr>
          <w:rFonts w:ascii="Times New Roman" w:cs="Times New Roman" w:eastAsia="Times New Roman" w:hAnsi="Times New Roman"/>
          <w:sz w:val="18"/>
          <w:szCs w:val="18"/>
          <w:color w:val="212529"/>
        </w:rPr>
        <w:t>$3.1 million. The Company concluded that, based upon the preponderance of positive evidence over negative evidence and the anticipated ability to use the deferred tax assets, it was more likely than not that these deferred tax assets would be realizable due to forecasted profits. The Company considered the following: (i) cumulative profits for tax over the previous 12 quarters in its U.S. operations; (ii) the impact of Section 174 of the TCJA which requires the Company to capitalize and amortize its research and development expenses over 15 years; and (iii) its forecasted profits in the United States following the regulatory approvals of Elfabrio.</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SUPPLEMENTARY FINANCIAL STATEMENT INFORMATION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209"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8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(U.S. dollars in thousands)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88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Accounts payable and accruals – other:</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Payroll and related expenses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160" w:type="dxa"/>
            <w:vAlign w:val="bottom"/>
          </w:tcPr>
          <w:p>
            <w:pPr>
              <w:spacing w:after="0"/>
              <w:rPr>
                <w:sz w:val="18"/>
                <w:szCs w:val="18"/>
                <w:color w:val="auto"/>
              </w:rPr>
            </w:pPr>
          </w:p>
        </w:tc>
        <w:tc>
          <w:tcPr>
            <w:tcW w:w="2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payable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vacation</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9,009</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Royalties payable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2,876</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Sales reserve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suppliers</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0" w:type="dxa"/>
            <w:vAlign w:val="bottom"/>
          </w:tcPr>
          <w:p>
            <w:pPr>
              <w:spacing w:after="0"/>
              <w:rPr>
                <w:sz w:val="1"/>
                <w:szCs w:val="1"/>
                <w:color w:val="auto"/>
              </w:rPr>
            </w:pPr>
          </w:p>
        </w:tc>
      </w:tr>
      <w:tr>
        <w:trPr>
          <w:trHeight w:val="210"/>
        </w:trPr>
        <w:tc>
          <w:tcPr>
            <w:tcW w:w="5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19,343</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19,550</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SUBSEQUENT EVENTS</w:t>
      </w:r>
    </w:p>
    <w:p>
      <w:pPr>
        <w:spacing w:after="0" w:line="229" w:lineRule="exact"/>
        <w:rPr>
          <w:sz w:val="20"/>
          <w:szCs w:val="20"/>
          <w:color w:val="auto"/>
        </w:rPr>
      </w:pPr>
    </w:p>
    <w:p>
      <w:pPr>
        <w:ind w:left="1300" w:right="380" w:hanging="644"/>
        <w:spacing w:after="0" w:line="282"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end of the quarter ended June 30, 2024 the Company collected approximately $4.6 million from sales to Pfizer and on July 7, 2024 the Company collected approximately $2.3 million from sales to Brazil.</w:t>
      </w:r>
    </w:p>
    <w:p>
      <w:pPr>
        <w:spacing w:after="0" w:line="161" w:lineRule="exact"/>
        <w:rPr>
          <w:rFonts w:ascii="Times New Roman" w:cs="Times New Roman" w:eastAsia="Times New Roman" w:hAnsi="Times New Roman"/>
          <w:sz w:val="18"/>
          <w:szCs w:val="18"/>
          <w:color w:val="auto"/>
        </w:rPr>
      </w:pPr>
    </w:p>
    <w:p>
      <w:pPr>
        <w:ind w:left="1300" w:hanging="644"/>
        <w:spacing w:after="0" w:line="258"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2, 2024, the Company granted, with the approval of the Company’s compensation committee, 250,000 shares of restricted Common Stock to its new Vice President, Research and Development, under the Plan. The first third of such shares of restricted Common Stock vest on the first anniversary of the date of grant and the remaining two-thirds of the shares vest over the subsequent two-year period in eight equal quarterly increments. The Company estimated the fair value of the restricted stock on the date of grant to be approximately $0.3 million.</w:t>
      </w:r>
    </w:p>
    <w:p>
      <w:pPr>
        <w:sectPr>
          <w:pgSz w:w="11900" w:h="16838" w:orient="portrait"/>
          <w:cols w:equalWidth="0" w:num="1">
            <w:col w:w="9880"/>
          </w:cols>
          <w:pgMar w:left="980" w:top="661" w:right="1039" w:bottom="1440" w:gutter="0" w:footer="0" w:header="0"/>
        </w:sectPr>
      </w:pP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RISK FACTORS SUMMARY</w:t>
      </w:r>
    </w:p>
    <w:p>
      <w:pPr>
        <w:spacing w:after="0" w:line="178"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financial statements and the consolidated financial statements and the related notes included elsewhere in this Form 10-Q and in our Annual Report on Form 10-K for the year ended December 31, 2023. Some of the information contained in this discussion and analysis, particularly with respect to our plans and strategy for our business and related financing, includes forward-looking statements within the meanings of Section 27A of the Securities Act of 1933, as amended, and Section 21E of the Securities Exchange Act of 1934, as amended, or the Exchange Act, including statements regarding expectations, beliefs, intentions or strategies for the future. When used in this report, the terms “anticipate,” “believe,” “estimate,” “expect,” “can,” “continue,” “could,” “intend,” “may,” “plan,” “potential,” “predict,” “project,” “should,” “will,” “would” and words or phrases of similar import, as they relate to our company, our subsidiaries or our management, are intended to identify forward-looking statements. We intend that all forward-looking statements be subject to the safe-harbor provisions of the Private Securities Litigation Reform Act of 1995. These forward-looking statements are only predictions and reflect our views as of the date they are made with respect to future events and financial performance, and we undertake no obligation to update or revise, nor do we have a policy of updating or revising, any forward-looking statement to reflect events or circumstances after the date on which the statement is made or to reflect the occurrence of unanticipated events, except as may be required under applicable law. Forward-looking statements are subject to many risks and uncertainties that could cause our actual results to differ materially from any future results expressed or implied by the forward-looking statements as a result of several factors.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Examples of the risks and uncertainties include, but are not limited to, the following:</w:t>
      </w:r>
    </w:p>
    <w:p>
      <w:pPr>
        <w:spacing w:after="0" w:line="177" w:lineRule="exact"/>
        <w:rPr>
          <w:sz w:val="20"/>
          <w:szCs w:val="20"/>
          <w:color w:val="auto"/>
        </w:rPr>
      </w:pPr>
    </w:p>
    <w:p>
      <w:pPr>
        <w:ind w:right="80" w:firstLine="656"/>
        <w:spacing w:after="0" w:line="217" w:lineRule="auto"/>
        <w:tabs>
          <w:tab w:leader="none" w:pos="12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commercialization of Elfabrio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(pegunigalsidase alfa-iwxj), our approved product for the treatment of adult patients with Fabry disease;</w:t>
      </w:r>
    </w:p>
    <w:p>
      <w:pPr>
        <w:spacing w:after="0" w:line="171" w:lineRule="exact"/>
        <w:rPr>
          <w:rFonts w:ascii="Times New Roman" w:cs="Times New Roman" w:eastAsia="Times New Roman" w:hAnsi="Times New Roman"/>
          <w:sz w:val="18"/>
          <w:szCs w:val="18"/>
          <w:color w:val="auto"/>
        </w:rPr>
      </w:pPr>
    </w:p>
    <w:p>
      <w:pPr>
        <w:ind w:right="60" w:firstLine="656"/>
        <w:spacing w:after="0" w:line="282" w:lineRule="auto"/>
        <w:tabs>
          <w:tab w:leader="none" w:pos="12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Elfabrio’s market acceptance, competition, reimbursement and regulatory actions, including as a result of the boxed warning contained in the FDA approval received for the product;</w:t>
      </w:r>
    </w:p>
    <w:p>
      <w:pPr>
        <w:spacing w:after="0" w:line="121" w:lineRule="exact"/>
        <w:rPr>
          <w:rFonts w:ascii="Times New Roman" w:cs="Times New Roman" w:eastAsia="Times New Roman" w:hAnsi="Times New Roman"/>
          <w:sz w:val="18"/>
          <w:szCs w:val="18"/>
          <w:color w:val="auto"/>
        </w:rPr>
      </w:pPr>
    </w:p>
    <w:p>
      <w:pPr>
        <w:ind w:right="40" w:firstLine="656"/>
        <w:spacing w:after="0" w:line="258" w:lineRule="auto"/>
        <w:tabs>
          <w:tab w:leader="none" w:pos="12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disruption of our operations due to the war declared by Israel’s security cabinet against the Hamas terrorist organization located in the Gaza Strip, the military campaign against the Hezbollah and other terrorist activities and armed conflict, including as a result of the disruption of the operations of certain regulatory authorities and of certain of our suppliers, collaborative partners, licensees, clinical trial sites, distributors and customers, and the risk that the current hostilities will result in a greater regional conflict;</w:t>
      </w:r>
    </w:p>
    <w:p>
      <w:pPr>
        <w:spacing w:after="0" w:line="14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regulatory approval and commercial success of our other product and product candidates, if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expectations with respect to the projected market for our products and product candidates;</w:t>
      </w:r>
    </w:p>
    <w:p>
      <w:pPr>
        <w:spacing w:after="0" w:line="184" w:lineRule="exact"/>
        <w:rPr>
          <w:rFonts w:ascii="Times New Roman" w:cs="Times New Roman" w:eastAsia="Times New Roman" w:hAnsi="Times New Roman"/>
          <w:sz w:val="18"/>
          <w:szCs w:val="18"/>
          <w:color w:val="auto"/>
        </w:rPr>
      </w:pPr>
    </w:p>
    <w:p>
      <w:pPr>
        <w:ind w:right="80" w:firstLine="656"/>
        <w:spacing w:after="0" w:line="258" w:lineRule="auto"/>
        <w:tabs>
          <w:tab w:leader="none" w:pos="12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delay in the commencement or completion of our preclinical studies and clinical trials, which may be caused by several factors, including: slower than expected rates of patient recruitment; unforeseen safety issues; determination of dosing issues; lack of effectiveness during clinical trials; inability to satisfactorily demonstrate non-inferiority to approved therapies; inability or unwillingness of medical investigators and institutional review boards to follow our clinical protocols; inability to monitor patients adequately during or after treatment; and/or lack of sufficient funding to finance our clinical trials;</w:t>
      </w:r>
    </w:p>
    <w:p>
      <w:pPr>
        <w:spacing w:after="0" w:line="142" w:lineRule="exact"/>
        <w:rPr>
          <w:rFonts w:ascii="Times New Roman" w:cs="Times New Roman" w:eastAsia="Times New Roman" w:hAnsi="Times New Roman"/>
          <w:sz w:val="18"/>
          <w:szCs w:val="18"/>
          <w:color w:val="auto"/>
        </w:rPr>
      </w:pPr>
    </w:p>
    <w:p>
      <w:pPr>
        <w:ind w:right="140" w:firstLine="656"/>
        <w:spacing w:after="0" w:line="282" w:lineRule="auto"/>
        <w:tabs>
          <w:tab w:leader="none" w:pos="12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approval or potential rejection of any applications we file with the FDA, EMA or other health regulatory authorities for our other product candidates, and other risks relating to the review process;</w:t>
      </w:r>
    </w:p>
    <w:p>
      <w:pPr>
        <w:spacing w:after="0" w:line="134" w:lineRule="exact"/>
        <w:rPr>
          <w:rFonts w:ascii="Times New Roman" w:cs="Times New Roman" w:eastAsia="Times New Roman" w:hAnsi="Times New Roman"/>
          <w:sz w:val="18"/>
          <w:szCs w:val="18"/>
          <w:color w:val="auto"/>
        </w:rPr>
      </w:pPr>
    </w:p>
    <w:p>
      <w:pPr>
        <w:ind w:firstLine="656"/>
        <w:spacing w:after="0" w:line="266" w:lineRule="auto"/>
        <w:tabs>
          <w:tab w:leader="none" w:pos="12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global conditions and developments such as supply chain challenges, the inflationary environment and tight labor market, and instability in the banking industry, which may adversely impact our business, operations and ability to raise additional financing if and as required and on terms acceptable to us;</w:t>
      </w:r>
    </w:p>
    <w:p>
      <w:pPr>
        <w:spacing w:after="0" w:line="135" w:lineRule="exact"/>
        <w:rPr>
          <w:rFonts w:ascii="Times New Roman" w:cs="Times New Roman" w:eastAsia="Times New Roman" w:hAnsi="Times New Roman"/>
          <w:sz w:val="18"/>
          <w:szCs w:val="18"/>
          <w:color w:val="auto"/>
        </w:rPr>
      </w:pPr>
    </w:p>
    <w:p>
      <w:pPr>
        <w:ind w:right="100" w:firstLine="656"/>
        <w:spacing w:after="0" w:line="282" w:lineRule="auto"/>
        <w:tabs>
          <w:tab w:leader="none" w:pos="12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any transactions we may effect in the public or private equity or debt markets to raise capital to finance future research and development activities, general and administrative expenses and working capital;</w:t>
      </w:r>
    </w:p>
    <w:p>
      <w:pPr>
        <w:spacing w:after="0" w:line="12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our evaluation and pursuit of strategic partnerships;</w:t>
      </w:r>
    </w:p>
    <w:p>
      <w:pPr>
        <w:sectPr>
          <w:pgSz w:w="11900" w:h="16838" w:orient="portrait"/>
          <w:cols w:equalWidth="0" w:num="1">
            <w:col w:w="9920"/>
          </w:cols>
          <w:pgMar w:left="980" w:top="661" w:right="999" w:bottom="1440" w:gutter="0" w:footer="0" w:header="0"/>
        </w:sectPr>
      </w:pP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656"/>
        <w:spacing w:after="0" w:line="312" w:lineRule="auto"/>
        <w:tabs>
          <w:tab w:leader="none" w:pos="129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that the results of our clinical trials will not support the applicable claims of safety or efficacy and that our product candidates will not have the desired effects or will be associated with undesirable side effects or other unexpected characteristics;</w:t>
      </w:r>
    </w:p>
    <w:p>
      <w:pPr>
        <w:spacing w:after="0" w:line="99" w:lineRule="exact"/>
        <w:rPr>
          <w:rFonts w:ascii="Times New Roman" w:cs="Times New Roman" w:eastAsia="Times New Roman" w:hAnsi="Times New Roman"/>
          <w:sz w:val="17"/>
          <w:szCs w:val="17"/>
          <w:color w:val="auto"/>
        </w:rPr>
      </w:pPr>
    </w:p>
    <w:p>
      <w:pPr>
        <w:ind w:firstLine="656"/>
        <w:spacing w:after="0" w:line="282" w:lineRule="auto"/>
        <w:tabs>
          <w:tab w:leader="none" w:pos="129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our ability to manage our relationship with our collaborators, distributors or partners, including, but not limited to, Pfizer and Chiesi;</w:t>
      </w:r>
    </w:p>
    <w:p>
      <w:pPr>
        <w:spacing w:after="0" w:line="13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amount and sufficiency of our cash, cash equivalents and short-term bank deposits;</w:t>
      </w:r>
    </w:p>
    <w:p>
      <w:pPr>
        <w:spacing w:after="0" w:line="184" w:lineRule="exact"/>
        <w:rPr>
          <w:rFonts w:ascii="Times New Roman" w:cs="Times New Roman" w:eastAsia="Times New Roman" w:hAnsi="Times New Roman"/>
          <w:sz w:val="18"/>
          <w:szCs w:val="18"/>
          <w:color w:val="auto"/>
        </w:rPr>
      </w:pPr>
    </w:p>
    <w:p>
      <w:pPr>
        <w:ind w:right="520" w:firstLine="656"/>
        <w:spacing w:after="0" w:line="282" w:lineRule="auto"/>
        <w:tabs>
          <w:tab w:leader="none" w:pos="129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our ability to make scheduled payments of the principal of, to pay interest on or to refinance our outstanding notes or any other indebtedness;</w:t>
      </w:r>
    </w:p>
    <w:p>
      <w:pPr>
        <w:spacing w:after="0" w:line="12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changes to interim, topline or preliminary data from clinical trials that we announce or publish;</w:t>
      </w:r>
    </w:p>
    <w:p>
      <w:pPr>
        <w:spacing w:after="0" w:line="198" w:lineRule="exact"/>
        <w:rPr>
          <w:rFonts w:ascii="Times New Roman" w:cs="Times New Roman" w:eastAsia="Times New Roman" w:hAnsi="Times New Roman"/>
          <w:sz w:val="18"/>
          <w:szCs w:val="18"/>
          <w:color w:val="auto"/>
        </w:rPr>
      </w:pPr>
    </w:p>
    <w:p>
      <w:pPr>
        <w:ind w:right="400" w:firstLine="656"/>
        <w:spacing w:after="0" w:line="282" w:lineRule="auto"/>
        <w:tabs>
          <w:tab w:leader="none" w:pos="129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the compliance by Fiocruz with its purchase obligations under our supply and technology transfer agreement, which may have a material adverse effect on us and may also result in the termination of such agreement;</w:t>
      </w:r>
    </w:p>
    <w:p>
      <w:pPr>
        <w:spacing w:after="0" w:line="12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significant lawsuits, including stockholder litigation, which is common in the life sciences sector;</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performance by third-party providers of services and supplies, including without limitation, clinical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trial services;</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inherent risks and uncertainties in developing drug platforms and products of the type we are developing;</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development of competing therapies and/or technologies by other companies;</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supply of drug products to Pfizer;</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risks, and risks of securing adequate levels of related insurance coverage;</w:t>
      </w:r>
    </w:p>
    <w:p>
      <w:pPr>
        <w:spacing w:after="0" w:line="184" w:lineRule="exact"/>
        <w:rPr>
          <w:rFonts w:ascii="Times New Roman" w:cs="Times New Roman" w:eastAsia="Times New Roman" w:hAnsi="Times New Roman"/>
          <w:sz w:val="18"/>
          <w:szCs w:val="18"/>
          <w:color w:val="auto"/>
        </w:rPr>
      </w:pPr>
    </w:p>
    <w:p>
      <w:pPr>
        <w:ind w:right="100" w:firstLine="656"/>
        <w:spacing w:after="0" w:line="312" w:lineRule="auto"/>
        <w:tabs>
          <w:tab w:leader="none" w:pos="129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of infringing a third-party’s patents or other intellectual property rights and the uncertainty of obtaining patents covering our products and processes and successfully enforcing our intellectual property rights against third-parties; and</w:t>
      </w:r>
    </w:p>
    <w:p>
      <w:pPr>
        <w:spacing w:after="0" w:line="99" w:lineRule="exact"/>
        <w:rPr>
          <w:rFonts w:ascii="Times New Roman" w:cs="Times New Roman" w:eastAsia="Times New Roman" w:hAnsi="Times New Roman"/>
          <w:sz w:val="17"/>
          <w:szCs w:val="17"/>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changes in healthcare laws, rules and regulations in the United States or elsewhere.</w:t>
      </w:r>
    </w:p>
    <w:p>
      <w:pPr>
        <w:spacing w:after="0" w:line="19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Given these uncertainties, you should not place undue reliance on these forward-looking statements. Companies in the pharmaceutical and biotechnology industries have suffered significant setbacks in advanced or late-stage clinical trials, even after obtaining promising earlier trial results or preliminary findings for such clinical trials. Even if favorable testing data is generated from clinical trials of a drug product, the FDA or foreign regulatory authorities may not accept or approve a marketing application filed by a pharmaceutical or biotechnology company for the drug product.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Company Developments</w:t>
      </w:r>
    </w:p>
    <w:p>
      <w:pPr>
        <w:spacing w:after="0" w:line="189" w:lineRule="exact"/>
        <w:rPr>
          <w:sz w:val="20"/>
          <w:szCs w:val="20"/>
          <w:color w:val="auto"/>
        </w:rPr>
      </w:pPr>
    </w:p>
    <w:p>
      <w:pPr>
        <w:ind w:right="40" w:firstLine="656"/>
        <w:spacing w:after="0" w:line="255" w:lineRule="auto"/>
        <w:tabs>
          <w:tab w:leader="none" w:pos="129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27, 2024, we held our Annual Meeting of Stockholders at which our stockholders: (1) elected the seven persons nominated by our Board of Directors to serve as directors of the Company; (2) approved, on a non-binding, advisory basis, the compensation of our named executive officers; (3) adopted amendments to the Protalix BioTherapeutics, Inc. 2006 Stock Incentive Plan, as amended, to increase the number of shares of the Company’s common stock available under such plan from 12,475,171 shares to 17,475,171 shares and adopted certain other terms of said plan and (4) ratified the appointment of Kesselman &amp; Kesselman, Certified Public Accountants (Isr.), a member firm of PricewaterhouseCoopers International Limited, as our independent registered public accounting firm for the fiscal year ending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ProCellEx: Our Proprietary Protein Expression System</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ProCellEx is our proprietary platform used to produce and manufacture recombinant proteins through plant cell-based expression in suspension. We are the first and only company to gain FDA approval of a protein produced through plant cell-based expression, and with the recent approval of Elfabrio, we now have two commercial proteins produced through our platform.</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ProCellEx consists of a comprehensive set of proprietary technologies and capabilities, including the use of advanced genetic engineering and plant cell culture technology, enabling us to produce complex, proprietary, and biologically equivalent proteins for a variety of human diseases. Our protein expression system facilitates the creation and selection of high-expressing, genetically-stable cell lines capable of expressing recombinant proteins. The system plays an important role in the execution of our corporate strategy as its allows us to develop and produce tailored complex recombinant therapeutic proteins and to genetically engineer and/or chemically modify such proteins pre- and/or post-production. The engineering and modification of the therapeutic proteins have the potential to provide added clinical benefits by improving the biological characteristics (e.g., glycosylation, half-life, immunogenicity).</w:t>
      </w:r>
    </w:p>
    <w:p>
      <w:pPr>
        <w:spacing w:after="0" w:line="148"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Our ProCellEx technology allows for many unique advantages, including: biologic optimization; an ability to handle complex protein expressions; flexible manufacturing with improvements through efficiencies, enhancements and/or rapid horizontal scale-ups; a simplified production process; elimination of the risk of viral contaminations from mammalian components; and intellectual property advantages.</w:t>
      </w:r>
    </w:p>
    <w:p>
      <w:pPr>
        <w:spacing w:after="0" w:line="15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developed ProCellEx based on our plant cell culture technology for the development, expression and manufacture of recombinant proteins which are the essential foundation of modern biotechnology. We develop new, recombinant therapeutic proteins by using the natural capability of agrobacterium to transfer a DNA fragment into the plant chromosome, allowing the genome of the plant cell to code for specific proteins of interest. The agrobacterium-mediated transformed cells are then able to produce specific proteins, which are extracted and purified and can be used as therapies to treat a variety of diseases.</w:t>
      </w:r>
    </w:p>
    <w:p>
      <w:pPr>
        <w:spacing w:after="0" w:line="14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ProCellEx technology can be utilized to express complex therapeutic proteins belonging to different drug classes, such as enzymes, monoclonal antibodies, hormones, cytokines and vaccines. The entire protein expression process, from initial nucleotide cloning to large-scale production of the protein product, occurs under Current Good Manufacturing Practice-, or cGMP-, compliant, controlled processes. Our plant cell culture technology uses cells, such as carrot and tobacco (BY-2) cells, which undergo advanced genetic engineering and/or chemical modifications, and are grown on an industrial scale in a disposable, flexible bioreactor system. Our system does not involve mammalian or animal-derived components or transgenic field-grown or whole plants at any point in the production process.</w:t>
      </w:r>
    </w:p>
    <w:p>
      <w:pPr>
        <w:spacing w:after="0" w:line="147"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Cell growth, from initiating scale-up steps from a cell-bank through large-scale production takes place in a clean-room environment in flexible, sterile, custom-designed polyethylene bioreactors, and does not require the use of large stainless-steel bioreactors commonly used in mammalian-based systems for recombinant protein production. The ProCellEx reactors are easy to use and maintain, allow for rapid horizontal scale-up and do not involve the risk of mammalian viral contamination. Our bioreactors are well-suited for plant cell growth using a simple, inexpensive, chemically defined growth medium. The reactors, which are custom-designed and optimized for plant cell cultures, require low initial capital investment and are rapidly scalable at a low cost.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Plant Cell Production Advantages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131445</wp:posOffset>
            </wp:positionV>
            <wp:extent cx="6172200" cy="26231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72200" cy="262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ProCellEx</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Protalix’s Differentiated Plant Cell Protein Expression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78105</wp:posOffset>
            </wp:positionV>
            <wp:extent cx="6172200" cy="25888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72200" cy="2588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and Product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131445</wp:posOffset>
            </wp:positionV>
            <wp:extent cx="6172200" cy="1920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72200"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Marketed Products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two commercial products, each of which is an ERT; Elelyso and Elfabrio.</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Elelyso for the Treatment of Gaucher Disease</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Elelyso (taliglucerase alfa), our first commercial product, was approved by the FDA in 2012 for injection as an ERT for the long-term treatment of adult patients with a confirmed diagnosis of type 1 Gaucher disease. In August 2014, the FDA approved Elelyso for injection for pediatric patients. Elelyso is the first plant cell derived recombinant protein to be approved by the FDA for the treatment of Gaucher disease and is now approved in 23 markets including the United States, Brazil, Israel and others.</w:t>
      </w:r>
    </w:p>
    <w:p>
      <w:pPr>
        <w:spacing w:after="0" w:line="15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Gaucher disease, also known as glucocerebrosidase, or GCD, deficiency, is a rare genetic autosomal recessive disorder and one of the most common Lysosomal Storage Disorders, or LSDs, in the world. It is one of a group of disorders that affect specific enzymes that normally break down fatty substances for reuse in the cells. If the enzymes are missing or do not work properly, the substances can build up and become toxic. Gaucher disease occurs when a lipid called glucosylceramide accumulates in the cells of the bone marrow, lungs, spleen, liver, and sometimes the brain. Gaucher disease symptoms can include fatigue, anemia, easy bruising and bleeding, severe bone pain and easily broken bones, and distended stomach due to an enlarged spleen and thrombocytopenia. Epidemiology of Gaucher disease varies; Recent literature provides that prevalence of Gaucher disease ranges from 0.70 to 1.75 per 100,000 in the</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general population. In people of Ashkenazi Jewish heritage, estimates of occurrence vary from approximately 1 in 400 to 1 in 850 people.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global market for Gaucher disease, that includes Sanofi’s Cerezyme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Shire’s Vpriv</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Sanofi’s Cerdelga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among others, was</w:t>
      </w:r>
    </w:p>
    <w:p>
      <w:pPr>
        <w:spacing w:after="0" w:line="258" w:lineRule="auto"/>
        <w:rPr>
          <w:sz w:val="20"/>
          <w:szCs w:val="20"/>
          <w:color w:val="auto"/>
        </w:rPr>
      </w:pPr>
      <w:r>
        <w:rPr>
          <w:rFonts w:ascii="Times New Roman" w:cs="Times New Roman" w:eastAsia="Times New Roman" w:hAnsi="Times New Roman"/>
          <w:sz w:val="18"/>
          <w:szCs w:val="18"/>
          <w:color w:val="auto"/>
        </w:rPr>
        <w:t>$1.6 billion in 2023, is forecasted to be approximately $1.6 billion in 2024 and is forecasted to grow at a CAGR of approximately -0.57% from 2023-2030.</w:t>
      </w:r>
    </w:p>
    <w:p>
      <w:pPr>
        <w:spacing w:after="0" w:line="156" w:lineRule="exact"/>
        <w:rPr>
          <w:sz w:val="20"/>
          <w:szCs w:val="20"/>
          <w:color w:val="auto"/>
        </w:rPr>
      </w:pPr>
    </w:p>
    <w:p>
      <w:pPr>
        <w:ind w:right="240"/>
        <w:spacing w:after="0" w:line="230" w:lineRule="auto"/>
        <w:rPr>
          <w:sz w:val="20"/>
          <w:szCs w:val="20"/>
          <w:color w:val="auto"/>
        </w:rPr>
      </w:pPr>
      <w:r>
        <w:rPr>
          <w:rFonts w:ascii="Times New Roman" w:cs="Times New Roman" w:eastAsia="Times New Roman" w:hAnsi="Times New Roman"/>
          <w:sz w:val="18"/>
          <w:szCs w:val="18"/>
          <w:color w:val="auto"/>
        </w:rPr>
        <w:t>The current standard of care for Gaucher disease is ERT, which is a medical treatment where recombinant enzymes are injected into patients to replace the lacking or dysfunctional enzyme. In Gaucher disease, recombinant GCD is infused to replace the mutated or deficient natural GCD enzyme. Elelyso is the only alternative ERT treatment of Gaucher disease to Sanofi Genzyme’s Cerezyme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Takeda’s (Shire) Vpriv.</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Elfabrio for the Treatment of Fabry Disease</w:t>
      </w:r>
    </w:p>
    <w:p>
      <w:pPr>
        <w:spacing w:after="0" w:line="18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Elfabrio, our second commercial product, was approved by the EC for marketing in the EU and by the FDA for marketing in the United States in May 2023 for adult patients with Fabry disease. Both approvals cover the 1 mg/kg every two weeks dosage. Overall, the FDA review team concluded that in the context of Fabry disease as a rare, serious disease with limited therapeutic options that may not be suitable to all individual patients, the benefit-risk of Elfabrio is favorable for the treatment of adults with confirmed Fabry disease. According to the EMA, overall, the benefit/risk balance of Elfabrio is positive in the claimed indication (Fabry disease). The FDA publicly released the internal review documents for Elfabrio. These documents provide previously unavailable additional information regarding the basis for the FDA’s May 2023 approval decision. In particular, the FDA determined that substantial evidence of effectiveness for Elfabrio in Fabry patients was established with one adequate and well-controlled study, our phase I\II clinical trial of Fabry disease, with confirmatory evidence provided by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The FDA review team also concluded that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met its primary efficacy endpoint, which assessed the annualized rate of change in eGFR (estimated glomerular filtration rate) over 104 weeks. However, the FDA also determined that the results from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did not support a non-inferiority claim to the comparator product due to the lack of data to support the non-inferiority margin.</w:t>
      </w:r>
    </w:p>
    <w:p>
      <w:pPr>
        <w:spacing w:after="0" w:line="16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 August and September of 2023, Elfabrio was approved in Great Britain and Switzerland, respectively, and by the Israeli Ministry of Health in January 2024, for long-term enzyme replacement therapy in adult patients with a confirmed diagnosis of Fabry disease.</w:t>
      </w:r>
    </w:p>
    <w:p>
      <w:pPr>
        <w:spacing w:after="0" w:line="121" w:lineRule="exact"/>
        <w:rPr>
          <w:sz w:val="20"/>
          <w:szCs w:val="20"/>
          <w:color w:val="auto"/>
        </w:rPr>
      </w:pPr>
    </w:p>
    <w:p>
      <w:pPr>
        <w:ind w:right="200"/>
        <w:spacing w:after="0" w:line="244" w:lineRule="auto"/>
        <w:rPr>
          <w:sz w:val="20"/>
          <w:szCs w:val="20"/>
          <w:color w:val="auto"/>
        </w:rPr>
      </w:pPr>
      <w:r>
        <w:rPr>
          <w:rFonts w:ascii="Times New Roman" w:cs="Times New Roman" w:eastAsia="Times New Roman" w:hAnsi="Times New Roman"/>
          <w:sz w:val="18"/>
          <w:szCs w:val="18"/>
          <w:color w:val="auto"/>
        </w:rPr>
        <w:t>Fabry disease is a serious life-threatening rare genetic disorder. Fabry patients lack or have low levels of α-galactosidase-A resulting in the progressive accumulation of abnormal deposits of a fatty substance called globotriaosylceramide, or Gb</w:t>
      </w:r>
      <w:r>
        <w:rPr>
          <w:rFonts w:ascii="Times New Roman" w:cs="Times New Roman" w:eastAsia="Times New Roman" w:hAnsi="Times New Roman"/>
          <w:sz w:val="20"/>
          <w:szCs w:val="20"/>
          <w:color w:val="auto"/>
          <w:vertAlign w:val="subscript"/>
        </w:rPr>
        <w:t>3</w:t>
      </w:r>
      <w:r>
        <w:rPr>
          <w:rFonts w:ascii="Times New Roman" w:cs="Times New Roman" w:eastAsia="Times New Roman" w:hAnsi="Times New Roman"/>
          <w:sz w:val="18"/>
          <w:szCs w:val="18"/>
          <w:color w:val="auto"/>
        </w:rPr>
        <w:t>, in blood vessel walls throughout their body. The ultimate consequences of Gb</w:t>
      </w:r>
      <w:r>
        <w:rPr>
          <w:rFonts w:ascii="Times New Roman" w:cs="Times New Roman" w:eastAsia="Times New Roman" w:hAnsi="Times New Roman"/>
          <w:sz w:val="20"/>
          <w:szCs w:val="20"/>
          <w:color w:val="auto"/>
          <w:vertAlign w:val="subscript"/>
        </w:rPr>
        <w:t>3</w:t>
      </w:r>
      <w:r>
        <w:rPr>
          <w:rFonts w:ascii="Times New Roman" w:cs="Times New Roman" w:eastAsia="Times New Roman" w:hAnsi="Times New Roman"/>
          <w:sz w:val="18"/>
          <w:szCs w:val="18"/>
          <w:color w:val="auto"/>
        </w:rPr>
        <w:t xml:space="preserve"> deposition range from episodes of pain and impaired peripheral sensation to end-organ failure, particularly of the kidneys, but also of the heart and the cerebrovascular system. Fabry disease occurs in one person per 40,000 to 60,000 males.</w:t>
      </w:r>
    </w:p>
    <w:p>
      <w:pPr>
        <w:spacing w:after="0" w:line="157"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The standard of care for Fabry disease is ERT. Currently, the ERTs for Fabry disease are agalsidase alfa, agalsidase beta, and now Elfabrio. Through an ERT, the missing α-galactosidase-A is replaced with a recombinant form of the protein via intravenous, or IV, infusion once every two weeks. Fabry disease, if left untreated, will progress from a less severe condition to a more serious one. It can have a significant impact on quality of life due to presence of serious, chronic and debilitating complications, including cardiovascular and renal complications, and comorbid conditions such as pain can have a significant impact on the psychological well-being of Fabry patients and their social functioning. Fabry disease involves substantial reduction in life expectancy. Causes of death are most often cardiovascular disease and, to a lesser extent, cerebrovascular disease and renal disease. The life expectancy of Fabry patients is significantly shorter compared to the general population. Untreated male Fabry patients may experience shortened lifespans to approximately 50 years, and 70 years for untreated female patients with Fabry disease. This represents a 20- and 10-year reduction of their respective lifespans.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global market for Fabry disease, that includes agalsidase beta, Sanofi’s Fabrazyme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agalsidase alfa, Shire’s (acquired by Takeda</w:t>
      </w:r>
    </w:p>
    <w:p>
      <w:pPr>
        <w:spacing w:after="0" w:line="180" w:lineRule="auto"/>
        <w:rPr>
          <w:sz w:val="20"/>
          <w:szCs w:val="20"/>
          <w:color w:val="auto"/>
        </w:rPr>
      </w:pPr>
      <w:r>
        <w:rPr>
          <w:rFonts w:ascii="Times New Roman" w:cs="Times New Roman" w:eastAsia="Times New Roman" w:hAnsi="Times New Roman"/>
          <w:sz w:val="17"/>
          <w:szCs w:val="17"/>
          <w:color w:val="auto"/>
        </w:rPr>
        <w:t>Pharmaceutical Company Limited) Replagal</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and Amicus Therapeutics’ Galafold</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among others, is forecasted to be approximately</w:t>
      </w:r>
    </w:p>
    <w:p>
      <w:pPr>
        <w:spacing w:after="0"/>
        <w:rPr>
          <w:sz w:val="20"/>
          <w:szCs w:val="20"/>
          <w:color w:val="auto"/>
        </w:rPr>
      </w:pPr>
      <w:r>
        <w:rPr>
          <w:rFonts w:ascii="Times New Roman" w:cs="Times New Roman" w:eastAsia="Times New Roman" w:hAnsi="Times New Roman"/>
          <w:sz w:val="18"/>
          <w:szCs w:val="18"/>
          <w:color w:val="auto"/>
        </w:rPr>
        <w:t>$2.1 billion in 2024 and is forecasted to grow at a CAGR of 7.3% from 2023-2030 reaching approximately $3.2 billion in annual sales in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Elfabrio Regulatory Background</w:t>
      </w:r>
    </w:p>
    <w:p>
      <w:pPr>
        <w:spacing w:after="0" w:line="18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On November 9, 2022, we, together with Chiesi, resubmitted to the FDA a BLA for PRX-102, the name we assigned to Elfabrio internally prior to its approvals, for the potential treatment of adult patients with Fabry disease. The initial BLA for PRX-102 was submitted to the FDA on May 27, 2020 under the FDA’s Accelerated Approval pathway, and the submission was subsequently accepted by the FDA and granted Priority Review designation. However, in April 2021, the FDA issued a complete response letter, or CRL, in response to the initial BLA. In preparation for the BLA resubmission, we and Chiesi participated in a Type A (End of</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Review) meeting with the FDA on September 9, 2021. As part of the meeting minutes provided by the FDA, which included the preliminary comments and meeting discussion, the FDA, in principle, agreed that the data package proposed to the FDA for a BLA resubmission had the potential to support a traditional approval of PRX-102 for the treatment of Fabry disease. The data package in the BLA resubmission, given the change in the regulatory landscape in the United States, included the final two-year analyses of</w:t>
      </w:r>
    </w:p>
    <w:p>
      <w:pPr>
        <w:spacing w:after="0" w:line="3"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which were completed in July 2022, and long-term data from our open-label extension study of PRX-102 in adult patients treated with a 2 mg/kg every four weeks dosage of PRX-102. The initial BLA included a comprehensive set of preclinical, clinical and manufacturing data compiled from our completed phase I/II clinical trial of PRX-102, including the related extension study, interim clinical data from our phase III BRIDGE clinical trial of PRX-102 for the treatment of Fabry disease, or the </w:t>
      </w:r>
      <w:r>
        <w:rPr>
          <w:rFonts w:ascii="Times New Roman" w:cs="Times New Roman" w:eastAsia="Times New Roman" w:hAnsi="Times New Roman"/>
          <w:sz w:val="18"/>
          <w:szCs w:val="18"/>
          <w:i w:val="1"/>
          <w:iCs w:val="1"/>
          <w:color w:val="auto"/>
        </w:rPr>
        <w:t>BRIDGE</w:t>
      </w:r>
      <w:r>
        <w:rPr>
          <w:rFonts w:ascii="Times New Roman" w:cs="Times New Roman" w:eastAsia="Times New Roman" w:hAnsi="Times New Roman"/>
          <w:sz w:val="18"/>
          <w:szCs w:val="18"/>
          <w:color w:val="auto"/>
        </w:rPr>
        <w:t xml:space="preserve"> study, and safety data from our then on-going clinical studies of PRX-102 in adult patients receiving 1 mg/kg every two weeks.</w:t>
      </w:r>
    </w:p>
    <w:p>
      <w:pPr>
        <w:spacing w:after="0" w:line="14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No concerns relating to the potential safety or efficacy of PRX-102 in the submitted data package were raised in the CRL. The FDA noted in CRL that the FDA noted that an inspection of our manufacturing facility in Carmiel, Israel, including the FDA’s subsequent assessment of any related FDA findings, is required before the FDA can approve a new drug. Due to travel restrictions during the COVID-19 pandemic, the FDA was unable to conduct the required pre-approval inspection during the review cycle. In addition to the foregoing, the FDA noted that agalsidase beta had recently been converted to full approval, a change in regulatory circumstances which had to be addressed in the resubmitted BLA for PRX-102.</w:t>
      </w:r>
    </w:p>
    <w:p>
      <w:pPr>
        <w:spacing w:after="0" w:line="16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On February 7, 2022, the PRX-102 MAA was submitted to, and subsequently validated by, the EMA. The submission was made after the October 8, 2021 meeting we held, together with Chiesi, with the Rapporteur and Co-Rapporteur of the EMA regarding PRX-102. At the meeting, we and Chiesi discussed the scope of the anticipated MAA submission for the European Union, and the Rapporteur and Co-Rapporteur were generally supportive of the planned MAA submission. The MAA submission included a comprehensive set of preclinical, clinical and manufacturing data compiled from our completed and ongoing clinical studies evaluating PRX-102 as a potential alternative treatment for adult patients with Fabry disease. The submission was supported by the 12-month interim data analysis generated from our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which was released in June 2021. Data generated from the completed </w:t>
      </w:r>
      <w:r>
        <w:rPr>
          <w:rFonts w:ascii="Times New Roman" w:cs="Times New Roman" w:eastAsia="Times New Roman" w:hAnsi="Times New Roman"/>
          <w:sz w:val="18"/>
          <w:szCs w:val="18"/>
          <w:i w:val="1"/>
          <w:iCs w:val="1"/>
          <w:color w:val="auto"/>
        </w:rPr>
        <w:t>BRIDGE</w:t>
      </w:r>
      <w:r>
        <w:rPr>
          <w:rFonts w:ascii="Times New Roman" w:cs="Times New Roman" w:eastAsia="Times New Roman" w:hAnsi="Times New Roman"/>
          <w:sz w:val="18"/>
          <w:szCs w:val="18"/>
          <w:color w:val="auto"/>
        </w:rPr>
        <w:t xml:space="preserve"> study, the phase I/II clinical trial in naive or untreated patients, and from the extension studies with 1 mg/kg every two weeks were also included in the submission. In addition, the MAA included data from the completed 12-month switch–over phase III BRIGHT clinical trial of PRX-102 for the treatment of Fabry disease for adult patients with Fabry disease treated with the 2 mg/kg every four weeks dosage, or the </w:t>
      </w:r>
      <w:r>
        <w:rPr>
          <w:rFonts w:ascii="Times New Roman" w:cs="Times New Roman" w:eastAsia="Times New Roman" w:hAnsi="Times New Roman"/>
          <w:sz w:val="18"/>
          <w:szCs w:val="18"/>
          <w:i w:val="1"/>
          <w:iCs w:val="1"/>
          <w:color w:val="auto"/>
        </w:rPr>
        <w:t>BRIGHT</w:t>
      </w:r>
      <w:r>
        <w:rPr>
          <w:rFonts w:ascii="Times New Roman" w:cs="Times New Roman" w:eastAsia="Times New Roman" w:hAnsi="Times New Roman"/>
          <w:sz w:val="18"/>
          <w:szCs w:val="18"/>
          <w:color w:val="auto"/>
        </w:rPr>
        <w:t xml:space="preserve"> study. As part of the EMA review process, we and Chiesi received the Day 120 list of questions in June 2022, and the full response package thereto was submitted to the EMA in September 2022 (following a 3-month clock-stop period). An essential portion of the response included the submission of the final analysis of the two-year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(the final Clinical Study Report), and an interim analysis of the long-term, open-label extension study of PRX-102 in adult patients with Fabry disease treated with the 2 mg/kg every four weeks dosage.</w:t>
      </w:r>
    </w:p>
    <w:p>
      <w:pPr>
        <w:spacing w:after="0" w:line="155"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On February 24, 2023, we, together with Chiesi, announced that the CHMP had adopted a positive opinion, recommending marketing authorization for PRX-102. The CHMP opinion was then referred for final action to the EC. As disclosed above, Elfabrio was subsequently approved by the EC for marketing in the EU and in the United States in May 2023 for adult patients with Fabry disease. Both approvals cover the 1 mg/kg every two weeks dosage.</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Elfabrio Key Trials and Design</w:t>
      </w:r>
    </w:p>
    <w:p>
      <w:pPr>
        <w:spacing w:after="0" w:line="20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PRX-102 clinical development program was designed to show that PRX-102 has a potential clinical benefit in all adult Fabry patient populations when compared to the then marketed Fabry disease enzymes, agalsidase beta and agalsidase alfa. In preclinical studies, PRX-102 showed significantly longer half-life due to higher enzyme stability, enhanced activity in Fabry disease affected organs leading to reduction of the accumulated substrate and reduced immunogenicity, which together can potentially lead to improved efficacy through increased substrate clearance and significantly lower formation of anti-drug antibodies, or ADAs.</w:t>
      </w:r>
    </w:p>
    <w:p>
      <w:pPr>
        <w:spacing w:after="0" w:line="14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The phase III clinical program included three individual studies;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the </w:t>
      </w:r>
      <w:r>
        <w:rPr>
          <w:rFonts w:ascii="Times New Roman" w:cs="Times New Roman" w:eastAsia="Times New Roman" w:hAnsi="Times New Roman"/>
          <w:sz w:val="18"/>
          <w:szCs w:val="18"/>
          <w:i w:val="1"/>
          <w:iCs w:val="1"/>
          <w:color w:val="auto"/>
        </w:rPr>
        <w:t>BRIDGE</w:t>
      </w:r>
      <w:r>
        <w:rPr>
          <w:rFonts w:ascii="Times New Roman" w:cs="Times New Roman" w:eastAsia="Times New Roman" w:hAnsi="Times New Roman"/>
          <w:sz w:val="18"/>
          <w:szCs w:val="18"/>
          <w:color w:val="auto"/>
        </w:rPr>
        <w:t xml:space="preserve"> study the </w:t>
      </w:r>
      <w:r>
        <w:rPr>
          <w:rFonts w:ascii="Times New Roman" w:cs="Times New Roman" w:eastAsia="Times New Roman" w:hAnsi="Times New Roman"/>
          <w:sz w:val="18"/>
          <w:szCs w:val="18"/>
          <w:i w:val="1"/>
          <w:iCs w:val="1"/>
          <w:color w:val="auto"/>
        </w:rPr>
        <w:t>BRIGHT</w:t>
      </w:r>
      <w:r>
        <w:rPr>
          <w:rFonts w:ascii="Times New Roman" w:cs="Times New Roman" w:eastAsia="Times New Roman" w:hAnsi="Times New Roman"/>
          <w:sz w:val="18"/>
          <w:szCs w:val="18"/>
          <w:color w:val="auto"/>
        </w:rPr>
        <w:t xml:space="preserve"> study, all of which have been completed. In the phase III clinical program overall, two potential dosing regimens for PRX-102 were analyzed; 1 mg/kg every two weeks, with the potential for improved efficacy and safety offering a potential alternative to existing enzyme replacement therapies, and 2 mg/kg every four weeks. The phase III program was preceded by the phase I/II clinical trial, a dose range finding study in ERT-naïve adult patients with Fabry disease, which was completed in 2016.</w:t>
      </w:r>
    </w:p>
    <w:p>
      <w:pPr>
        <w:spacing w:after="0" w:line="14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Phase III BALANCE Study</w:t>
      </w:r>
    </w:p>
    <w:p>
      <w:pPr>
        <w:spacing w:after="0" w:line="200"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(PB-102-F20, NCT02795676) was a pivotal 24-month, randomized, double blind, active control study of PRX-102 in adult Fabry patients with deteriorating renal function designed to evaluate the safety and efficacy of 1 mg/kg of PRX-102 administered every two weeks compared to agalsidase beta. The Clinical Study Report for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was completed in July 2022. The final analysis confirmed the positive top-line results (announced in April 2022) and favorable tolerability profile. A total of</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78 patients who were previously treated with agalsidase beta for at least one year with an eGFR slope at screening worse than</w:t>
      </w:r>
    </w:p>
    <w:p>
      <w:pPr>
        <w:spacing w:after="0" w:line="15" w:lineRule="exact"/>
        <w:rPr>
          <w:sz w:val="20"/>
          <w:szCs w:val="20"/>
          <w:color w:val="auto"/>
        </w:rPr>
      </w:pPr>
    </w:p>
    <w:p>
      <w:pPr>
        <w:jc w:val="both"/>
        <w:ind w:right="160"/>
        <w:spacing w:after="0" w:line="222" w:lineRule="auto"/>
        <w:rPr>
          <w:sz w:val="20"/>
          <w:szCs w:val="20"/>
          <w:color w:val="auto"/>
        </w:rPr>
      </w:pPr>
      <w:r>
        <w:rPr>
          <w:rFonts w:ascii="Times New Roman" w:cs="Times New Roman" w:eastAsia="Times New Roman" w:hAnsi="Times New Roman"/>
          <w:sz w:val="18"/>
          <w:szCs w:val="18"/>
          <w:color w:val="auto"/>
        </w:rPr>
        <w:t>-2 mL/min/1.73 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/year were enrolled in the study. Patients were randomized on a 2:1 ratio for switching to PRX-102 or continuing on agalsidase beta. A total of 77 patients were treated; 52 with PRX-102 and 25 with agalsidase beta. Approximately 40% of the enrolled patients were female.</w:t>
      </w:r>
    </w:p>
    <w:p>
      <w:pPr>
        <w:spacing w:after="0" w:line="158"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Forty-seven (90.4%) patients in the PRX-102 arm experienced at least one treatment-emergent adverse event (TEAE) compared to 24 (96.0%) in the agalsidase beta arm. The number of events adjusted to 100 years of exposure is 572.36 events for the PRX-102 arm and 816.85 events for the agalsidase beta arm.</w:t>
      </w:r>
    </w:p>
    <w:p>
      <w:pPr>
        <w:spacing w:after="0" w:line="14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TEAEs were reported for 21 (40.4%) patients in the PRX-102 arm compared to 11 (44.0%) in the agalsidase beta arm. The number of treatment-related events adjusted to 100 years of exposure is 42.85 events for the PRX-102 arm and 152.91 events for the agalsidase beta arm.</w:t>
      </w:r>
    </w:p>
    <w:p>
      <w:pPr>
        <w:spacing w:after="0" w:line="13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Usage of infusion pre-medication was tapered down during the study, if possible, for all patients. At baseline, 21 (40.4%) patients in the PRX-102 arm used infusion premedication compared to 16 (64.0%) in the agalsidase beta arm. At the end of the study, only three out of 47 (6.4%) patients in the PRX-102 arm used infusion premedication compared to three out of 24 (12.5%) in the agalsidase beta arm. Even with this reduction in use of premedication, there were fewer reported infusion-related reactions with PRX-102:</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(21.2%) patients in the PRX-102 arm experienced a total of 13 events compared to six (24.0%) patients experiencing a total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 events in the agalsidase beta arm. The number of infusion-related reactions adjusted to 100 infusions is 0.5 for the PRX-102 arm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3.9 for agalsidase beta arm.</w:t>
      </w:r>
    </w:p>
    <w:p>
      <w:pPr>
        <w:spacing w:after="0" w:line="16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Assessment of immunogenicity, that is, the existence and development of anti PRX-102 antibodies or anti-agalsidase beta antibodies, in the study indicated that for the PRX-102 arm, 18 (34.6%) patients were ADA positive at baseline, of which 17 (94.4%) had neutralizing antibody activity. For the agalsidase beta arm, eight (32.0%) patients were ADA positive at baseline, of which seven (87.5%) had neutralizing antibody activity. Only a small number of patients showed treatment-emergent ADA. At the end of the two-year study, 11 (23.4%) patients that received PRX-102 were ADA positive, of which seven (63.6%) had neutralizing antibody activity, while in the agalsidase beta arm six (26.1%) were ADA-positive and all six (100%) had neutralizing antibody activity. There was little change in the percentage of patients who were ADA positive, with a trend of reduction observed in the PRX-102 arm and stability in the agalsidase beta arm. The proportion of patients with neutralizing ADA decreased in the PRX-102 arm while it remained stable in the agalsidase beta arm.</w:t>
      </w:r>
    </w:p>
    <w:p>
      <w:pPr>
        <w:spacing w:after="0" w:line="16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Out of the 78 randomized patients, six patients discontinued the study: out of the five (9.4%) from the PRX-102 arm, one patient withdrew consent prior to the first infusion, two discontinued due to personal reasons, and two due to adverse events (one due to an unrelated adverse event and one due to a treatment related adverse event); one (4%) patient from the agalsidase beta arm discontinued for personal reasons. There were no deaths in this study.</w:t>
      </w:r>
    </w:p>
    <w:p>
      <w:pPr>
        <w:spacing w:after="0" w:line="13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Considering that in the trial patients in the PRX-102 arm were exposed for the first time to the novel enzyme, tolerability data appear favorable for PRX-102 and in-line with what was observed in the previous clinical studies of PRX-102.</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Of the patients that completed the trial from both the PRX-102 and agalsidase beta treatment arms, 69 opted, with the advice of the treating physician, to receive PRX-102 1 mg/kg every two weeks in the long-term open-label extension study which is now sponsored by Chiesi.</w:t>
      </w:r>
    </w:p>
    <w:p>
      <w:pPr>
        <w:spacing w:after="0" w:line="14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results of the direct, blinded comparison of PRX-102 to agalsidase beta, for the primary efficacy renal endpoints (i.e., eGFR change, eGFR slope) and for the main secondary endpoints (e.g., urine protein to creatinine ratio [UPCR] LVMI, MSSI, BPI) strongly suggest comparability in treatment effects between the two treatments.</w:t>
      </w:r>
    </w:p>
    <w:p>
      <w:pPr>
        <w:spacing w:after="0" w:line="135"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At the same time a potentially favorable safety profile was identified based on lower rates of IRR, lower ADA positivity, and less premedication use in the PRX-102 arm compared to agalsidase beta. Overall, a positive benefit-risk balance was confirmed.</w:t>
      </w:r>
    </w:p>
    <w:p>
      <w:pPr>
        <w:spacing w:after="0" w:line="1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Phase III BRIDGE Study</w:t>
      </w:r>
    </w:p>
    <w:p>
      <w:pPr>
        <w:spacing w:after="0" w:line="20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BRIDGE</w:t>
      </w:r>
      <w:r>
        <w:rPr>
          <w:rFonts w:ascii="Times New Roman" w:cs="Times New Roman" w:eastAsia="Times New Roman" w:hAnsi="Times New Roman"/>
          <w:sz w:val="18"/>
          <w:szCs w:val="18"/>
          <w:color w:val="auto"/>
        </w:rPr>
        <w:t xml:space="preserve"> study (PB-102-F30, NCT03018730) was a 12-month open-label, single arm switch-over study evaluating the safety and efficacy of PRX-102, 1 mg/kg infused every two weeks, in up to 22 Fabry patients previously treated with agalsidase alfa for at least two years and on a stable dose for at least six months. In the study, patients were screened and evaluated over three months while continuing agalsidase alfa treatment. The study was completed in December 2019.</w:t>
      </w:r>
    </w:p>
    <w:p>
      <w:pPr>
        <w:spacing w:after="0" w:line="139"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17"/>
          <w:szCs w:val="17"/>
          <w:color w:val="auto"/>
        </w:rPr>
        <w:t xml:space="preserve">Final results of the data generated in the </w:t>
      </w:r>
      <w:r>
        <w:rPr>
          <w:rFonts w:ascii="Times New Roman" w:cs="Times New Roman" w:eastAsia="Times New Roman" w:hAnsi="Times New Roman"/>
          <w:sz w:val="17"/>
          <w:szCs w:val="17"/>
          <w:i w:val="1"/>
          <w:iCs w:val="1"/>
          <w:color w:val="auto"/>
        </w:rPr>
        <w:t>BRIDGE</w:t>
      </w:r>
      <w:r>
        <w:rPr>
          <w:rFonts w:ascii="Times New Roman" w:cs="Times New Roman" w:eastAsia="Times New Roman" w:hAnsi="Times New Roman"/>
          <w:sz w:val="17"/>
          <w:szCs w:val="17"/>
          <w:color w:val="auto"/>
        </w:rPr>
        <w:t xml:space="preserve"> study showed substantial improvement in renal function as measured by mean annualized eGFR slope in both male and female patients. Twenty of 22 patients completed the 12-month treatment duration. Eighteen</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patients who completed the study opted to roll over to a long-term extension study and continue to be treated with PRX-102. In the</w:t>
      </w:r>
    </w:p>
    <w:p>
      <w:pPr>
        <w:spacing w:after="0" w:line="196" w:lineRule="auto"/>
        <w:rPr>
          <w:sz w:val="20"/>
          <w:szCs w:val="20"/>
          <w:color w:val="auto"/>
        </w:rPr>
      </w:pPr>
      <w:r>
        <w:rPr>
          <w:rFonts w:ascii="Times New Roman" w:cs="Times New Roman" w:eastAsia="Times New Roman" w:hAnsi="Times New Roman"/>
          <w:sz w:val="18"/>
          <w:szCs w:val="18"/>
          <w:color w:val="auto"/>
        </w:rPr>
        <w:t>study, the mean annualized eGFR slope of the study participants improved from -5.90 mL/min/1.73m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/year while on agalsidase alfa to</w:t>
      </w:r>
    </w:p>
    <w:p>
      <w:pPr>
        <w:spacing w:after="0" w:line="181" w:lineRule="auto"/>
        <w:rPr>
          <w:sz w:val="20"/>
          <w:szCs w:val="20"/>
          <w:color w:val="auto"/>
        </w:rPr>
      </w:pPr>
      <w:r>
        <w:rPr>
          <w:rFonts w:ascii="Times New Roman" w:cs="Times New Roman" w:eastAsia="Times New Roman" w:hAnsi="Times New Roman"/>
          <w:sz w:val="17"/>
          <w:szCs w:val="17"/>
          <w:color w:val="auto"/>
        </w:rPr>
        <w:t>-1.19 mL/min/1.73m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/year on PRX-102 in all patients. Male patients improved from -6.36 mL/min/1.73m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/year to</w:t>
      </w:r>
    </w:p>
    <w:p>
      <w:pPr>
        <w:spacing w:after="0" w:line="180" w:lineRule="auto"/>
        <w:rPr>
          <w:sz w:val="20"/>
          <w:szCs w:val="20"/>
          <w:color w:val="auto"/>
        </w:rPr>
      </w:pPr>
      <w:r>
        <w:rPr>
          <w:rFonts w:ascii="Times New Roman" w:cs="Times New Roman" w:eastAsia="Times New Roman" w:hAnsi="Times New Roman"/>
          <w:sz w:val="17"/>
          <w:szCs w:val="17"/>
          <w:color w:val="auto"/>
        </w:rPr>
        <w:t>-1.73mL/min/1.73m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/year and female patients improved from -5.03 mL/min/1.73m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/year to -0.21 mL/min/1.73m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/year. Following the</w:t>
      </w:r>
    </w:p>
    <w:p>
      <w:pPr>
        <w:spacing w:after="0"/>
        <w:rPr>
          <w:sz w:val="20"/>
          <w:szCs w:val="20"/>
          <w:color w:val="auto"/>
        </w:rPr>
      </w:pPr>
      <w:r>
        <w:rPr>
          <w:rFonts w:ascii="Times New Roman" w:cs="Times New Roman" w:eastAsia="Times New Roman" w:hAnsi="Times New Roman"/>
          <w:sz w:val="18"/>
          <w:szCs w:val="18"/>
          <w:color w:val="auto"/>
        </w:rPr>
        <w:t>switch to PRX-102, there was a decrease in patients with progressing or fast progressing kidney disease which is consistent with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therapeutic goals for Fabry disease, as identified by Christoph Wanner, et. al., in 2019, and most patients achieved a stable status post-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switch.</w:t>
      </w:r>
    </w:p>
    <w:p>
      <w:pPr>
        <w:spacing w:after="0" w:line="16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PRX-102 was well-tolerated in the </w:t>
      </w:r>
      <w:r>
        <w:rPr>
          <w:rFonts w:ascii="Times New Roman" w:cs="Times New Roman" w:eastAsia="Times New Roman" w:hAnsi="Times New Roman"/>
          <w:sz w:val="18"/>
          <w:szCs w:val="18"/>
          <w:i w:val="1"/>
          <w:iCs w:val="1"/>
          <w:color w:val="auto"/>
        </w:rPr>
        <w:t>BRIDGE</w:t>
      </w:r>
      <w:r>
        <w:rPr>
          <w:rFonts w:ascii="Times New Roman" w:cs="Times New Roman" w:eastAsia="Times New Roman" w:hAnsi="Times New Roman"/>
          <w:sz w:val="18"/>
          <w:szCs w:val="18"/>
          <w:color w:val="auto"/>
        </w:rPr>
        <w:t xml:space="preserve"> study, with all adverse events being transient in nature without sequelae. Of the 22 patients enrolled in the </w:t>
      </w:r>
      <w:r>
        <w:rPr>
          <w:rFonts w:ascii="Times New Roman" w:cs="Times New Roman" w:eastAsia="Times New Roman" w:hAnsi="Times New Roman"/>
          <w:sz w:val="18"/>
          <w:szCs w:val="18"/>
          <w:i w:val="1"/>
          <w:iCs w:val="1"/>
          <w:color w:val="auto"/>
        </w:rPr>
        <w:t>BRIDGE</w:t>
      </w:r>
      <w:r>
        <w:rPr>
          <w:rFonts w:ascii="Times New Roman" w:cs="Times New Roman" w:eastAsia="Times New Roman" w:hAnsi="Times New Roman"/>
          <w:sz w:val="18"/>
          <w:szCs w:val="18"/>
          <w:color w:val="auto"/>
        </w:rPr>
        <w:t xml:space="preserve"> study, the majority of TEAEs were mild or moderate in severity, with two patients (9.1%) withdrawing from the therapy due to hypersensitivity reaction that was resolved. The most common moderate TEAEs were nasopharyngitis, headache and dyspnea. An immunogenicity assessment indicated that four out of 20 patients (20%) developed persistent ADAs over the course of the study, of which two had neutralizing activity.</w:t>
      </w:r>
    </w:p>
    <w:p>
      <w:pPr>
        <w:spacing w:after="0" w:line="15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Of the patients that completed the trial, 18 opted, with the advice of the treating physician, to continue receiving PRX-102 1 mg/kg every two weeks in a long-term open-label extension study which is now sponsored by Chiesi.</w:t>
      </w:r>
    </w:p>
    <w:p>
      <w:pPr>
        <w:spacing w:after="0" w:line="1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Phase III BRIGHT Study</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BRIGHT</w:t>
      </w:r>
      <w:r>
        <w:rPr>
          <w:rFonts w:ascii="Times New Roman" w:cs="Times New Roman" w:eastAsia="Times New Roman" w:hAnsi="Times New Roman"/>
          <w:sz w:val="18"/>
          <w:szCs w:val="18"/>
          <w:color w:val="auto"/>
        </w:rPr>
        <w:t xml:space="preserve"> study (PB-102-F50, NCT03180840) was a multicenter, multinational open-label, switch-over study designed to evaluate the safety, efficacy and pharmacokinetics of treatment with 2 mg/kg of PRX-102 administered every four weeks for 52 weeks (a total of 14 infusions). The study was completed in June 2020. The 2 mg/kg every four weeks dosage has not been approved by the EMA, FDA or any other jurisdiction.</w:t>
      </w:r>
    </w:p>
    <w:p>
      <w:pPr>
        <w:spacing w:after="0" w:line="155"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Enrollment in the study included 30 adult patients (24 males and 6 females) with mean (SD) age of 40.5 (11.3) years, ranging from 19 to 58 years previously treated with a commercially available ERT (agalsidase beta or agalsidase alfa), for at least three years and on a stable dose administered every two weeks. To determine eligibility for participation in the study, candidates were screened to identify and select Fabry patients with clinically stable kidney disease. The most common Fabry disease symptoms at baseline were acroparesthesia, heat intolerance, angiokeratomas and hypohydrosis. Patients who matched the criteria were enrolled in the study and switched from their current treatment of IV infusions every two weeks to 2 mg/kg of PRX-102 every four weeks for 12 months. Patients participating in the study were evaluated, among other disease parameters, to determine if their kidney disease had not further deteriorated while being treated with the four-week dosing regimen as measured by eGFR and for lyso-Gb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levels as a Fabry biomarker, as well as other parameters. In addition, participating patients were evaluated to assess the safety and tolerability of PRX-102.</w:t>
      </w:r>
    </w:p>
    <w:p>
      <w:pPr>
        <w:spacing w:after="0" w:line="152"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18"/>
          <w:szCs w:val="18"/>
          <w:color w:val="auto"/>
        </w:rPr>
        <w:t xml:space="preserve">The final results from the </w:t>
      </w:r>
      <w:r>
        <w:rPr>
          <w:rFonts w:ascii="Times New Roman" w:cs="Times New Roman" w:eastAsia="Times New Roman" w:hAnsi="Times New Roman"/>
          <w:sz w:val="18"/>
          <w:szCs w:val="18"/>
          <w:i w:val="1"/>
          <w:iCs w:val="1"/>
          <w:color w:val="auto"/>
        </w:rPr>
        <w:t>BRIGHT</w:t>
      </w:r>
      <w:r>
        <w:rPr>
          <w:rFonts w:ascii="Times New Roman" w:cs="Times New Roman" w:eastAsia="Times New Roman" w:hAnsi="Times New Roman"/>
          <w:sz w:val="18"/>
          <w:szCs w:val="18"/>
          <w:color w:val="auto"/>
        </w:rPr>
        <w:t xml:space="preserve"> study indicate that 2 mg/kg of PRX-102 administered by intravenous infusion every four weeks was well tolerated, and Fabry disease assessed by eGFR slope and plasma lyso-Gb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was stable throughout PRX-102 treatment in adult Fabry patients. None of the patients without ADAs at screening developed treatment-induced ADAs following the switch to PRX-102 treatment.</w:t>
      </w:r>
    </w:p>
    <w:p>
      <w:pPr>
        <w:spacing w:after="0" w:line="15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All 30 patients received at least one dose of PRX-102, and 29 patients completed the one-year study. Of these 29 patients, 28 received the intended regimen of 2 mg/kg every four weeks throughout the entire study, while one patient was switched to 1 mg/kg PRX-102 every two weeks per protocol at the 11th infusion. One patient withdrew from the study after the first infusion due to a traffic accident.</w:t>
      </w:r>
    </w:p>
    <w:p>
      <w:pPr>
        <w:spacing w:after="0" w:line="14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First infusions of PRX-102 were administered under controlled conditions at the investigation site. Based on the protocol-specified criteria, patients were able to receive their PRX-102 infusions at a home care setup once the applicable Investigator and Sponsor Medical Monitor agreed that it was safe to do so. Safety and efficacy exploratory endpoints were assessed throughout the 52-week study.</w:t>
      </w:r>
    </w:p>
    <w:p>
      <w:pPr>
        <w:spacing w:after="0" w:line="13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Overall, 33 of 183 total TEAEs reported in nine (30.0%) of the patients were considered treatment related; all were mild or moderate in severity and the majority were resolved at the end of the study. There were no serious or severe treatment-related TEAEs and no TEAEs led to death or study withdrawal. Of the treatment-related TEAEs, 27 were infusion-related reactions (IRRs) and the remainder were single events of diarrhea, erythema, fatigue, influenza-like illness, increases urine protein/creatinine ratio, and urine positive for white blood cells. The 27 IRRs were reported in five (16.7%) patients, all male. All IRRs occurred during the infusion or within two hours post-infusion; no events were recorded between two and 24 hours post-infusion.</w:t>
      </w:r>
    </w:p>
    <w:p>
      <w:pPr>
        <w:spacing w:after="0" w:line="53" w:lineRule="exact"/>
        <w:rPr>
          <w:sz w:val="20"/>
          <w:szCs w:val="20"/>
          <w:color w:val="auto"/>
        </w:rPr>
      </w:pPr>
    </w:p>
    <w:p>
      <w:pPr>
        <w:ind w:right="500"/>
        <w:spacing w:after="0" w:line="277" w:lineRule="auto"/>
        <w:rPr>
          <w:sz w:val="20"/>
          <w:szCs w:val="20"/>
          <w:color w:val="auto"/>
        </w:rPr>
      </w:pPr>
      <w:r>
        <w:rPr>
          <w:rFonts w:ascii="Times New Roman" w:cs="Times New Roman" w:eastAsia="Times New Roman" w:hAnsi="Times New Roman"/>
          <w:sz w:val="17"/>
          <w:szCs w:val="17"/>
          <w:color w:val="auto"/>
        </w:rPr>
        <w:t>Study outcome measures show that plasma lyso-Gb</w:t>
      </w:r>
      <w:r>
        <w:rPr>
          <w:rFonts w:ascii="Times New Roman" w:cs="Times New Roman" w:eastAsia="Times New Roman" w:hAnsi="Times New Roman"/>
          <w:sz w:val="25"/>
          <w:szCs w:val="25"/>
          <w:color w:val="auto"/>
          <w:vertAlign w:val="subscript"/>
        </w:rPr>
        <w:t>3</w:t>
      </w:r>
      <w:r>
        <w:rPr>
          <w:rFonts w:ascii="Times New Roman" w:cs="Times New Roman" w:eastAsia="Times New Roman" w:hAnsi="Times New Roman"/>
          <w:sz w:val="17"/>
          <w:szCs w:val="17"/>
          <w:color w:val="auto"/>
        </w:rPr>
        <w:t xml:space="preserve"> concentrations remained stable during the study with a mean change (±SE) of 3.01 nM (0.94) from baseline (19.36 nM ±3.35) to Week 52 (22.23 ±3.60 nM). Mean absolute eGFR values were stable during the</w:t>
      </w: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120"/>
        <w:spacing w:after="0" w:line="229" w:lineRule="auto"/>
        <w:rPr>
          <w:sz w:val="20"/>
          <w:szCs w:val="20"/>
          <w:color w:val="auto"/>
        </w:rPr>
      </w:pPr>
      <w:r>
        <w:rPr>
          <w:rFonts w:ascii="Times New Roman" w:cs="Times New Roman" w:eastAsia="Times New Roman" w:hAnsi="Times New Roman"/>
          <w:sz w:val="18"/>
          <w:szCs w:val="18"/>
          <w:color w:val="auto"/>
        </w:rPr>
        <w:t>52-week treatment period, with a mean change from baseline of -1.27 mL/min/1.73 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(1.39). Mean (SE) eGFR slope, at the end of the study, for the overall population, was -2.92 (1.05) mL/min/1.73 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/year indicating stability.</w:t>
      </w:r>
    </w:p>
    <w:p>
      <w:pPr>
        <w:spacing w:after="0" w:line="45"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study suggests that Fabry patients who are currently receiving ERT every two weeks may be successfully transitioned to PRX-102 2 mg/kg every four weeks as an effective and tolerable alternative treatment option. Additional long term data is being collected as part of the ongoing long term extension study (PB-102-F51, NCT03614234) of the 2 mg/kg PRX-102 every four weeks dose.</w:t>
      </w:r>
    </w:p>
    <w:p>
      <w:pPr>
        <w:spacing w:after="0" w:line="14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Following a survey of participants using the Quality of Life EQ-5D-5L questionnaire, responses indicate that patient perception of their own health remained high and stable throughout the 52-week study duration, with overall health mean (SE) scores of 78.3 (3.1) and 82.1 (2.9) at baseline and Week 52, respectively, in a 0 to 100 scale. Using the short-form Brief Pain Inventory, or, questionnaire, approximately 75% of study participants had an improvement or no change in average pain severity at Week 52 (compared to baseline). The short-form BPI interference items also remained stable during the study. Pain-related results indicate that there was no increase and/or relapse in pain. No Fabry clinical events were reported during the study.</w:t>
      </w:r>
    </w:p>
    <w:p>
      <w:pPr>
        <w:spacing w:after="0" w:line="14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Of the patients that completed the trial, 29 opted, with the advice of the treating physician, to continue receiving PRX-102 2 mg/kg every four weeks in a long-term open-label extension study which is now sponsored by Chiesi. Two of such patients are being treated with 1 mg/kg every two weeks dosage.</w:t>
      </w:r>
    </w:p>
    <w:p>
      <w:pPr>
        <w:spacing w:after="0" w:line="1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Phase I/II Study</w:t>
      </w:r>
    </w:p>
    <w:p>
      <w:pPr>
        <w:spacing w:after="0" w:line="202"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The phase I/II clinical trial of PRX-102 (NCT01678898) was a worldwide, multi-center, open-label, dose ranging study designed to evaluate the safety, tolerability, pharmacokinetics, immunogenicity and efficacy parameters of PRX-102 in adult patients with Fabry disease. It was completed in 2015.</w:t>
      </w:r>
    </w:p>
    <w:p>
      <w:pPr>
        <w:spacing w:after="0" w:line="13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initiated the phase I\II study after PRX-102, in preclinical studies, showed significantly longer half-life due to higher enzyme stability, enhanced activity in Fabry disease affected organs leading to reduction of the accumulated substrate and reduced immunogenicity, which together can potentially lead to improved efficacy through increased substrate clearance and significantly lower formation of ADAs.</w:t>
      </w:r>
    </w:p>
    <w:p>
      <w:pPr>
        <w:spacing w:after="0" w:line="139" w:lineRule="exact"/>
        <w:rPr>
          <w:sz w:val="20"/>
          <w:szCs w:val="20"/>
          <w:color w:val="auto"/>
        </w:rPr>
      </w:pPr>
    </w:p>
    <w:p>
      <w:pPr>
        <w:ind w:right="80"/>
        <w:spacing w:after="0" w:line="210" w:lineRule="auto"/>
        <w:rPr>
          <w:sz w:val="20"/>
          <w:szCs w:val="20"/>
          <w:color w:val="auto"/>
        </w:rPr>
      </w:pPr>
      <w:r>
        <w:rPr>
          <w:rFonts w:ascii="Times New Roman" w:cs="Times New Roman" w:eastAsia="Times New Roman" w:hAnsi="Times New Roman"/>
          <w:sz w:val="18"/>
          <w:szCs w:val="18"/>
          <w:color w:val="auto"/>
        </w:rPr>
        <w:t>Sixteen adult, naïve Fabry patients (9 male and 7 female) completed the phase I/II study, each in one of three dosing groups, 0.2 mg/kg, 1 mg/kg and 2 mg/kg. Each patient received IV infusions of PRX-102 every two weeks for 12 weeks, with efficacy follow-up after six-month and twelve-month periods. The overall results demonstrate that PRX-102 reaches the affected tissue and reduces kidney 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inclusions burden and lyso-Gb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in the circulation. A high correlation was found between the two Fabry disease biomarkers, reduction of kidney 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inclusions and the reduction of plasma lyso-Gb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over six months of treatment.</w:t>
      </w:r>
    </w:p>
    <w:p>
      <w:pPr>
        <w:spacing w:after="0" w:line="16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Data was recorded at 24 months from 11 patients who completed 12 months of the long-term open-label extension trial that succeeded the phase I/II study. Patients who did not continue in the extension trial included female patients who became or planned to become pregnant and therefore were unable to continue in accordance with the study protocol and patients who relocated to a location where treatment was not available under the clinical study.</w:t>
      </w:r>
    </w:p>
    <w:p>
      <w:pPr>
        <w:spacing w:after="0" w:line="45"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Results show that lyso-Gb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levels decreased approximately 90% from baseline. Renal function remained stable with mean eGFR levels of 108.02 and 107.20 at baseline and 24 months, respectively, with a modest annual eGFR slope of -2.1. An improvement across all the gastrointestinal symptoms evaluated, including severity and frequency of abdominal pain and frequency of diarrhea, was noted. Cardiac parameters, including LVM, LVMI and EF, remained stable with no cardiac fibrosis development detected. In conclusion, an improvement of over 40% in disease severity was shown as measured by the Mainz Severity Score Index, or MSSI, a score compiling the different elements of the disease severity including neurological, renal and cardiovascular parameters. In addition, an improvement was noted in each of the individual parameters of the MSSI.</w:t>
      </w:r>
    </w:p>
    <w:p>
      <w:pPr>
        <w:spacing w:after="0" w:line="14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majority of adverse events were mild-to-moderate in severity, and transient in nature. During the first 12 months of treatment, only three of 16 patients (less than 19%) formed ADAs of which two of these patients (less than 13%) had neutralizing antibodies. Importantly, however, the ADAs turned negative for all three of these patients following 12 months of treatment. The ADA positivity effect had no observed impact on the safety, efficacy or continuous biomarker reduction of PRX-102.</w:t>
      </w:r>
    </w:p>
    <w:p>
      <w:pPr>
        <w:spacing w:after="0" w:line="153" w:lineRule="exact"/>
        <w:rPr>
          <w:sz w:val="20"/>
          <w:szCs w:val="20"/>
          <w:color w:val="auto"/>
        </w:rPr>
      </w:pPr>
    </w:p>
    <w:p>
      <w:pPr>
        <w:ind w:right="300"/>
        <w:spacing w:after="0" w:line="312" w:lineRule="auto"/>
        <w:rPr>
          <w:sz w:val="20"/>
          <w:szCs w:val="20"/>
          <w:color w:val="auto"/>
        </w:rPr>
      </w:pPr>
      <w:r>
        <w:rPr>
          <w:rFonts w:ascii="Times New Roman" w:cs="Times New Roman" w:eastAsia="Times New Roman" w:hAnsi="Times New Roman"/>
          <w:sz w:val="17"/>
          <w:szCs w:val="17"/>
          <w:color w:val="auto"/>
        </w:rPr>
        <w:t xml:space="preserve">Of the patients who completed the trial, 10 patients opted to continue receiving PRX-102 in an open-label, 60-month extension study under which all patients were switched to receive 1 mg/kg of the drug, the selected dose for our </w:t>
      </w:r>
      <w:r>
        <w:rPr>
          <w:rFonts w:ascii="Times New Roman" w:cs="Times New Roman" w:eastAsia="Times New Roman" w:hAnsi="Times New Roman"/>
          <w:sz w:val="17"/>
          <w:szCs w:val="17"/>
          <w:i w:val="1"/>
          <w:iCs w:val="1"/>
          <w:color w:val="auto"/>
        </w:rPr>
        <w:t>BALANCE</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BRIDGE</w:t>
      </w:r>
      <w:r>
        <w:rPr>
          <w:rFonts w:ascii="Times New Roman" w:cs="Times New Roman" w:eastAsia="Times New Roman" w:hAnsi="Times New Roman"/>
          <w:sz w:val="17"/>
          <w:szCs w:val="17"/>
          <w:color w:val="auto"/>
        </w:rPr>
        <w:t xml:space="preserve"> studies.</w:t>
      </w:r>
    </w:p>
    <w:p>
      <w:pPr>
        <w:spacing w:after="0" w:line="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Extension Studies</w:t>
      </w:r>
    </w:p>
    <w:p>
      <w:pPr>
        <w:spacing w:after="0" w:line="18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Patients who completed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BRIDGE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BRIGHT</w:t>
      </w:r>
      <w:r>
        <w:rPr>
          <w:rFonts w:ascii="Times New Roman" w:cs="Times New Roman" w:eastAsia="Times New Roman" w:hAnsi="Times New Roman"/>
          <w:sz w:val="18"/>
          <w:szCs w:val="18"/>
          <w:color w:val="auto"/>
        </w:rPr>
        <w:t xml:space="preserve"> studies, and the extension of the phase I/II study, were offered the opportunity to continue PRX-102 treatment in one of two long-term open-label extension studies. Overall, 126 subjects who participated in our PRX-102 clinical program initially opted, with the advice of the treating physician, to enroll in one of our long-term, open label, extension studies of PRX-102: 97 patients in the 1 mg/kg every two weeks extension study (PB-102-F60, NCT03566017) (10 subjects who completed an extension study from the phase I/II study, 18 subjects who completed the </w:t>
      </w:r>
      <w:r>
        <w:rPr>
          <w:rFonts w:ascii="Times New Roman" w:cs="Times New Roman" w:eastAsia="Times New Roman" w:hAnsi="Times New Roman"/>
          <w:sz w:val="18"/>
          <w:szCs w:val="18"/>
          <w:i w:val="1"/>
          <w:iCs w:val="1"/>
          <w:color w:val="auto"/>
        </w:rPr>
        <w:t>BRIDGE</w:t>
      </w:r>
      <w:r>
        <w:rPr>
          <w:rFonts w:ascii="Times New Roman" w:cs="Times New Roman" w:eastAsia="Times New Roman" w:hAnsi="Times New Roman"/>
          <w:sz w:val="18"/>
          <w:szCs w:val="18"/>
          <w:color w:val="auto"/>
        </w:rPr>
        <w:t xml:space="preserve"> study; 69 subjects who completed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and 29 subjects who completed the </w:t>
      </w:r>
      <w:r>
        <w:rPr>
          <w:rFonts w:ascii="Times New Roman" w:cs="Times New Roman" w:eastAsia="Times New Roman" w:hAnsi="Times New Roman"/>
          <w:sz w:val="18"/>
          <w:szCs w:val="18"/>
          <w:i w:val="1"/>
          <w:iCs w:val="1"/>
          <w:color w:val="auto"/>
        </w:rPr>
        <w:t>BRIGHT</w:t>
      </w:r>
      <w:r>
        <w:rPr>
          <w:rFonts w:ascii="Times New Roman" w:cs="Times New Roman" w:eastAsia="Times New Roman" w:hAnsi="Times New Roman"/>
          <w:sz w:val="18"/>
          <w:szCs w:val="18"/>
          <w:color w:val="auto"/>
        </w:rPr>
        <w:t xml:space="preserve"> study in the 2 mg/kg every four weeks extension study (PB-102-F51, NCT03614234). Two of the subjects in the PB-102-F51 study are being treated with 1 mg/kg every two weeks. As of March 1, 2023, sponsorship of the two extension studies was transferred to Chiesi, and Chiesi is now administering the open-label extension studies.</w:t>
      </w:r>
    </w:p>
    <w:p>
      <w:pPr>
        <w:spacing w:after="0" w:line="160"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Over time, and as Elfabrio is approved for marketing in different jurisdictions, participants switch-out of the open-label extension studies. Most of them have transferred to a commercial setting; others withdraw for other reasons.</w:t>
      </w:r>
    </w:p>
    <w:p>
      <w:pPr>
        <w:spacing w:after="0" w:line="1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Pediatric FLY Study</w:t>
      </w:r>
    </w:p>
    <w:p>
      <w:pPr>
        <w:spacing w:after="0" w:line="1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Chiesi is sponsoring, with our collaborative efforts, a clinical trial entitled “Multi-Centre, Open-label Trial to Assess the Safety, Pharmacodynamics, Efficacy and Pharmacokinetics of pegunigalsidase alfa in Patients From 2 Years to Less Than 18 Years of Age With Confirmed Fabry Disease,” or the </w:t>
      </w:r>
      <w:r>
        <w:rPr>
          <w:rFonts w:ascii="Times New Roman" w:cs="Times New Roman" w:eastAsia="Times New Roman" w:hAnsi="Times New Roman"/>
          <w:sz w:val="18"/>
          <w:szCs w:val="18"/>
          <w:i w:val="1"/>
          <w:iCs w:val="1"/>
          <w:color w:val="auto"/>
        </w:rPr>
        <w:t>FLY</w:t>
      </w:r>
      <w:r>
        <w:rPr>
          <w:rFonts w:ascii="Times New Roman" w:cs="Times New Roman" w:eastAsia="Times New Roman" w:hAnsi="Times New Roman"/>
          <w:sz w:val="18"/>
          <w:szCs w:val="18"/>
          <w:color w:val="auto"/>
        </w:rPr>
        <w:t xml:space="preserve"> study (NCT06328608). The FLY study is currently in the start-up phase. The design of the study is based on the Initial Pediatric Study Plan (iPSP) agreed to with the FDA and the paediatric investigation plan (PIP) for Elfabrio, which has been accepted, as amended, by the Paediatric Committee (PDCO) of the EMA.</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Japanese RISE Study</w:t>
      </w:r>
    </w:p>
    <w:p>
      <w:pPr>
        <w:spacing w:after="0" w:line="202"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 xml:space="preserve">Chiesi is currently enrolling patients in its clinical trial entitled “A Multicenter Open-Label Study to Evaluate the Safety, Pharmacokinetics, Pharmacodynamics, and Efficacy of Pegunigalsidase Alfa (PRX-102) in Japanese Patients With Fabry Disease,” or the </w:t>
      </w:r>
      <w:r>
        <w:rPr>
          <w:rFonts w:ascii="Times New Roman" w:cs="Times New Roman" w:eastAsia="Times New Roman" w:hAnsi="Times New Roman"/>
          <w:sz w:val="18"/>
          <w:szCs w:val="18"/>
          <w:i w:val="1"/>
          <w:iCs w:val="1"/>
          <w:color w:val="auto"/>
        </w:rPr>
        <w:t>RISE</w:t>
      </w:r>
      <w:r>
        <w:rPr>
          <w:rFonts w:ascii="Times New Roman" w:cs="Times New Roman" w:eastAsia="Times New Roman" w:hAnsi="Times New Roman"/>
          <w:sz w:val="18"/>
          <w:szCs w:val="18"/>
          <w:color w:val="auto"/>
        </w:rPr>
        <w:t xml:space="preserve"> study (NCT05710692). The aim of the </w:t>
      </w:r>
      <w:r>
        <w:rPr>
          <w:rFonts w:ascii="Times New Roman" w:cs="Times New Roman" w:eastAsia="Times New Roman" w:hAnsi="Times New Roman"/>
          <w:sz w:val="18"/>
          <w:szCs w:val="18"/>
          <w:i w:val="1"/>
          <w:iCs w:val="1"/>
          <w:color w:val="auto"/>
        </w:rPr>
        <w:t>RISE</w:t>
      </w:r>
      <w:r>
        <w:rPr>
          <w:rFonts w:ascii="Times New Roman" w:cs="Times New Roman" w:eastAsia="Times New Roman" w:hAnsi="Times New Roman"/>
          <w:sz w:val="18"/>
          <w:szCs w:val="18"/>
          <w:color w:val="auto"/>
        </w:rPr>
        <w:t xml:space="preserve"> study is to evaluate the safety and efficacy of pegunigalsidase alfa in Japanese patients (adults and adolescents) affected by Fabry disease. It is planned that a total of approximately 18-20 male and female Fabry disease patients between the ages of 13 and 60 years will be enrolled in the study which is being conducted in Japan.</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Commercialization of Approved Products</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Commercialization Agreements with Chiesi Farmaceutici</w:t>
      </w:r>
    </w:p>
    <w:p>
      <w:pPr>
        <w:spacing w:after="0" w:line="20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entered into two exclusive global licensing and supply agreements for PRX-102 for the treatment of Fabry disease with Chiesi. The agreements have significant revenue potential for Protalix. Under the agreements, Protalix Ltd. has received $50.0 million in upfront payments and development cost reimbursements of $45.0 million, and is entitled to approximately $1.0 billion in potential milestone payments as well as additional payments as consideration for drug product supply. The additional payments for drug product supplied are based on the average selling price of the drug product in the relevant territory multiplied by tiered payments, as detailed below. During the quarter ended June 30, 2023, we received net proceeds of $20.0 million representing a milestone payment earned upon the FDA’s approval of Elfabrio for adult Fabry patients.</w:t>
      </w:r>
    </w:p>
    <w:p>
      <w:pPr>
        <w:spacing w:after="0" w:line="148"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8"/>
          <w:szCs w:val="18"/>
          <w:color w:val="auto"/>
        </w:rPr>
        <w:t>On October 19, 2017, Protalix Ltd. and Chiesi entered into the Chiesi Ex-US Agreement pursuant to which Chiesi was granted an exclusive license for all markets outside of the United States to commercialize PRX-102. Under the Chiesi Ex-US Agreement, Chiesi made an upfront payment to Protalix Ltd. of $25.0 million in connection with the execution of the agreement, and Protalix Ltd. was entitled to additional payments of up to $25.0 million in development costs in the aggregate, capped at $10.0 million per year. Protalix Ltd. is also eligible to receive additional payments of up to a maximum of $320.0 million in regulatory and commercial milestone payments. Protalix Ltd. agreed to manufacture all of the PRX-102 needed for all purposes under the agreement, subject to certain exceptions, and Chiesi will purchase PRX-102 from Protalix Ltd., subject to certain terms and conditions. Chiesi is required to make tiered payments for drug product purchased from Protalix based on the average selling price of the drug product in the relevant territory multiplied by 15% to 35%, depending on the amount of annual net sales outside of the United States.</w:t>
      </w:r>
    </w:p>
    <w:p>
      <w:pPr>
        <w:spacing w:after="0" w:line="14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July 23, 2018, Protalix Ltd. entered into the Chiesi US Agreement with respect to the development and commercialization of PRX-102 in the United States. Protalix Ltd. received an upfront, non-refundable, non-creditable payment of $25.0 million from Chiesi and was entitled to additional payments of up to a maximum of $20.0 million to cover development costs for PRX-102, capped at $7.5 million per year. Protalix Ltd. is also eligible to receive additional payments of up to a maximum of $760.0 million, in the aggregate, in regulatory and commercial milestone payments. Chiesi agreed to make tiered payments for drug product purchased from</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Protalix based on the average selling price of the drug product in the United States multiplied by 15% to 40%, subject to certain terms and conditions, depending on the amount of annual net sales in the United States.</w:t>
      </w:r>
    </w:p>
    <w:p>
      <w:pPr>
        <w:spacing w:after="0" w:line="12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On May 13, 2021, we signed a binding term sheet with Chiesi amending the Chiesi Agreements in order to provide our company with near-term capital. Chiesi agreed to make a $10.0 million payment to us before the end of the second quarter of 2021 in exchange for a $25.0 million reduction in a longer term regulatory milestone payment provided in the Chiesi EX-US Agreement. All other regulatory and commercial milestone payments remain unchanged. We received the payment in June 2021. We also agreed to negotiate certain manufacturing related matters.</w:t>
      </w:r>
    </w:p>
    <w:p>
      <w:pPr>
        <w:spacing w:after="0" w:line="156"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On August 29, 2022, we entered into the F/F Agreement and the Letter Agreement with Chiesi. Under the F/F Agreement, we agreed to supply Chiesi with drug substance for PRX-102 and, following relevant technology and technical information transfer activities, Chiesi agreed, among other things, to provide us with commercial fill/finish services for PRX-102, including to support the anticipated global launch of PRX-102. The F/F Agreement will expire December 31, 2025, unless terminated earlier in accordance with its terms and may be extended by mutual agreement in writing for an additional period of seven years. The Letter Agreement changed our obligations and those of Chiesi under the License Agreements with respect to, among other things, the evaluation, selection and establishment of an initial alternate source of commercial fill/finish services for PRX-102. In addition, the Letter Agreement amended certain provisions of the License Agreements to reflect the appointment of Chiesi as a supplier to our company of commercial fill/finish services and the potential establishment of an initial alternate source of commercial fill/finish services.</w:t>
      </w:r>
    </w:p>
    <w:p>
      <w:pPr>
        <w:spacing w:after="0" w:line="18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As of March 1, 2023, sponsorship of the two extension studies was transferred to Chiesi, and Chiesi is now the sponsor of the extension studies.</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Commercialization Agreements for Elelyso</w:t>
      </w:r>
    </w:p>
    <w:p>
      <w:pPr>
        <w:spacing w:after="0" w:line="18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have licensed to Pfizer the global rights to Elelyso in all markets excluding Brazil. Pfizer retains 100% of revenue and reimburses 100% of direct costs. We manufacture drug substance for Pfizer, subject to certain terms and conditions.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the first 10-year period after the execution of the October 2015 Amended Pfizer Agreement, we have agreed to sell drug substance to Pfizer for the production of Elelyso, and Pfizer maintains the right to extend the supply period for up to two additional 30-month periods subject to certain terms and conditions. In a subsequent amendment, we agreed that after the completion of the first 10-year supply period, the supply term would automatically extend for a five-year period (i.e., until October 2030).</w:t>
      </w:r>
    </w:p>
    <w:p>
      <w:pPr>
        <w:spacing w:after="0" w:line="153"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We maintain distribution rights to Elelyso in Brazil through a supply and technology transfer agreement with Fiocruz, an arm of the Brazilian MoH.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Development Pipeline</w:t>
      </w:r>
    </w:p>
    <w:p>
      <w:pPr>
        <w:spacing w:after="0" w:line="18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Our corporate strategy includes development of treatments for rare and orphan diseases. To execute on the strategy, we are turning our focus to new, early-stage product candidates that treat indications for which there are high unmet needs in terms of efficacy and safety, including renal diseases. Treatments of interest will address both genetic and non-genetic diseases. We intend to use our ProCellEx platform and PEGylization capabilities, as well as other modalities such as small molecules and antibodies, to take advantage of highly innovative opportunities. Our current pipeline of product candidates includes PEGylated uricase for the treatment of uncontrolled gout, Long Acting (LA) DNase I for the treatment of NETs and other technologies and preclinical assets.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PEGylated Uricase (PRX-115)</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PRX-115 is our recombinant PEGylated uricase (urate oxidase) – a chemically modified enzyme under development for the potential treatment of patients with uncontrolled gout. The uricase enzyme, that does not exist naturally in humans, converts uric acid to allantoin, which is easily eliminated through urine. This recombinant enzyme, expressed via our ProCellEx system, is designed to lower uric acid levels and improve clinical manifestation of the disease while having low immunogenicity and increased half-life of the drug in the blood. Pre-clinical data demonstrates long half-life, reduced immunogenic risk and high specific activity which supports the potential of PRX-115 to be a safe and effective treatment for patients with gout. One-month multiple dosing toxicity studies in two species and 6-month multiple dosing toxicity study in one species were conducted to support single and multiple dose studies is humans.</w:t>
      </w:r>
    </w:p>
    <w:p>
      <w:pPr>
        <w:spacing w:after="0" w:line="148" w:lineRule="exact"/>
        <w:rPr>
          <w:sz w:val="20"/>
          <w:szCs w:val="20"/>
          <w:color w:val="auto"/>
        </w:rPr>
      </w:pPr>
    </w:p>
    <w:p>
      <w:pPr>
        <w:ind w:right="300"/>
        <w:spacing w:after="0" w:line="270" w:lineRule="auto"/>
        <w:rPr>
          <w:sz w:val="20"/>
          <w:szCs w:val="20"/>
          <w:color w:val="auto"/>
        </w:rPr>
      </w:pPr>
      <w:r>
        <w:rPr>
          <w:rFonts w:ascii="Times New Roman" w:cs="Times New Roman" w:eastAsia="Times New Roman" w:hAnsi="Times New Roman"/>
          <w:sz w:val="17"/>
          <w:szCs w:val="17"/>
          <w:color w:val="auto"/>
        </w:rPr>
        <w:t xml:space="preserve">PRX-115 is being analyzed for the potential treatment of uncontrolled gout in our phase I clinical trial of PRX-115 for the potential treatment of uncontrolled gout entitled “A Double-blind, Placebo-controlled, Single Ascending Dose Study to Evaluate the Safety, Tolerability, Pharmacokinetics, and Pharmacodynamics Properties of PRX-115 in Adult Volunteers With Elevated Uric Acid Levels” (NCT05745727), or the </w:t>
      </w:r>
      <w:r>
        <w:rPr>
          <w:rFonts w:ascii="Times New Roman" w:cs="Times New Roman" w:eastAsia="Times New Roman" w:hAnsi="Times New Roman"/>
          <w:sz w:val="17"/>
          <w:szCs w:val="17"/>
          <w:i w:val="1"/>
          <w:iCs w:val="1"/>
          <w:color w:val="auto"/>
        </w:rPr>
        <w:t>FIH</w:t>
      </w:r>
      <w:r>
        <w:rPr>
          <w:rFonts w:ascii="Times New Roman" w:cs="Times New Roman" w:eastAsia="Times New Roman" w:hAnsi="Times New Roman"/>
          <w:sz w:val="17"/>
          <w:szCs w:val="17"/>
          <w:color w:val="auto"/>
        </w:rPr>
        <w:t xml:space="preserve"> study. The first subject was dosed in the study on March 21, 2023. The study is being conducted at New</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Zealand Clinical Research (NZCR) under the New Zealand Medicines and Medical Devices Safety Authority (MedSafe) and the Health and Disability Ethics Committee (HDEC) guidelines. The study was initially designed to include seven sequential dosing cohorts, each composed of eight subjects (six active and two placebo), a 3:1 ratio. Subjects in each cohort, males and females aged 18 through 65, received a single dose of PRX-115 and are analyzed for safety, pharmacokinetics (PK) and pharmacodynamics (PD) (concentrations of plasma uric acid) for 85 days.</w:t>
      </w:r>
    </w:p>
    <w:p>
      <w:pPr>
        <w:spacing w:after="0" w:line="14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After a review of initial positive top-line results from the initial seven cohorts, and following the review and acceptance of the safety data from such seven cohorts by the safety and monitoring committee for dose escalation for the </w:t>
      </w:r>
      <w:r>
        <w:rPr>
          <w:rFonts w:ascii="Times New Roman" w:cs="Times New Roman" w:eastAsia="Times New Roman" w:hAnsi="Times New Roman"/>
          <w:sz w:val="18"/>
          <w:szCs w:val="18"/>
          <w:i w:val="1"/>
          <w:iCs w:val="1"/>
          <w:color w:val="auto"/>
        </w:rPr>
        <w:t>FIH</w:t>
      </w:r>
      <w:r>
        <w:rPr>
          <w:rFonts w:ascii="Times New Roman" w:cs="Times New Roman" w:eastAsia="Times New Roman" w:hAnsi="Times New Roman"/>
          <w:sz w:val="18"/>
          <w:szCs w:val="18"/>
          <w:color w:val="auto"/>
        </w:rPr>
        <w:t xml:space="preserve"> study, we decided to expand the study by adding an eighth cohort of eight new subjects to analyze a higher dose and its potential to result in increased exposure time. As of June 30, 2024, all 64 subjects with no previous exposure to PEGylated uricase have been enrolled in the study and follow-up is ongoing. In addition to the expansion of the </w:t>
      </w:r>
      <w:r>
        <w:rPr>
          <w:rFonts w:ascii="Times New Roman" w:cs="Times New Roman" w:eastAsia="Times New Roman" w:hAnsi="Times New Roman"/>
          <w:sz w:val="18"/>
          <w:szCs w:val="18"/>
          <w:i w:val="1"/>
          <w:iCs w:val="1"/>
          <w:color w:val="auto"/>
        </w:rPr>
        <w:t>FIH</w:t>
      </w:r>
      <w:r>
        <w:rPr>
          <w:rFonts w:ascii="Times New Roman" w:cs="Times New Roman" w:eastAsia="Times New Roman" w:hAnsi="Times New Roman"/>
          <w:sz w:val="18"/>
          <w:szCs w:val="18"/>
          <w:color w:val="auto"/>
        </w:rPr>
        <w:t xml:space="preserve"> study, we have commenced preparations for a phase II clinical trial of PRX-115.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Key preliminary results from the first seven cohorts of the </w:t>
      </w:r>
      <w:r>
        <w:rPr>
          <w:rFonts w:ascii="Times New Roman" w:cs="Times New Roman" w:eastAsia="Times New Roman" w:hAnsi="Times New Roman"/>
          <w:sz w:val="18"/>
          <w:szCs w:val="18"/>
          <w:i w:val="1"/>
          <w:iCs w:val="1"/>
          <w:color w:val="auto"/>
        </w:rPr>
        <w:t>FIH</w:t>
      </w:r>
      <w:r>
        <w:rPr>
          <w:rFonts w:ascii="Times New Roman" w:cs="Times New Roman" w:eastAsia="Times New Roman" w:hAnsi="Times New Roman"/>
          <w:sz w:val="18"/>
          <w:szCs w:val="18"/>
          <w:color w:val="auto"/>
        </w:rPr>
        <w:t xml:space="preserve"> study are as follows:</w:t>
      </w:r>
    </w:p>
    <w:p>
      <w:pPr>
        <w:spacing w:after="0" w:line="227" w:lineRule="exact"/>
        <w:rPr>
          <w:sz w:val="20"/>
          <w:szCs w:val="20"/>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PRX-115 increased in a dose-dependent manner.</w:t>
      </w:r>
    </w:p>
    <w:p>
      <w:pPr>
        <w:spacing w:after="0" w:line="225" w:lineRule="exact"/>
        <w:rPr>
          <w:rFonts w:ascii="Times New Roman" w:cs="Times New Roman" w:eastAsia="Times New Roman" w:hAnsi="Times New Roman"/>
          <w:sz w:val="18"/>
          <w:szCs w:val="18"/>
          <w:color w:val="auto"/>
        </w:rPr>
      </w:pPr>
    </w:p>
    <w:p>
      <w:pPr>
        <w:ind w:right="100" w:firstLine="656"/>
        <w:spacing w:after="0" w:line="312" w:lineRule="auto"/>
        <w:tabs>
          <w:tab w:leader="none" w:pos="129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PRX-115 rapidly reduced plasma uric acid concentrations to below 6.0 mg/dL over time following a single administration. The effect of PRX-115 on plasma uric acid concentrations and the duration of response was found to be dose dependent.</w:t>
      </w:r>
    </w:p>
    <w:p>
      <w:pPr>
        <w:spacing w:after="0" w:line="139" w:lineRule="exact"/>
        <w:rPr>
          <w:rFonts w:ascii="Times New Roman" w:cs="Times New Roman" w:eastAsia="Times New Roman" w:hAnsi="Times New Roman"/>
          <w:sz w:val="17"/>
          <w:szCs w:val="17"/>
          <w:color w:val="auto"/>
        </w:rPr>
      </w:pPr>
    </w:p>
    <w:p>
      <w:pPr>
        <w:ind w:firstLine="656"/>
        <w:spacing w:after="0" w:line="258" w:lineRule="auto"/>
        <w:tabs>
          <w:tab w:leader="none" w:pos="129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PRX-115 was well-tolerated. Twenty-six percent (11/42) of the subjects treated with PRX-115 in the first seven cohorts reported study drug-related adverse events, the majority being mild to moderate and transient in nature. One subject in cohort 2 experienced an anaphylactic reaction immediately following the commencement of the infusion, and the reaction was fully resolved. There were no other serious adverse events reported in the study, and no adverse events were reported in the highest doses, cohorts 6 and 7.</w:t>
      </w:r>
    </w:p>
    <w:p>
      <w:pPr>
        <w:spacing w:after="0" w:line="181" w:lineRule="exact"/>
        <w:rPr>
          <w:rFonts w:ascii="Times New Roman" w:cs="Times New Roman" w:eastAsia="Times New Roman" w:hAnsi="Times New Roman"/>
          <w:sz w:val="18"/>
          <w:szCs w:val="18"/>
          <w:color w:val="auto"/>
        </w:rPr>
      </w:pPr>
    </w:p>
    <w:p>
      <w:pPr>
        <w:ind w:right="240" w:firstLine="656"/>
        <w:spacing w:after="0" w:line="267" w:lineRule="auto"/>
        <w:tabs>
          <w:tab w:leader="none" w:pos="129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ADA data from the first seven cohorts of the </w:t>
      </w:r>
      <w:r>
        <w:rPr>
          <w:rFonts w:ascii="Times New Roman" w:cs="Times New Roman" w:eastAsia="Times New Roman" w:hAnsi="Times New Roman"/>
          <w:sz w:val="18"/>
          <w:szCs w:val="18"/>
          <w:i w:val="1"/>
          <w:iCs w:val="1"/>
          <w:color w:val="auto"/>
        </w:rPr>
        <w:t>FIH</w:t>
      </w:r>
      <w:r>
        <w:rPr>
          <w:rFonts w:ascii="Times New Roman" w:cs="Times New Roman" w:eastAsia="Times New Roman" w:hAnsi="Times New Roman"/>
          <w:sz w:val="18"/>
          <w:szCs w:val="18"/>
          <w:color w:val="auto"/>
        </w:rPr>
        <w:t xml:space="preserve"> study show that many subjects developed a positive, low-titer IgG response following a single exposure to PRX-115. Notably, higher doses were associated with fewer subjects showing positive IgG responses compared to lower doses.</w:t>
      </w:r>
    </w:p>
    <w:p>
      <w:pPr>
        <w:spacing w:after="0" w:line="17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Gout is the most common inflammatory arthritis, affecting an estimated 14.0 million adults in the United States, 2.0 million in France, 2.0 million in United Kingdom, 0.7 million in Italy, 1.5 million in Germany, 0.7 million in Spain and over 190.0 million in China. An estimated approximately 5% of the gout population is considered to have chronic refractory disease. The risk of gout increases with age, and it is thus more common in ageing populations. Gout results from sustained elevation of serum urate levels (hyperuricaemia). Urate levels may increase due to diet, genetic predisposition and environmental factors leading to the deposition of monosodium urate crystals and\or tophi in joints, tendons and other tissues, which triggers recurrent episodes of pronounced acute inflammation, known as gout flares. Gout leads to substantial morbidity, severe pain, reduced quality of life, decreased physical function, increased healthcare costs, and lost economic productivity. Furthermore, gout is strongly associated with a number of comorbidities, including hypertension, cardiovascular disease, renal impairment, diabetes, obesity, hyperlipidaemia and frequently in a combination known as the metabolic syndrome.</w:t>
      </w:r>
    </w:p>
    <w:p>
      <w:pPr>
        <w:spacing w:after="0" w:line="16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Uncontrolled gout is when serum uric acid (sUA) levels are above the maximum medically appropriate level (6.0 mg/dL) and cannot be treated with available urate lowering therapies. It is also reported to involve urate crystal deposition and associated inflammation in joints, soft tissues and organs. Currently available ULTs can be effective in treating gout. However, low adherence, under dosing, disease progression that cause high patient burden or patients that are not suitable for available therapy, require new, effective and safe therapies to treat these underserved uncontrolled gout patients.</w:t>
      </w:r>
    </w:p>
    <w:p>
      <w:pPr>
        <w:spacing w:after="0" w:line="135" w:lineRule="exact"/>
        <w:rPr>
          <w:sz w:val="20"/>
          <w:szCs w:val="20"/>
          <w:color w:val="auto"/>
        </w:rPr>
      </w:pPr>
    </w:p>
    <w:p>
      <w:pPr>
        <w:ind w:right="360"/>
        <w:spacing w:after="0" w:line="211" w:lineRule="auto"/>
        <w:rPr>
          <w:sz w:val="20"/>
          <w:szCs w:val="20"/>
          <w:color w:val="auto"/>
        </w:rPr>
      </w:pPr>
      <w:r>
        <w:rPr>
          <w:rFonts w:ascii="Times New Roman" w:cs="Times New Roman" w:eastAsia="Times New Roman" w:hAnsi="Times New Roman"/>
          <w:sz w:val="18"/>
          <w:szCs w:val="18"/>
          <w:color w:val="auto"/>
        </w:rPr>
        <w:t>To date, two variants of recombinant uricases are approved for marketing: (i) Krystexxa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(pegloticase) for treatment of chronic gout refractory to conventional therapy (gout patients who have contraindication/failure of other lowering uric acid treatments) and</w:t>
      </w:r>
    </w:p>
    <w:p>
      <w:pPr>
        <w:spacing w:after="0" w:line="1" w:lineRule="exact"/>
        <w:rPr>
          <w:sz w:val="20"/>
          <w:szCs w:val="20"/>
          <w:color w:val="auto"/>
        </w:rPr>
      </w:pPr>
    </w:p>
    <w:p>
      <w:pPr>
        <w:ind w:firstLine="8"/>
        <w:spacing w:after="0" w:line="235" w:lineRule="auto"/>
        <w:tabs>
          <w:tab w:leader="none" w:pos="26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Elitek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indicated for the treatment of tumor lysis syndrome but not gout. Both have a black box warning for anaphylaxis and other major side-effects. The FDA label of Krystexxa was amended in 2022 to include co-treatment of methotrexate to prolong efficacy and increases tolerability in patients with refractory gout. Krystexxa is no longer marketed in the European Union. The EC withdrew the marketing authorization for Krystexxa in 2016 at the request of the marketing authorization holder which notified the EC of its decision not to market the product in the European Union for commercial reasons. We believe that new effective, safe therapies are needed to treat severe gout, chronic refractory and uncontrolled gout, regardless of treatment history.</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PRX-119</w:t>
      </w:r>
    </w:p>
    <w:p>
      <w:pPr>
        <w:spacing w:after="0" w:line="189"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7"/>
          <w:szCs w:val="17"/>
          <w:color w:val="auto"/>
        </w:rPr>
        <w:t>PRX-119 is our plant cell-expressed PEGylated recombinant human DNase I product candidate being designed to elongate half-life in the circulation for NETs-related diseases. NETs, Neutrophil extracellular traps, are web-like structures, released by activated neutrophils that trap and kill a variety of microorganisms. NETs are composed of DNA, histones, antimicrobial and pro-inflammatory proteins. Excessive formation or ineffective clearance of NETs can cause different pathological effects. NETs formation has been observed in various autoimmune, inflammatory and fibrotic conditions, diverse forms of thrombosis, cancer and metastasis. According to scientific literature, animal studies have demonstrated that DNase treatment reduces NETs toxicity. Our proprietary modified DNase I design for long and customized systemically circulating in the bloodstream, may potentially enable effective treatment of these conditions.</w:t>
      </w:r>
    </w:p>
    <w:p>
      <w:pPr>
        <w:spacing w:after="0" w:line="17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administration of PRX-119 resulted in a decrease in circulating of DNA levels and significantly enhanced the survival of mice in both a CLP-induced sepsis model and an ARDS model. Additional preclinical development is ongoing.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key element of our overall strategy is to establish a broad portfolio of patents to protect our proprietary technology, proprietary product and product candidates and their methods of use. As of June 30, 2024, we hold a broad portfolio of more than 70 patents in Europe, the United States, Israel and additional countries worldwide, as well as approximately 50 pending patent applications.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&amp; Development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continuously work on the further development of our ProCellEx plant cell expression technology and bioreactor system.</w:t>
      </w:r>
    </w:p>
    <w:p>
      <w:pPr>
        <w:spacing w:after="0" w:line="18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Consistent with our corporate strategy, we are focusing on new, early-stage product candidates that treat indications for which there are high unmet needs in terms of efficacy and safety, including renal diseases. Treatments of interest will address both genetic and non-genetic diseases. We intend to use our ProCellEx platform and PEGylization capabilities, as well as other modalities such as small molecules and oligonucleotides, to take advantage of highly innovative opportunities. We are also exploring novel platform technologies.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significant accounting policies are more fully described in Note 1 to our consolidated financial statements appearing in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Quarterly Report. There have been no material changes to our critical accounting policies since we filed our Annual Report on Form 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 for the year ended December 31, 2023.</w:t>
      </w:r>
    </w:p>
    <w:p>
      <w:pPr>
        <w:spacing w:after="0" w:line="166"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is based on our financial statements, which we prepared in accordance with U.S. generally accepted accounting principles. The preparation of these financial statements requires us to make estimates and assumptions that affect the reported amounts of assets and liabilities and the disclosure of contingent assets and liabilities at the date of the financial statements, as well as the reported revenues and expenses during the reporting periods. On an ongoing basis, we evaluate such estimates and judgments, including those described in greater detail below.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2024 compared to the three months ended June 30, 2023</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Revenues from Selling Goods</w:t>
      </w:r>
    </w:p>
    <w:p>
      <w:pPr>
        <w:spacing w:after="0" w:line="18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recorded revenues from selling goods of $13.3 million during the three months ended June 30, 2024, a decrease of $1.8 million, or 12%, compared to revenues of $15.1 million for the three months ended June 30, 2023. The decrease resulted primarily from a decrease of $10.0 million in sales to Chiesi, partially offset by an increase of $4.7 million in sales to Brazil and an increase of $3.5 million in sales to Pfizer. Sales to Chiesi in the three months ended June 30, 2023 were in connection with the commercial launch and inventory buildup of Elfabrio after its approval for marketing in the United States and the European Union. The increases in sales to Brazil and Pfizer during the three months ended June 30, 2024 resulted primarily from the timing of delivery.</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Revenues from License and R&amp;D Services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recorded revenues from license and R&amp;D services of $0.2 million for the three months ended June 30, 2024, a decrease of</w:t>
      </w:r>
    </w:p>
    <w:p>
      <w:pPr>
        <w:spacing w:after="0" w:line="27"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$19.8 million, or 99%, compared to revenues of $20.0 million for the three months ended June 30, 2023. Revenues from license and R&amp;D services are comprised primarily of revenues we recognized in connection with the Chiesi Agreements. The revenues from license and R&amp;D services for the three months ended June 30, 2023 were the result of the $20.0 million regulatory milestone payment from Chiesi in connection with the FDA approval of Elfabrio granted during that period.</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18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Cost of goods sold was $9.5 million for the three months ended June 30, 2024, an increase of $3.4 million, or 56%, from cost of goods sold of $6.1 million for the three months ended June 30, 2023. The increase in cost of goods sold was primarily the result of an increase in sales to Pfizer and to Brazil. In addition, during the three months ended June 30, 2023 a significantly higher portion of the costs for certain drug substance sold, as compared to the three months ended June 30, 2024, were recognized as research and development expenses, not cost of goods sold, as such drug substance was produced as part of our research and development activities.</w:t>
      </w:r>
    </w:p>
    <w:p>
      <w:pPr>
        <w:spacing w:after="0" w:line="14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00"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18"/>
          <w:szCs w:val="18"/>
          <w:color w:val="auto"/>
        </w:rPr>
        <w:t>For the three months ended June 30, 2024, our total research and development expenses were approximately $3.0 million comprised of approximately $0.5 million in subcontractor-related expenses, approximately $1.6 million of salary and related expenses, approximately $0.2 million of materials-related expenses and approximately $0.7 million of other expenses. For the three months ended June 30, 2023, our total research and development expenses were approximately $4.5 million comprised of approximately $1.7 million of subcontractor-related expenses, approximately $2.0 million of salary and related expenses, approximately $0.1 million of materials-related expenses and approximately $0.7 million of other expenses.</w:t>
      </w:r>
    </w:p>
    <w:p>
      <w:pPr>
        <w:spacing w:after="0" w:line="187"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Total decrease in research and developments expenses for the three months ended June 30, 2024 was $1.5 million, or 33%, compared to the three months ended June 30, 2023. The decrease in research and development expenses resulted primarily from the completion of our Fabry clinical program and the regulatory processes related to the BLA and MAA review of Elfabrio by the applicable regulatory agencies.</w:t>
      </w:r>
    </w:p>
    <w:p>
      <w:pPr>
        <w:spacing w:after="0" w:line="180"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We expect to continue to incur significant, increasing research and development expenses as we enter into a more advanced stage of preclinical and clinical trials for certain of our product candidates.</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8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were $3.5 million for the three months ended June 30, 2024, a decrease of $0.5 million, or 13%, compared to $4.0 million for the three months ended June 30, 2023. The decrease resulted primarily from a decrease of $0.5 million in salary and related expenses.</w:t>
      </w:r>
    </w:p>
    <w:p>
      <w:pPr>
        <w:spacing w:after="0" w:line="1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Financial Income, Net</w:t>
      </w:r>
    </w:p>
    <w:p>
      <w:pPr>
        <w:spacing w:after="0" w:line="20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Financial income, net were $0.2 million for the three months ended June 30, 2024, compared to financial expenses, net of $0.8 million for the three months ended June 30, 2023. The difference resulted primarily from higher interest income on bank deposits and lower notes interest expenses due to notes conversions executed in 2023.</w:t>
      </w:r>
    </w:p>
    <w:p>
      <w:pPr>
        <w:spacing w:after="0" w:line="1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June 30, 2024, we recorded a tax benefit of approximately $0.1 million, compared to income taxes of</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$0.3 million for the three months ended June 30, 2023. Income taxes recorded are primarily the result of the provision for current taxes in respect of Section 174 of the TCJA.</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2024 compared to the six months ended June 30, 2023</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Revenues from Selling Goods</w:t>
      </w:r>
    </w:p>
    <w:p>
      <w:pPr>
        <w:spacing w:after="0" w:line="20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recorded revenues from selling goods of $17.0 million during the six months ended June 30, 2024, a decrease of $3.1 million, or 15%, compared to revenues of $20.1 million for the six months ended June 30, 2023. The decrease resulted primarily from a decrease of $10.0 million in sales to Chiesi which were partially offset by an increase in sales of $4.5 million to Brazil and of $2.4 million to Pfizer. Sales to Chiesi in the six months ended June 30, 2023 were in connection with the commercial launch and inventory buildup of Elfabrio after its approval for marketing in the United States and the European Union. The increases in sales to Brazil and Pfizer during the six months ended June 30, 2024 resulted primarily from the timing of delivery.</w:t>
      </w:r>
    </w:p>
    <w:p>
      <w:pPr>
        <w:spacing w:after="0" w:line="1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Revenues from License and R&amp;D Services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recorded revenues from license and R&amp;D services of $0.2 million for the six months ended June 30, 2024, a decrease of</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$24.3 million, or 99%, compared to revenues of $24.5 million for the six months ended June 30, 2023. Revenues from license and R&amp;D services are comprised primarily of revenues we recognized in connection with the Chiesi Agreements. The revenues from license and R&amp;D services for the six months ended June 30, 2023 included the $20.0 million regulatory milestone payment from Chiesi in connection with the FDA approval of Elfabrio granted during that period. The remaining decrease resulted from the completion of our revenue-generating research and development obligations with respect to Elfabrio and, as Elfabrio was approved in the United States and the European Union in May 2023, from the completion of the regulatory processes related to the review of the BLA and the MAA for Elfabrio by the FDA and EMA, respectively.</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18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Cost of goods sold was $12.1 million for the six months ended June 30, 2024, an increase of $2.9 million, or 32%, from cost of goods sold of $9.2 million for the six months ended June 30, 2023. The increase in cost of goods sold was primarily the result of the increase in sales to Pfizer and to Brazil. In addition, during the six months ended June 30, 2023 a significantly higher portion of the costs for certain drug substance sold, as compared to the six months ended June 30, 2024, were recognized as research and development expenses, not cost of goods sold, as such drug substance was produced as part of our research and development activities.</w:t>
      </w:r>
    </w:p>
    <w:p>
      <w:pPr>
        <w:spacing w:after="0" w:line="14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00" w:lineRule="exact"/>
        <w:rPr>
          <w:sz w:val="20"/>
          <w:szCs w:val="20"/>
          <w:color w:val="auto"/>
        </w:rPr>
      </w:pPr>
    </w:p>
    <w:p>
      <w:pPr>
        <w:ind w:right="500"/>
        <w:spacing w:after="0" w:line="256" w:lineRule="auto"/>
        <w:rPr>
          <w:sz w:val="20"/>
          <w:szCs w:val="20"/>
          <w:color w:val="auto"/>
        </w:rPr>
      </w:pPr>
      <w:r>
        <w:rPr>
          <w:rFonts w:ascii="Times New Roman" w:cs="Times New Roman" w:eastAsia="Times New Roman" w:hAnsi="Times New Roman"/>
          <w:sz w:val="18"/>
          <w:szCs w:val="18"/>
          <w:color w:val="auto"/>
        </w:rPr>
        <w:t>For the six months ended June 30, 2024, our total research and development expenses were approximately $5.8 million comprised of approximately $1.0 million in subcontractor-related expenses, approximately $3.2 million of salary and related expenses, approximately $0.3 million of materials-related expenses and approximately $1.3 million of other expenses. For the six months ended June 30, 2023, our total research and development expenses were approximately $10.3 million comprised of approximately $5.2 million of subcontractor-related expenses, approximately $3.6 million of salary and related expenses, approximately $0.3 million of materials-related expenses and approximately $1.2 million of other expenses.</w:t>
      </w:r>
    </w:p>
    <w:p>
      <w:pPr>
        <w:spacing w:after="0" w:line="187"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Total decrease in research and developments expenses for the six months ended June 30, 2024 was $4.5 million, or 44%, compared to the six months ended June 30, 2023. The decrease in research and development expenses resulted primarily from the completion of our Fabry clinical program and the regulatory processes related to the BLA and MAA review of Elfabrio by the applicable regulatory agencies.</w:t>
      </w:r>
    </w:p>
    <w:p>
      <w:pPr>
        <w:spacing w:after="0" w:line="18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expect to continue to incur significant, increasing research and development expenses as we enter into a more advanced stage of preclinical and clinical trials for certain of our product candidates.</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were $6.6 million for the six months ended June 30, 2024, a decrease of $0.5 million, or 7%, compared to $7.1 million for the six months ended June 30, 2023. The decrease resulted primarily from a decrease of $0.9 million in professional fees which was partially offset by a $0.4 million increase in selling and marketing costs.</w:t>
      </w:r>
    </w:p>
    <w:p>
      <w:pPr>
        <w:spacing w:after="0" w:line="1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Financial Income, Net</w:t>
      </w:r>
    </w:p>
    <w:p>
      <w:pPr>
        <w:spacing w:after="0" w:line="20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Financial income, net were $0.3 million for the six months ended June 30, 2024, compared to financial expenses, net of $1.3 million for the six months ended June 30, 2023. The difference resulted primarily from higher interest income on bank deposits and lower notes interest expenses due to notes conversions executed in 2023.</w:t>
      </w:r>
    </w:p>
    <w:p>
      <w:pPr>
        <w:sectPr>
          <w:pgSz w:w="11900" w:h="16838" w:orient="portrait"/>
          <w:cols w:equalWidth="0" w:num="1">
            <w:col w:w="9880"/>
          </w:cols>
          <w:pgMar w:left="980" w:top="661" w:right="1039" w:bottom="1440" w:gutter="0" w:footer="0" w:header="0"/>
        </w:sectPr>
      </w:pPr>
    </w:p>
    <w:p>
      <w:pPr>
        <w:spacing w:after="0" w:line="1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six months ended June 30, 2024, we recorded a tax benefit of approximately $0.2 million, compared to income taxes of</w:t>
      </w:r>
    </w:p>
    <w:p>
      <w:pPr>
        <w:spacing w:after="0" w:line="27"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$0.5 million for the six months ended June 30, 2023. Income taxes recorded are primarily the result of the provision for current taxes in respect of Section 174 of the TCJA.</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sources of liquidity include our cash and cash equivalents balances and short term bank deposits. At June 30, 2024, we had</w:t>
      </w:r>
    </w:p>
    <w:p>
      <w:pPr>
        <w:spacing w:after="0" w:line="27"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$45.0 million in cash and cash equivalents and short term bank deposits. We have primarily financed our operations through equity and debt financings, business collaborations, grants funding and revenues from selling goods.</w:t>
      </w:r>
    </w:p>
    <w:p>
      <w:pPr>
        <w:spacing w:after="0" w:line="14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we raised gross proceeds equal to approximately $24.9 million from the sale of 12,560,150 shares of our common stock under our ATM program. All such sales were completed during the quarters ended March 31, 2023 and June 30, 2023. No sales under our ATM program have been completed since the quarter ended June 30, 2023.</w:t>
      </w:r>
    </w:p>
    <w:p>
      <w:pPr>
        <w:spacing w:after="0" w:line="14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August 25, 2021, we completed exchanges, or the Exchanges, with institutional note holders of a substantial majority of the then outstanding 7.50% Senior Secured Convertible Notes due 2021, or the 2021 Notes. The Exchanges involved the exchange of an aggregate of $54.65 million principal amount of 2021 Notes for an aggregate of $28.75 million principal amount of newly issued 2024 Notes, $25.90 million in cash and approximately $1.1 million in cash representing accrued and unpaid interest through the closing date. The initial conversion rate of the 2024 Notes is 563.2216 shares of our common stock per $1,000 principal amount of 2024 Notes, which is equivalent to an initial conversion price of approximately $1.7755 per share of common stock, subject to adjustment in certain circumstances. This initial conversion price represents a premium of approximately 32.5% relative to the closing price of the common stock on the NYSE American on August 13, 2021. After giving effect to the Exchanges, $3.27 million aggregate principal amount of the 2021 Notes remained outstanding. On November 15, 2021, all of the then outstanding 2021 Notes matured and were paid in full.</w:t>
      </w:r>
    </w:p>
    <w:p>
      <w:pPr>
        <w:spacing w:after="0" w:line="14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2024 Notes were issued pursuant to the 2024 Indenture which was entered into between us, the guarantors party thereto, The Bank of New York Mellon Trust Company, N.A., as trustee and Wilmington Savings Fund Society, FSB, as collateral agent. Interest on the 2024 Notes are payable semi-annually at a rate of 7.50% per annum. The 2024 Notes will mature three years after the issuance thereof, unless earlier purchased, converted, exchanged or redeemed and will be guaranteed by our subsidiaries. The 2024 Notes are secured by perfected liens on all of our assets, including those of our subsidiaries.</w:t>
      </w:r>
    </w:p>
    <w:p>
      <w:pPr>
        <w:spacing w:after="0" w:line="143"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We except to satisfy the outstanding principal and interest accrued under the 2024 Notes with a cash payment prior to the September 1, 2024 maturity date. We believe that our cash, cash equivalents and short term bank deposits as of June 30, 2024 are sufficient to satisfy our capital needs for at least 12 months from the date that these financial statements are issued, including the maturity payment for the 2024 Notes.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Net cash provided by operations was $0.6 million for the six months ended June 30, 2024. The net loss for the six months ended June 30, 2024 of $6.8 million was increased by a $1.7 million increase in inventories, a $5.3 million increase in accounts receivable-trade and other assets and $1.0 million of financial income, net, and was offset by a $12.7 million increase in contracts liability and $2.0 million in share-based compensation. Net cash used in investing activities for the six months ended June 30, 2024 was $0.8 million and consisted primarily of the purchase of property and equipment.</w:t>
      </w:r>
    </w:p>
    <w:p>
      <w:pPr>
        <w:spacing w:after="0" w:line="14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Net cash generated from operations was $2.0 million for the six months ended June 30, 2023. The net income for the six months ended June 30, 2023 of $16.2 million was decreased by a $13.2 million decrease in contracts liability, a $3.1 million increase in deferred tax assets and a $2.8 million increase in inventories. The net income was increased by a $3.6 million increase in accounts payable and accruals, $1.0 million in share-based compensation and $0.6 million in depreciation. Net cash provided by investing activities for the six months ended June 30, 2023 was $4.5 million and consisted primarily of proceeds from sale of short-term deposits. Net cash provided by financing activities was $24.7 million resulting primarily from the sale of common stock under our ATM program.</w:t>
      </w:r>
    </w:p>
    <w:p>
      <w:pPr>
        <w:spacing w:after="0" w:line="16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of June 30, 2024, the total principal amount of our 2024 Notes (due on September 1, 2024) outstanding was $20.42 million, and 2020 Warrants to purchase 13,439,712 shares were outstanding.</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Funding Requirements</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Since our inception, we have incurred significant research and development expenditures which have not been offset by revenues. We have not generated significant revenues from sales of Elelyso, and commercial sales of Elfabrio only commenced in the middle of 2023. We have generated operating losses from our continuing operations since our inception although the revenues generated in the year ended December 31, 2023 exceeded our expenditures for the same period.</w:t>
      </w:r>
    </w:p>
    <w:p>
      <w:pPr>
        <w:spacing w:after="0" w:line="15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Under the terms of the 2024 Indenture, we are required to comply with </w:t>
      </w:r>
      <w:r>
        <w:rPr>
          <w:rFonts w:ascii="Times New Roman" w:cs="Times New Roman" w:eastAsia="Times New Roman" w:hAnsi="Times New Roman"/>
          <w:sz w:val="18"/>
          <w:szCs w:val="18"/>
          <w:color w:val="222222"/>
        </w:rPr>
        <w:t>certain covenants, including the requirement to</w:t>
      </w:r>
      <w:r>
        <w:rPr>
          <w:rFonts w:ascii="Times New Roman" w:cs="Times New Roman" w:eastAsia="Times New Roman" w:hAnsi="Times New Roman"/>
          <w:sz w:val="18"/>
          <w:szCs w:val="18"/>
          <w:color w:val="auto"/>
        </w:rPr>
        <w:t xml:space="preserve"> maintain a minimum cash balance of at least $7.5 million. Failure to comply with such covenants may result in an event of default under the 2024 Indenture and, accordingly, may result in the acceleration of the payment of the notes or in additional interest payments. As of June 30, 2024, we were in compliance with all covenants.</w:t>
      </w:r>
    </w:p>
    <w:p>
      <w:pPr>
        <w:spacing w:after="0" w:line="13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we increase our research and developments efforts with respect to our current and future product candidates, we expect to continue to incur significant expenditures. We cannot anticipate the costs or the timing of the occurrence of such costs. Although we expect the revenues generated from the sales of Elfabrio and Elelyso will increase, such revenues may not be sufficient to fund the expenditures. To the extent we need to obtain additional financing in excess of such anticipated revenues, it may be difficult for us to do so given the volatility of the price of our common stock. Our material cash needs for the next 24 months will include, among other expenses, (i) costs of preclinical and clinical trials, (ii) employee salaries, (iii) payments for rent and operation of our manufacturing facilities, (iv) fees to our consultants and legal advisors, patent advisors and fees for service providers in connection with our research and development efforts, (v) payments of principal and interest on our outstanding 2024 Notes and (vi) tax payments. We believe that our cash, cash equivalents and short term bank deposits as of June 30, 2024 are sufficient to satisfy our capital needs for at least 12 months from the date that these financial statements are issued, including the maturity payment for the 2024 Notes.</w:t>
      </w:r>
    </w:p>
    <w:p>
      <w:pPr>
        <w:spacing w:after="0" w:line="154"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As discussed above, we may be required to raise additional capital to develop our product candidates and continue research and development activities. Our ability to raise capital, and the amounts of necessary capital, will depend on many other factors, including:</w:t>
      </w:r>
    </w:p>
    <w:p>
      <w:pPr>
        <w:spacing w:after="0" w:line="113" w:lineRule="exact"/>
        <w:rPr>
          <w:sz w:val="20"/>
          <w:szCs w:val="20"/>
          <w:color w:val="auto"/>
        </w:rPr>
      </w:pPr>
    </w:p>
    <w:p>
      <w:pPr>
        <w:ind w:left="1000" w:right="300" w:hanging="317"/>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and cost of discovery and preclinical development and laboratory testing and clinical trials for our product candidates;</w:t>
      </w:r>
    </w:p>
    <w:p>
      <w:pPr>
        <w:spacing w:after="0" w:line="12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Chiesi’s progress in commercializing Elfabrio;</w:t>
      </w:r>
    </w:p>
    <w:p>
      <w:pPr>
        <w:spacing w:after="0" w:line="18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progress in commercializing BioManguinhos alfataliglicerase in Brazil;</w:t>
      </w:r>
    </w:p>
    <w:p>
      <w:pPr>
        <w:spacing w:after="0" w:line="19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outcome of regulatory review of our product candidates;</w:t>
      </w:r>
    </w:p>
    <w:p>
      <w:pPr>
        <w:spacing w:after="0" w:line="184" w:lineRule="exact"/>
        <w:rPr>
          <w:rFonts w:ascii="Times New Roman" w:cs="Times New Roman" w:eastAsia="Times New Roman" w:hAnsi="Times New Roman"/>
          <w:sz w:val="18"/>
          <w:szCs w:val="18"/>
          <w:color w:val="auto"/>
        </w:rPr>
      </w:pPr>
    </w:p>
    <w:p>
      <w:pPr>
        <w:ind w:left="1000" w:right="700" w:hanging="317"/>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maintaining, defending and enforcing patent claims and other intellectual property rights; and</w:t>
      </w:r>
    </w:p>
    <w:p>
      <w:pPr>
        <w:spacing w:after="0" w:line="12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any litigation claims.</w:t>
      </w:r>
    </w:p>
    <w:p>
      <w:pPr>
        <w:spacing w:after="0" w:line="19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expect to finance our future cash needs through sales of Elfabrio and Elelyso, corporate collaborations, licensing or similar arrangements, public or private equity offerings and/or debt financings. We currently do not have any commitments for future external funding, except with respect to the milestone payments that may become payable under the Chiesi Agreements. On February 27, 2023, we entered into the 2023 Sales Agreement pursuant to which we may sell from time to time through the Agent ATM Shares having an aggregate offering price of up to $20.0 million as we had then completed the ATM program under the 2021 Sales Agreement. As of June 30, 2024, shares of our common stock for total gross proceeds of approximately $6.4 million remain available to be sold under the 2023 Sales Agreement.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Currency Fluctuations</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Currency fluctuations could affect us through increased or decreased acquisition costs for certain goods and services and salaries expenses. We do not believe currency fluctuations have had a material effect on our results of operations during the three and six months ended June 30, 2024.</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 off-balance sheet arrangements as of each of June 30, 2024 and December 31, 2023.</w:t>
      </w:r>
    </w:p>
    <w:p>
      <w:pPr>
        <w:sectPr>
          <w:pgSz w:w="11900" w:h="16838" w:orient="portrait"/>
          <w:cols w:equalWidth="0" w:num="1">
            <w:col w:w="9860"/>
          </w:cols>
          <w:pgMar w:left="980" w:top="661" w:right="1059" w:bottom="1440" w:gutter="0" w:footer="0" w:header="0"/>
        </w:sectPr>
      </w:pP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4660"/>
        <w:spacing w:after="0" w:line="417" w:lineRule="auto"/>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 Currency Exchange Risk</w:t>
      </w:r>
    </w:p>
    <w:p>
      <w:pPr>
        <w:ind w:right="200"/>
        <w:spacing w:after="0" w:line="256" w:lineRule="auto"/>
        <w:rPr>
          <w:sz w:val="20"/>
          <w:szCs w:val="20"/>
          <w:color w:val="auto"/>
        </w:rPr>
      </w:pPr>
      <w:r>
        <w:rPr>
          <w:rFonts w:ascii="Times New Roman" w:cs="Times New Roman" w:eastAsia="Times New Roman" w:hAnsi="Times New Roman"/>
          <w:sz w:val="18"/>
          <w:szCs w:val="18"/>
          <w:color w:val="auto"/>
        </w:rPr>
        <w:t>The currency of the primary economic environment in which our operations are conducted is the U.S. dollar. Most of our revenues and more than 50% of our expenses and capital expenditures are and were incurred in dollars, and a significant source of our financing has been provided in U.S. dollars. Since the dollar is the functional currency, monetary items maintained in currencies other than the dollar are remeasured using the rate of exchange in effect at the balance sheet dates and non-monetary items are remeasured at historical exchange rates. Revenue and expense items are remeasured at the average rate of exchange in effect during the period in which they occur. Foreign currency translation gains or losses are recognized in the statement of operations.</w:t>
      </w:r>
    </w:p>
    <w:p>
      <w:pPr>
        <w:spacing w:after="0" w:line="12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Approximately 44% of our costs, including salaries, expenses and office expenses, are incurred in NIS. Inflation in Israel may have the effect of increasing the U.S. dollar cost of our operations in Israel. If the U.S. dollar declines in value in relation to the NIS, it will become more expensive for us to fund our operations in Israel. A revaluation of 1% of the NIS will affect our loss before tax by less than 1%. The exchange rate of the U.S. dollar to the NIS, based on exchange rates published by the Bank of Israel, was as follows:</w:t>
      </w:r>
    </w:p>
    <w:p>
      <w:pPr>
        <w:spacing w:after="0" w:line="119"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940" w:type="dxa"/>
            <w:vAlign w:val="bottom"/>
          </w:tcPr>
          <w:p>
            <w:pPr>
              <w:spacing w:after="0"/>
              <w:rPr>
                <w:sz w:val="15"/>
                <w:szCs w:val="15"/>
                <w:color w:val="auto"/>
              </w:rPr>
            </w:pPr>
          </w:p>
        </w:tc>
        <w:tc>
          <w:tcPr>
            <w:tcW w:w="14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4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1360" w:type="dxa"/>
            <w:vAlign w:val="bottom"/>
            <w:tcBorders>
              <w:top w:val="single" w:sz="8" w:color="auto"/>
            </w:tcBorders>
            <w:gridSpan w:val="3"/>
          </w:tcPr>
          <w:p>
            <w:pPr>
              <w:jc w:val="right"/>
              <w:ind w:right="376"/>
              <w:spacing w:after="0" w:line="142"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2"/>
                <w:szCs w:val="12"/>
                <w:color w:val="auto"/>
              </w:rPr>
            </w:pPr>
          </w:p>
        </w:tc>
        <w:tc>
          <w:tcPr>
            <w:tcW w:w="1380" w:type="dxa"/>
            <w:vAlign w:val="bottom"/>
            <w:tcBorders>
              <w:top w:val="single" w:sz="8" w:color="auto"/>
            </w:tcBorders>
            <w:gridSpan w:val="3"/>
          </w:tcPr>
          <w:p>
            <w:pPr>
              <w:ind w:left="420"/>
              <w:spacing w:after="0" w:line="142"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4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8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0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rate for period</w:t>
            </w: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3.725</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3.648</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3.694</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3.687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Rate at period-end</w:t>
            </w: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3.759</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100" w:type="dxa"/>
            <w:vAlign w:val="bottom"/>
          </w:tcPr>
          <w:p>
            <w:pPr>
              <w:spacing w:after="0"/>
              <w:rPr>
                <w:sz w:val="20"/>
                <w:szCs w:val="20"/>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3.759</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160" w:type="dxa"/>
            <w:vAlign w:val="bottom"/>
          </w:tcPr>
          <w:p>
            <w:pPr>
              <w:spacing w:after="0"/>
              <w:rPr>
                <w:sz w:val="20"/>
                <w:szCs w:val="20"/>
                <w:color w:val="auto"/>
              </w:rPr>
            </w:pPr>
          </w:p>
        </w:tc>
        <w:tc>
          <w:tcPr>
            <w:tcW w:w="900" w:type="dxa"/>
            <w:vAlign w:val="bottom"/>
          </w:tcPr>
          <w:p>
            <w:pPr>
              <w:jc w:val="right"/>
              <w:ind w:right="159"/>
              <w:spacing w:after="0"/>
              <w:rPr>
                <w:sz w:val="20"/>
                <w:szCs w:val="20"/>
                <w:color w:val="auto"/>
              </w:rPr>
            </w:pPr>
            <w:r>
              <w:rPr>
                <w:rFonts w:ascii="Times New Roman" w:cs="Times New Roman" w:eastAsia="Times New Roman" w:hAnsi="Times New Roman"/>
                <w:sz w:val="18"/>
                <w:szCs w:val="18"/>
                <w:color w:val="auto"/>
              </w:rPr>
              <w:t>3.627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To date, we have not engaged in hedging transactions. In the future, we may enter into currency hedging transactions to decrease the risk of financial exposure from fluctuations in the exchange rate of the U.S. dollar against the NIS. These measures, however, may not adequately protect us from material adverse effects due to the impact of inflation in Israel.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conducted an evaluation of the effectiveness of the design and operation of our disclosure controls and procedures as of the end of the period covered by this Quarterly Report on Form 10-Q. The evaluation was conducted under the supervision and with the participation of management, including our Chief Executive Officer and Chief Financial Officer. Disclosure controls and procedures are controls and procedures designed to reasonably assure that information required to be disclosed in our reports filed under the Exchange Act, such as this Quarterly Report on Form 10-Q, is recorded, processed, summarized and reported within the time periods specified in the Commission’s rules and forms. Disclosure controls and procedures are also designed to reasonably assure that such information is accumulated and communicated to our management, including the Chief Executive Officer and Chief Financial Officer, as appropriate to allow timely decisions regarding required disclosure.</w:t>
      </w:r>
    </w:p>
    <w:p>
      <w:pPr>
        <w:spacing w:after="0" w:line="124"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Based on the evaluation, our Chief Executive Officer and Chief Financial Officer have concluded that, as of the end of the period covered by this Quarterly Report on Form 10-Q, our disclosure controls and procedures were effective to provide reasonable assurance that information required to be disclosed in our Exchange Act reports is recorded, processed, summarized and reported within the time periods specified by the Commission, and that material information relating to our company and our consolidated subsidiary is made known to management, including the Chief Executive Officer and Chief Financial Officer, particularly during the period when our periodic reports are being prepared.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16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our internal control over financial reporting will prevent or detect all error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a company have been detected.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4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the quarter ended June 30, 2024 that have materially affected, or that are reasonably likely to materially affect, our internal control over financial reporting.</w:t>
      </w:r>
    </w:p>
    <w:p>
      <w:pPr>
        <w:sectPr>
          <w:pgSz w:w="11900" w:h="16838" w:orient="portrait"/>
          <w:cols w:equalWidth="0" w:num="1">
            <w:col w:w="9920"/>
          </w:cols>
          <w:pgMar w:left="980" w:top="661" w:right="999" w:bottom="1440" w:gutter="0" w:footer="0" w:header="0"/>
        </w:sectPr>
      </w:pP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involved in any material legal proceedings.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Except as set forth below, there have been no material changes to the risk factors previously disclosed in our Annual Report on Form 10-K for the year ended December 31, 2023.</w:t>
      </w:r>
    </w:p>
    <w:p>
      <w:pPr>
        <w:spacing w:after="0" w:line="11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Significant parts of our operations are located in Israel and, therefore, our results may be adversely affected by current political, economic and military conditions in Israel.</w:t>
      </w:r>
    </w:p>
    <w:p>
      <w:pPr>
        <w:spacing w:after="0" w:line="11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October 2023, terrorists from the Hamas organization infiltrated Israel’s southern border from the Gaza Strip and in other areas within the State of Israel attacking a number of civilian and military targets while simultaneously launching extensive rocket attacks on the Israeli population and industrial centers. At the same time, clashes between Israel and Hezbollah in Lebanon increased. In response, Israel’s security cabinet declared war against the Hamas and a military campaign against these terrorist organizations commenced in parallel to their continued rocket, drone and terror attacks. Since the outbreak of the war, other regional actors, including Iran, have taken military action against Israel. It is currently not possible to predict the duration or severity of the ongoing conflict or its effects on our business, results of operations and financial condition. To date, our operations have not been adversely affected by this situation. Hostilities have not taken place where our facilities are located, nor have rockets or drones struck near our facilities. We do not anticipate any disruption to the supply of Elfabrio or Elelyso. However, our facilities are in range of certain of the rockets and drones originating from Lebanon and elsewhere. Any damage to our facilities or disruption of supplies as a result of war or other hostile action may have a material adverse effect on our business, results of operations and financial condition. Further, the potential for the war between Israel and Hamas to lead to a broader conflict in the Middle East may adversely affect geopolitical stability, the global economy and specific markets.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During the quarter ended June 30, 2024, none of our directors or officers adopted or terminated a Rule 10b5-1 trading arrangement or non-Rule 10b5-1 trading arrangement (as such terms are defined in Item 408 of Regulation S-K).</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3840" w:type="dxa"/>
            <w:vAlign w:val="bottom"/>
            <w:gridSpan w:val="9"/>
          </w:tcPr>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6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1"/>
        </w:trPr>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80" w:type="dxa"/>
            <w:vAlign w:val="bottom"/>
            <w:gridSpan w:val="3"/>
          </w:tcPr>
          <w:p>
            <w:pPr>
              <w:jc w:val="center"/>
              <w:ind w:right="534"/>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6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60" w:type="dxa"/>
            <w:vAlign w:val="bottom"/>
            <w:gridSpan w:val="6"/>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640" w:type="dxa"/>
            <w:vAlign w:val="bottom"/>
            <w:vMerge w:val="restart"/>
          </w:tcPr>
          <w:p>
            <w:pPr>
              <w:jc w:val="center"/>
              <w:ind w:left="14"/>
              <w:spacing w:after="0"/>
              <w:rPr>
                <w:sz w:val="20"/>
                <w:szCs w:val="20"/>
                <w:color w:val="auto"/>
              </w:rPr>
            </w:pPr>
            <w:r>
              <w:rPr>
                <w:rFonts w:ascii="Times New Roman" w:cs="Times New Roman" w:eastAsia="Times New Roman" w:hAnsi="Times New Roman"/>
                <w:sz w:val="14"/>
                <w:szCs w:val="14"/>
                <w:b w:val="1"/>
                <w:bCs w:val="1"/>
                <w:color w:val="auto"/>
              </w:rPr>
              <w:t>Form</w:t>
            </w:r>
          </w:p>
        </w:tc>
        <w:tc>
          <w:tcPr>
            <w:tcW w:w="980" w:type="dxa"/>
            <w:vAlign w:val="bottom"/>
            <w:vMerge w:val="restart"/>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4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Filed or Furnished</w:t>
            </w:r>
          </w:p>
        </w:tc>
        <w:tc>
          <w:tcPr>
            <w:tcW w:w="0" w:type="dxa"/>
            <w:vAlign w:val="bottom"/>
          </w:tcPr>
          <w:p>
            <w:pPr>
              <w:spacing w:after="0"/>
              <w:rPr>
                <w:sz w:val="1"/>
                <w:szCs w:val="1"/>
                <w:color w:val="auto"/>
              </w:rPr>
            </w:pPr>
          </w:p>
        </w:tc>
      </w:tr>
      <w:tr>
        <w:trPr>
          <w:trHeight w:val="190"/>
        </w:trPr>
        <w:tc>
          <w:tcPr>
            <w:tcW w:w="6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60" w:type="dxa"/>
            <w:vAlign w:val="bottom"/>
            <w:gridSpan w:val="6"/>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124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213"/>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18"/>
                <w:szCs w:val="18"/>
                <w:color w:val="auto"/>
              </w:rPr>
            </w:pPr>
          </w:p>
        </w:tc>
        <w:tc>
          <w:tcPr>
            <w:tcW w:w="3620" w:type="dxa"/>
            <w:vAlign w:val="bottom"/>
            <w:gridSpan w:val="8"/>
          </w:tcPr>
          <w:p>
            <w:pPr>
              <w:spacing w:after="0"/>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Certificate of Incorporation of the Company</w:t>
              </w:r>
            </w:hyperlink>
          </w:p>
        </w:tc>
        <w:tc>
          <w:tcPr>
            <w:tcW w:w="162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8-K   001-33357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1, 2016</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21"/>
                <w:szCs w:val="21"/>
                <w:color w:val="auto"/>
              </w:rPr>
            </w:pPr>
          </w:p>
        </w:tc>
        <w:tc>
          <w:tcPr>
            <w:tcW w:w="3620" w:type="dxa"/>
            <w:vAlign w:val="bottom"/>
            <w:gridSpan w:val="8"/>
          </w:tcPr>
          <w:p>
            <w:pPr>
              <w:spacing w:after="0"/>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Amendment to Certificate of Incorporation of the</w:t>
              </w:r>
            </w:hyperlink>
          </w:p>
        </w:tc>
        <w:tc>
          <w:tcPr>
            <w:tcW w:w="162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Def 14A 001-33357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Appen. A</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1, 2016</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6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Company</w:t>
              </w:r>
            </w:hyperlink>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21"/>
                <w:szCs w:val="21"/>
                <w:color w:val="auto"/>
              </w:rPr>
            </w:pPr>
          </w:p>
        </w:tc>
        <w:tc>
          <w:tcPr>
            <w:tcW w:w="266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53">
              <w:r>
                <w:rPr>
                  <w:rFonts w:ascii="Times New Roman" w:cs="Times New Roman" w:eastAsia="Times New Roman" w:hAnsi="Times New Roman"/>
                  <w:sz w:val="18"/>
                  <w:szCs w:val="18"/>
                  <w:color w:val="0000EE"/>
                  <w:w w:val="99"/>
                </w:rPr>
                <w:t>Second Amendment to Certificate of</w:t>
              </w:r>
            </w:hyperlink>
          </w:p>
        </w:tc>
        <w:tc>
          <w:tcPr>
            <w:tcW w:w="960" w:type="dxa"/>
            <w:vAlign w:val="bottom"/>
            <w:gridSpan w:val="4"/>
          </w:tcPr>
          <w:p>
            <w:pPr>
              <w:spacing w:after="0"/>
              <w:rPr>
                <w:sz w:val="21"/>
                <w:szCs w:val="21"/>
                <w:color w:val="auto"/>
              </w:rPr>
            </w:pPr>
          </w:p>
        </w:tc>
        <w:tc>
          <w:tcPr>
            <w:tcW w:w="162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Def 14A 001-33357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Appen. A</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17, 2018</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20" w:type="dxa"/>
            <w:vAlign w:val="bottom"/>
            <w:gridSpan w:val="8"/>
          </w:tcPr>
          <w:p>
            <w:pPr>
              <w:spacing w:after="0" w:line="19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Incorporation of the Company</w:t>
              </w:r>
            </w:hyperlink>
          </w:p>
        </w:tc>
        <w:tc>
          <w:tcPr>
            <w:tcW w:w="6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spacing w:after="0"/>
              <w:rPr>
                <w:sz w:val="21"/>
                <w:szCs w:val="21"/>
                <w:color w:val="auto"/>
              </w:rPr>
            </w:pPr>
          </w:p>
        </w:tc>
        <w:tc>
          <w:tcPr>
            <w:tcW w:w="3620" w:type="dxa"/>
            <w:vAlign w:val="bottom"/>
            <w:gridSpan w:val="8"/>
          </w:tcPr>
          <w:p>
            <w:pPr>
              <w:spacing w:after="0"/>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Third Amendment to Certificate of Incorporation</w:t>
              </w:r>
            </w:hyperlink>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001-33357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19, 2019</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4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of the Company</w:t>
              </w:r>
            </w:hyperlink>
          </w:p>
        </w:tc>
        <w:tc>
          <w:tcPr>
            <w:tcW w:w="80" w:type="dxa"/>
            <w:vAlign w:val="bottom"/>
            <w:gridSpan w:val="2"/>
          </w:tcPr>
          <w:p>
            <w:pPr>
              <w:spacing w:after="0"/>
              <w:rPr>
                <w:sz w:val="17"/>
                <w:szCs w:val="17"/>
                <w:color w:val="auto"/>
              </w:rPr>
            </w:pPr>
          </w:p>
        </w:tc>
        <w:tc>
          <w:tcPr>
            <w:tcW w:w="6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ectPr>
          <w:pgSz w:w="11900" w:h="16838" w:orient="portrait"/>
          <w:cols w:equalWidth="0" w:num="1">
            <w:col w:w="9880"/>
          </w:cols>
          <w:pgMar w:left="980" w:top="661" w:right="1039" w:bottom="1440" w:gutter="0" w:footer="0" w:header="0"/>
        </w:sect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type w:val="continuous"/>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45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5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73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3720" w:type="dxa"/>
            <w:vAlign w:val="bottom"/>
            <w:gridSpan w:val="24"/>
          </w:tcPr>
          <w:p>
            <w:pPr>
              <w:spacing w:after="0"/>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Fourth Amendment to Certificate of Incorporation</w:t>
              </w:r>
            </w:hyperlink>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001-33357</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3.5</w:t>
            </w:r>
          </w:p>
        </w:tc>
        <w:tc>
          <w:tcPr>
            <w:tcW w:w="240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rPr>
              <w:t>August 15, 2022</w:t>
            </w:r>
          </w:p>
        </w:tc>
      </w:tr>
      <w:tr>
        <w:trPr>
          <w:trHeight w:val="196"/>
        </w:trPr>
        <w:tc>
          <w:tcPr>
            <w:tcW w:w="840" w:type="dxa"/>
            <w:vAlign w:val="bottom"/>
          </w:tcPr>
          <w:p>
            <w:pPr>
              <w:spacing w:after="0"/>
              <w:rPr>
                <w:sz w:val="17"/>
                <w:szCs w:val="17"/>
                <w:color w:val="auto"/>
              </w:rPr>
            </w:pPr>
          </w:p>
        </w:tc>
        <w:tc>
          <w:tcPr>
            <w:tcW w:w="362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of the Company</w:t>
              </w:r>
            </w:hyperlink>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352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Fifth Amendment to Certificate of Incorporation</w:t>
              </w:r>
            </w:hyperlink>
          </w:p>
        </w:tc>
        <w:tc>
          <w:tcPr>
            <w:tcW w:w="200" w:type="dxa"/>
            <w:vAlign w:val="bottom"/>
            <w:gridSpan w:val="4"/>
          </w:tcPr>
          <w:p>
            <w:pPr>
              <w:spacing w:after="0"/>
              <w:rPr>
                <w:sz w:val="21"/>
                <w:szCs w:val="2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001-33357</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3.6</w:t>
            </w:r>
          </w:p>
        </w:tc>
        <w:tc>
          <w:tcPr>
            <w:tcW w:w="240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9"/>
              </w:rPr>
              <w:t>August 7, 2023</w:t>
            </w:r>
          </w:p>
        </w:tc>
      </w:tr>
      <w:tr>
        <w:trPr>
          <w:trHeight w:val="196"/>
        </w:trPr>
        <w:tc>
          <w:tcPr>
            <w:tcW w:w="840" w:type="dxa"/>
            <w:vAlign w:val="bottom"/>
          </w:tcPr>
          <w:p>
            <w:pPr>
              <w:spacing w:after="0"/>
              <w:rPr>
                <w:sz w:val="17"/>
                <w:szCs w:val="17"/>
                <w:color w:val="auto"/>
              </w:rPr>
            </w:pPr>
          </w:p>
        </w:tc>
        <w:tc>
          <w:tcPr>
            <w:tcW w:w="3720" w:type="dxa"/>
            <w:vAlign w:val="bottom"/>
            <w:gridSpan w:val="24"/>
          </w:tcPr>
          <w:p>
            <w:pPr>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of the Company</w:t>
              </w:r>
            </w:hyperlink>
          </w:p>
        </w:tc>
        <w:tc>
          <w:tcPr>
            <w:tcW w:w="5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3.7</w:t>
            </w:r>
          </w:p>
        </w:tc>
        <w:tc>
          <w:tcPr>
            <w:tcW w:w="3720" w:type="dxa"/>
            <w:vAlign w:val="bottom"/>
            <w:gridSpan w:val="24"/>
          </w:tcPr>
          <w:p>
            <w:pPr>
              <w:spacing w:after="0"/>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Bylaws of the Company</w:t>
              </w:r>
            </w:hyperlink>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001-33357</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240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April 1, 2016</w:t>
            </w:r>
          </w:p>
        </w:tc>
      </w:tr>
      <w:tr>
        <w:trPr>
          <w:trHeight w:val="20"/>
        </w:trPr>
        <w:tc>
          <w:tcPr>
            <w:tcW w:w="840" w:type="dxa"/>
            <w:vAlign w:val="bottom"/>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32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59">
              <w:r>
                <w:rPr>
                  <w:rFonts w:ascii="Times New Roman" w:cs="Times New Roman" w:eastAsia="Times New Roman" w:hAnsi="Times New Roman"/>
                  <w:sz w:val="18"/>
                  <w:szCs w:val="18"/>
                  <w:color w:val="0000EE"/>
                  <w:w w:val="99"/>
                </w:rPr>
                <w:t>Form of Restricted Stock Agreement/Notice</w:t>
              </w:r>
            </w:hyperlink>
          </w:p>
        </w:tc>
        <w:tc>
          <w:tcPr>
            <w:tcW w:w="520" w:type="dxa"/>
            <w:vAlign w:val="bottom"/>
            <w:gridSpan w:val="13"/>
          </w:tcPr>
          <w:p>
            <w:pPr>
              <w:spacing w:after="0"/>
              <w:rPr>
                <w:sz w:val="21"/>
                <w:szCs w:val="2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001-33357</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240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8"/>
              </w:rPr>
              <w:t>July 18, 2012</w:t>
            </w: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206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60">
              <w:r>
                <w:rPr>
                  <w:rFonts w:ascii="Times New Roman" w:cs="Times New Roman" w:eastAsia="Times New Roman" w:hAnsi="Times New Roman"/>
                  <w:sz w:val="18"/>
                  <w:szCs w:val="18"/>
                  <w:color w:val="0000EE"/>
                  <w:w w:val="99"/>
                </w:rPr>
                <w:t>Description of Capital Stock</w:t>
              </w:r>
            </w:hyperlink>
          </w:p>
        </w:tc>
        <w:tc>
          <w:tcPr>
            <w:tcW w:w="1660" w:type="dxa"/>
            <w:vAlign w:val="bottom"/>
            <w:gridSpan w:val="19"/>
          </w:tcPr>
          <w:p>
            <w:pPr>
              <w:spacing w:after="0"/>
              <w:rPr>
                <w:sz w:val="21"/>
                <w:szCs w:val="2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001-33357</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4.7</w:t>
            </w:r>
          </w:p>
        </w:tc>
        <w:tc>
          <w:tcPr>
            <w:tcW w:w="240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rPr>
              <w:t>March 14, 2024</w:t>
            </w: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3720" w:type="dxa"/>
            <w:vAlign w:val="bottom"/>
            <w:gridSpan w:val="24"/>
          </w:tcPr>
          <w:p>
            <w:pPr>
              <w:spacing w:after="0"/>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Form of Warrant</w:t>
              </w:r>
            </w:hyperlink>
          </w:p>
        </w:tc>
        <w:tc>
          <w:tcPr>
            <w:tcW w:w="16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8-K   001-33357</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240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rPr>
              <w:t>March 12, 2020</w:t>
            </w:r>
          </w:p>
        </w:tc>
      </w:tr>
      <w:tr>
        <w:trPr>
          <w:trHeight w:val="20"/>
        </w:trPr>
        <w:tc>
          <w:tcPr>
            <w:tcW w:w="840" w:type="dxa"/>
            <w:vAlign w:val="bottom"/>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3720" w:type="dxa"/>
            <w:vAlign w:val="bottom"/>
            <w:gridSpan w:val="24"/>
          </w:tcPr>
          <w:p>
            <w:pPr>
              <w:spacing w:after="0"/>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Form of Stock Option Agreement (Executives)</w:t>
              </w:r>
            </w:hyperlink>
          </w:p>
        </w:tc>
        <w:tc>
          <w:tcPr>
            <w:tcW w:w="16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10-Q   001-33357</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4.8</w:t>
            </w:r>
          </w:p>
        </w:tc>
        <w:tc>
          <w:tcPr>
            <w:tcW w:w="240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rPr>
              <w:t>August 10, 2020</w:t>
            </w: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3240" w:type="dxa"/>
            <w:vAlign w:val="bottom"/>
            <w:tcBorders>
              <w:top w:val="single" w:sz="8" w:color="0000EE"/>
              <w:bottom w:val="single" w:sz="8" w:color="0000EE"/>
            </w:tcBorders>
            <w:gridSpan w:val="12"/>
          </w:tcPr>
          <w:p>
            <w:pPr>
              <w:spacing w:after="0"/>
              <w:rPr>
                <w:rFonts w:ascii="Times New Roman" w:cs="Times New Roman" w:eastAsia="Times New Roman" w:hAnsi="Times New Roman"/>
                <w:sz w:val="18"/>
                <w:szCs w:val="18"/>
                <w:color w:val="0000EE"/>
                <w:w w:val="99"/>
              </w:rPr>
            </w:pPr>
            <w:hyperlink r:id="rId63">
              <w:r>
                <w:rPr>
                  <w:rFonts w:ascii="Times New Roman" w:cs="Times New Roman" w:eastAsia="Times New Roman" w:hAnsi="Times New Roman"/>
                  <w:sz w:val="18"/>
                  <w:szCs w:val="18"/>
                  <w:color w:val="0000EE"/>
                  <w:w w:val="99"/>
                </w:rPr>
                <w:t>Form of Stock Option Agreement (Standard)</w:t>
              </w:r>
            </w:hyperlink>
          </w:p>
        </w:tc>
        <w:tc>
          <w:tcPr>
            <w:tcW w:w="140" w:type="dxa"/>
            <w:vAlign w:val="bottom"/>
            <w:tcBorders>
              <w:top w:val="single" w:sz="8" w:color="0000EE"/>
            </w:tcBorders>
            <w:gridSpan w:val="4"/>
          </w:tcPr>
          <w:p>
            <w:pPr>
              <w:spacing w:after="0"/>
              <w:rPr>
                <w:sz w:val="21"/>
                <w:szCs w:val="21"/>
                <w:color w:val="auto"/>
              </w:rPr>
            </w:pPr>
          </w:p>
        </w:tc>
        <w:tc>
          <w:tcPr>
            <w:tcW w:w="340" w:type="dxa"/>
            <w:vAlign w:val="bottom"/>
            <w:gridSpan w:val="8"/>
          </w:tcPr>
          <w:p>
            <w:pPr>
              <w:spacing w:after="0"/>
              <w:rPr>
                <w:sz w:val="21"/>
                <w:szCs w:val="2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001-33357</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4.9</w:t>
            </w:r>
          </w:p>
        </w:tc>
        <w:tc>
          <w:tcPr>
            <w:tcW w:w="240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rPr>
              <w:t>August 10, 2020</w:t>
            </w: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350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64">
              <w:r>
                <w:rPr>
                  <w:rFonts w:ascii="Times New Roman" w:cs="Times New Roman" w:eastAsia="Times New Roman" w:hAnsi="Times New Roman"/>
                  <w:sz w:val="18"/>
                  <w:szCs w:val="18"/>
                  <w:color w:val="0000EE"/>
                  <w:w w:val="99"/>
                </w:rPr>
                <w:t>Indenture, dated as of August 24, 2021, between</w:t>
              </w:r>
            </w:hyperlink>
          </w:p>
        </w:tc>
        <w:tc>
          <w:tcPr>
            <w:tcW w:w="220" w:type="dxa"/>
            <w:vAlign w:val="bottom"/>
            <w:gridSpan w:val="5"/>
          </w:tcPr>
          <w:p>
            <w:pPr>
              <w:spacing w:after="0"/>
              <w:rPr>
                <w:sz w:val="21"/>
                <w:szCs w:val="2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001-33357</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240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rPr>
              <w:t>August 26, 2021</w:t>
            </w:r>
          </w:p>
        </w:tc>
      </w:tr>
      <w:tr>
        <w:trPr>
          <w:trHeight w:val="196"/>
        </w:trPr>
        <w:tc>
          <w:tcPr>
            <w:tcW w:w="840" w:type="dxa"/>
            <w:vAlign w:val="bottom"/>
          </w:tcPr>
          <w:p>
            <w:pPr>
              <w:spacing w:after="0"/>
              <w:rPr>
                <w:sz w:val="17"/>
                <w:szCs w:val="17"/>
                <w:color w:val="auto"/>
              </w:rPr>
            </w:pPr>
          </w:p>
        </w:tc>
        <w:tc>
          <w:tcPr>
            <w:tcW w:w="3720" w:type="dxa"/>
            <w:vAlign w:val="bottom"/>
            <w:gridSpan w:val="24"/>
          </w:tcPr>
          <w:p>
            <w:pPr>
              <w:spacing w:after="0" w:line="19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Protalix BioTherapeutics, Inc., the guarantors</w:t>
              </w:r>
            </w:hyperlink>
          </w:p>
        </w:tc>
        <w:tc>
          <w:tcPr>
            <w:tcW w:w="5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326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64">
              <w:r>
                <w:rPr>
                  <w:rFonts w:ascii="Times New Roman" w:cs="Times New Roman" w:eastAsia="Times New Roman" w:hAnsi="Times New Roman"/>
                  <w:sz w:val="18"/>
                  <w:szCs w:val="18"/>
                  <w:color w:val="0000EE"/>
                  <w:w w:val="99"/>
                </w:rPr>
                <w:t>party thereto, The Bank of New York Mellon</w:t>
              </w:r>
            </w:hyperlink>
          </w:p>
        </w:tc>
        <w:tc>
          <w:tcPr>
            <w:tcW w:w="20" w:type="dxa"/>
            <w:vAlign w:val="bottom"/>
            <w:tcBorders>
              <w:top w:val="single" w:sz="8" w:color="0000EE"/>
            </w:tcBorders>
          </w:tcPr>
          <w:p>
            <w:pPr>
              <w:spacing w:after="0"/>
              <w:rPr>
                <w:sz w:val="17"/>
                <w:szCs w:val="17"/>
                <w:color w:val="auto"/>
              </w:rPr>
            </w:pPr>
          </w:p>
        </w:tc>
        <w:tc>
          <w:tcPr>
            <w:tcW w:w="440" w:type="dxa"/>
            <w:vAlign w:val="bottom"/>
            <w:gridSpan w:val="10"/>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354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64">
              <w:r>
                <w:rPr>
                  <w:rFonts w:ascii="Times New Roman" w:cs="Times New Roman" w:eastAsia="Times New Roman" w:hAnsi="Times New Roman"/>
                  <w:sz w:val="18"/>
                  <w:szCs w:val="18"/>
                  <w:color w:val="0000EE"/>
                  <w:w w:val="99"/>
                </w:rPr>
                <w:t>Trust Company, N.A., as trustee and Wilmington</w:t>
              </w:r>
            </w:hyperlink>
          </w:p>
        </w:tc>
        <w:tc>
          <w:tcPr>
            <w:tcW w:w="180" w:type="dxa"/>
            <w:vAlign w:val="bottom"/>
            <w:gridSpan w:val="3"/>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3720" w:type="dxa"/>
            <w:vAlign w:val="bottom"/>
            <w:gridSpan w:val="24"/>
          </w:tcPr>
          <w:p>
            <w:pPr>
              <w:spacing w:after="0" w:line="19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Savings Fund Society, FSB, as collateral agent</w:t>
              </w:r>
            </w:hyperlink>
          </w:p>
        </w:tc>
        <w:tc>
          <w:tcPr>
            <w:tcW w:w="5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3360" w:type="dxa"/>
            <w:vAlign w:val="bottom"/>
            <w:tcBorders>
              <w:top w:val="single" w:sz="8" w:color="0000EE"/>
            </w:tcBorders>
            <w:gridSpan w:val="15"/>
          </w:tcPr>
          <w:p>
            <w:pPr>
              <w:spacing w:after="0"/>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Form of Exchange Note (2024)</w:t>
              </w:r>
            </w:hyperlink>
          </w:p>
        </w:tc>
        <w:tc>
          <w:tcPr>
            <w:tcW w:w="360" w:type="dxa"/>
            <w:vAlign w:val="bottom"/>
            <w:gridSpan w:val="9"/>
          </w:tcPr>
          <w:p>
            <w:pPr>
              <w:spacing w:after="0"/>
              <w:rPr>
                <w:sz w:val="21"/>
                <w:szCs w:val="2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001-33357</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240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rPr>
              <w:t>August 26, 2021</w:t>
            </w:r>
          </w:p>
        </w:tc>
      </w:tr>
      <w:tr>
        <w:trPr>
          <w:trHeight w:val="20"/>
        </w:trPr>
        <w:tc>
          <w:tcPr>
            <w:tcW w:w="840" w:type="dxa"/>
            <w:vAlign w:val="bottom"/>
          </w:tcPr>
          <w:p>
            <w:pPr>
              <w:spacing w:after="0" w:line="20" w:lineRule="exact"/>
              <w:rPr>
                <w:sz w:val="1"/>
                <w:szCs w:val="1"/>
                <w:color w:val="auto"/>
              </w:rPr>
            </w:pPr>
          </w:p>
        </w:tc>
        <w:tc>
          <w:tcPr>
            <w:tcW w:w="2260" w:type="dxa"/>
            <w:vAlign w:val="bottom"/>
            <w:gridSpan w:val="6"/>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3720" w:type="dxa"/>
            <w:vAlign w:val="bottom"/>
            <w:gridSpan w:val="24"/>
          </w:tcPr>
          <w:p>
            <w:pPr>
              <w:spacing w:after="0"/>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Amended and Restated Pro BioTherapeutics, Inc.</w:t>
              </w:r>
            </w:hyperlink>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001-33357</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240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June 28, 2024</w:t>
            </w:r>
          </w:p>
        </w:tc>
      </w:tr>
      <w:tr>
        <w:trPr>
          <w:trHeight w:val="196"/>
        </w:trPr>
        <w:tc>
          <w:tcPr>
            <w:tcW w:w="840" w:type="dxa"/>
            <w:vAlign w:val="bottom"/>
          </w:tcPr>
          <w:p>
            <w:pPr>
              <w:spacing w:after="0"/>
              <w:rPr>
                <w:sz w:val="17"/>
                <w:szCs w:val="17"/>
                <w:color w:val="auto"/>
              </w:rPr>
            </w:pPr>
          </w:p>
        </w:tc>
        <w:tc>
          <w:tcPr>
            <w:tcW w:w="286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2006 Stock Incentive Plan, as amended</w:t>
              </w:r>
            </w:hyperlink>
          </w:p>
        </w:tc>
        <w:tc>
          <w:tcPr>
            <w:tcW w:w="700" w:type="dxa"/>
            <w:vAlign w:val="bottom"/>
            <w:tcBorders>
              <w:top w:val="single" w:sz="8" w:color="0000EE"/>
            </w:tcBorders>
            <w:gridSpan w:val="13"/>
          </w:tcPr>
          <w:p>
            <w:pPr>
              <w:spacing w:after="0"/>
              <w:rPr>
                <w:sz w:val="17"/>
                <w:szCs w:val="17"/>
                <w:color w:val="auto"/>
              </w:rPr>
            </w:pPr>
          </w:p>
        </w:tc>
        <w:tc>
          <w:tcPr>
            <w:tcW w:w="16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37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w:t>
            </w:r>
          </w:p>
        </w:tc>
        <w:tc>
          <w:tcPr>
            <w:tcW w:w="5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0" w:type="dxa"/>
            <w:vAlign w:val="bottom"/>
          </w:tcPr>
          <w:p>
            <w:pPr>
              <w:ind w:left="2260"/>
              <w:spacing w:after="0"/>
              <w:rPr>
                <w:sz w:val="20"/>
                <w:szCs w:val="20"/>
                <w:color w:val="auto"/>
              </w:rPr>
            </w:pPr>
            <w:r>
              <w:rPr>
                <w:rFonts w:ascii="Times New Roman" w:cs="Times New Roman" w:eastAsia="Times New Roman" w:hAnsi="Times New Roman"/>
                <w:sz w:val="18"/>
                <w:szCs w:val="18"/>
                <w:color w:val="auto"/>
                <w:w w:val="91"/>
              </w:rPr>
              <w:t>X</w:t>
            </w:r>
          </w:p>
        </w:tc>
      </w:tr>
      <w:tr>
        <w:trPr>
          <w:trHeight w:val="196"/>
        </w:trPr>
        <w:tc>
          <w:tcPr>
            <w:tcW w:w="840" w:type="dxa"/>
            <w:vAlign w:val="bottom"/>
          </w:tcPr>
          <w:p>
            <w:pPr>
              <w:spacing w:after="0"/>
              <w:rPr>
                <w:sz w:val="17"/>
                <w:szCs w:val="17"/>
                <w:color w:val="auto"/>
              </w:rPr>
            </w:pPr>
          </w:p>
        </w:tc>
        <w:tc>
          <w:tcPr>
            <w:tcW w:w="3520" w:type="dxa"/>
            <w:vAlign w:val="bottom"/>
            <w:tcBorders>
              <w:top w:val="single" w:sz="8" w:color="0000EE"/>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to Rule 13a-14(a) as adopted pursuant to Section</w:t>
            </w:r>
          </w:p>
        </w:tc>
        <w:tc>
          <w:tcPr>
            <w:tcW w:w="20" w:type="dxa"/>
            <w:vAlign w:val="bottom"/>
            <w:tcBorders>
              <w:top w:val="single" w:sz="8" w:color="0000EE"/>
            </w:tcBorders>
          </w:tcPr>
          <w:p>
            <w:pPr>
              <w:spacing w:after="0"/>
              <w:rPr>
                <w:sz w:val="17"/>
                <w:szCs w:val="17"/>
                <w:color w:val="auto"/>
              </w:rPr>
            </w:pPr>
          </w:p>
        </w:tc>
        <w:tc>
          <w:tcPr>
            <w:tcW w:w="180" w:type="dxa"/>
            <w:vAlign w:val="bottom"/>
            <w:gridSpan w:val="3"/>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28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302 of the Sarbanes-Oxley Act of 2002</w:t>
            </w:r>
          </w:p>
        </w:tc>
        <w:tc>
          <w:tcPr>
            <w:tcW w:w="880" w:type="dxa"/>
            <w:vAlign w:val="bottom"/>
            <w:gridSpan w:val="16"/>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350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Certification of Chief Financial Officer pursuant</w:t>
            </w:r>
          </w:p>
        </w:tc>
        <w:tc>
          <w:tcPr>
            <w:tcW w:w="220" w:type="dxa"/>
            <w:vAlign w:val="bottom"/>
            <w:gridSpan w:val="5"/>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0" w:type="dxa"/>
            <w:vAlign w:val="bottom"/>
          </w:tcPr>
          <w:p>
            <w:pPr>
              <w:ind w:left="2260"/>
              <w:spacing w:after="0"/>
              <w:rPr>
                <w:sz w:val="20"/>
                <w:szCs w:val="20"/>
                <w:color w:val="auto"/>
              </w:rPr>
            </w:pPr>
            <w:r>
              <w:rPr>
                <w:rFonts w:ascii="Times New Roman" w:cs="Times New Roman" w:eastAsia="Times New Roman" w:hAnsi="Times New Roman"/>
                <w:sz w:val="18"/>
                <w:szCs w:val="18"/>
                <w:color w:val="auto"/>
                <w:w w:val="91"/>
              </w:rPr>
              <w:t>X</w:t>
            </w:r>
          </w:p>
        </w:tc>
      </w:tr>
      <w:tr>
        <w:trPr>
          <w:trHeight w:val="196"/>
        </w:trPr>
        <w:tc>
          <w:tcPr>
            <w:tcW w:w="840" w:type="dxa"/>
            <w:vAlign w:val="bottom"/>
          </w:tcPr>
          <w:p>
            <w:pPr>
              <w:spacing w:after="0"/>
              <w:rPr>
                <w:sz w:val="17"/>
                <w:szCs w:val="17"/>
                <w:color w:val="auto"/>
              </w:rPr>
            </w:pPr>
          </w:p>
        </w:tc>
        <w:tc>
          <w:tcPr>
            <w:tcW w:w="352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to Rule 13a-14(a) as adopted pursuant to Section</w:t>
            </w:r>
          </w:p>
        </w:tc>
        <w:tc>
          <w:tcPr>
            <w:tcW w:w="200" w:type="dxa"/>
            <w:vAlign w:val="bottom"/>
            <w:gridSpan w:val="4"/>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286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302 of the Sarbanes-Oxley Act of 2002</w:t>
            </w:r>
          </w:p>
        </w:tc>
        <w:tc>
          <w:tcPr>
            <w:tcW w:w="860" w:type="dxa"/>
            <w:vAlign w:val="bottom"/>
            <w:gridSpan w:val="15"/>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37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18 U.S.C. Section 1350, as adopted pursuant to</w:t>
            </w:r>
          </w:p>
        </w:tc>
        <w:tc>
          <w:tcPr>
            <w:tcW w:w="5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0" w:type="dxa"/>
            <w:vAlign w:val="bottom"/>
          </w:tcPr>
          <w:p>
            <w:pPr>
              <w:ind w:left="2260"/>
              <w:spacing w:after="0"/>
              <w:rPr>
                <w:sz w:val="20"/>
                <w:szCs w:val="20"/>
                <w:color w:val="auto"/>
              </w:rPr>
            </w:pPr>
            <w:r>
              <w:rPr>
                <w:rFonts w:ascii="Times New Roman" w:cs="Times New Roman" w:eastAsia="Times New Roman" w:hAnsi="Times New Roman"/>
                <w:sz w:val="18"/>
                <w:szCs w:val="18"/>
                <w:color w:val="auto"/>
                <w:w w:val="91"/>
              </w:rPr>
              <w:t>X</w:t>
            </w:r>
          </w:p>
        </w:tc>
      </w:tr>
      <w:tr>
        <w:trPr>
          <w:trHeight w:val="20"/>
        </w:trPr>
        <w:tc>
          <w:tcPr>
            <w:tcW w:w="840" w:type="dxa"/>
            <w:vAlign w:val="bottom"/>
          </w:tcPr>
          <w:p>
            <w:pPr>
              <w:spacing w:after="0" w:line="20" w:lineRule="exact"/>
              <w:rPr>
                <w:sz w:val="1"/>
                <w:szCs w:val="1"/>
                <w:color w:val="auto"/>
              </w:rPr>
            </w:pPr>
          </w:p>
        </w:tc>
        <w:tc>
          <w:tcPr>
            <w:tcW w:w="2820" w:type="dxa"/>
            <w:vAlign w:val="bottom"/>
            <w:gridSpan w:val="7"/>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520" w:type="dxa"/>
            <w:vAlign w:val="bottom"/>
            <w:gridSpan w:val="7"/>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372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Section 906 of the Sarbanes-Oxley Act of 2002,</w:t>
            </w:r>
          </w:p>
        </w:tc>
        <w:tc>
          <w:tcPr>
            <w:tcW w:w="5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Executive Officer</w:t>
            </w:r>
          </w:p>
        </w:tc>
        <w:tc>
          <w:tcPr>
            <w:tcW w:w="580" w:type="dxa"/>
            <w:vAlign w:val="bottom"/>
            <w:tcBorders>
              <w:top w:val="single" w:sz="8" w:color="0000EE"/>
            </w:tcBorders>
            <w:gridSpan w:val="8"/>
          </w:tcPr>
          <w:p>
            <w:pPr>
              <w:spacing w:after="0"/>
              <w:rPr>
                <w:sz w:val="17"/>
                <w:szCs w:val="17"/>
                <w:color w:val="auto"/>
              </w:rPr>
            </w:pPr>
          </w:p>
        </w:tc>
        <w:tc>
          <w:tcPr>
            <w:tcW w:w="260" w:type="dxa"/>
            <w:vAlign w:val="bottom"/>
            <w:gridSpan w:val="6"/>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37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18 U.S.C. Section 1350, as adopted pursuant to</w:t>
            </w:r>
          </w:p>
        </w:tc>
        <w:tc>
          <w:tcPr>
            <w:tcW w:w="5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0" w:type="dxa"/>
            <w:vAlign w:val="bottom"/>
          </w:tcPr>
          <w:p>
            <w:pPr>
              <w:ind w:left="2260"/>
              <w:spacing w:after="0"/>
              <w:rPr>
                <w:sz w:val="20"/>
                <w:szCs w:val="20"/>
                <w:color w:val="auto"/>
              </w:rPr>
            </w:pPr>
            <w:r>
              <w:rPr>
                <w:rFonts w:ascii="Times New Roman" w:cs="Times New Roman" w:eastAsia="Times New Roman" w:hAnsi="Times New Roman"/>
                <w:sz w:val="18"/>
                <w:szCs w:val="18"/>
                <w:color w:val="auto"/>
                <w:w w:val="91"/>
              </w:rPr>
              <w:t>X</w:t>
            </w:r>
          </w:p>
        </w:tc>
      </w:tr>
      <w:tr>
        <w:trPr>
          <w:trHeight w:val="20"/>
        </w:trPr>
        <w:tc>
          <w:tcPr>
            <w:tcW w:w="840" w:type="dxa"/>
            <w:vAlign w:val="bottom"/>
          </w:tcPr>
          <w:p>
            <w:pPr>
              <w:spacing w:after="0" w:line="20" w:lineRule="exact"/>
              <w:rPr>
                <w:sz w:val="1"/>
                <w:szCs w:val="1"/>
                <w:color w:val="auto"/>
              </w:rPr>
            </w:pPr>
          </w:p>
        </w:tc>
        <w:tc>
          <w:tcPr>
            <w:tcW w:w="2820" w:type="dxa"/>
            <w:vAlign w:val="bottom"/>
            <w:gridSpan w:val="7"/>
            <w:shd w:val="clear" w:color="auto" w:fill="0000EE"/>
          </w:tcPr>
          <w:p>
            <w:pPr>
              <w:spacing w:after="0" w:line="20" w:lineRule="exact"/>
              <w:rPr>
                <w:sz w:val="1"/>
                <w:szCs w:val="1"/>
                <w:color w:val="auto"/>
              </w:rPr>
            </w:pPr>
          </w:p>
        </w:tc>
        <w:tc>
          <w:tcPr>
            <w:tcW w:w="580" w:type="dxa"/>
            <w:vAlign w:val="bottom"/>
            <w:gridSpan w:val="10"/>
            <w:shd w:val="clear" w:color="auto" w:fill="0000EE"/>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372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Section 906 of the Sarbanes-Oxley Act of 2002,</w:t>
            </w:r>
          </w:p>
        </w:tc>
        <w:tc>
          <w:tcPr>
            <w:tcW w:w="5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346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Financial Officer</w:t>
            </w:r>
          </w:p>
        </w:tc>
        <w:tc>
          <w:tcPr>
            <w:tcW w:w="260" w:type="dxa"/>
            <w:vAlign w:val="bottom"/>
            <w:gridSpan w:val="6"/>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2820" w:type="dxa"/>
            <w:vAlign w:val="bottom"/>
            <w:gridSpan w:val="7"/>
            <w:shd w:val="clear" w:color="auto" w:fill="0000EE"/>
          </w:tcPr>
          <w:p>
            <w:pPr>
              <w:spacing w:after="0" w:line="20" w:lineRule="exact"/>
              <w:rPr>
                <w:sz w:val="1"/>
                <w:szCs w:val="1"/>
                <w:color w:val="auto"/>
              </w:rPr>
            </w:pPr>
          </w:p>
        </w:tc>
        <w:tc>
          <w:tcPr>
            <w:tcW w:w="900" w:type="dxa"/>
            <w:vAlign w:val="bottom"/>
            <w:gridSpan w:val="1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7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37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 xml:space="preserve">XBRL Instance Document - </w:t>
            </w:r>
            <w:r>
              <w:rPr>
                <w:rFonts w:ascii="Times New Roman" w:cs="Times New Roman" w:eastAsia="Times New Roman" w:hAnsi="Times New Roman"/>
                <w:sz w:val="18"/>
                <w:szCs w:val="18"/>
                <w:color w:val="333333"/>
              </w:rPr>
              <w:t>the instance</w:t>
            </w:r>
          </w:p>
        </w:tc>
        <w:tc>
          <w:tcPr>
            <w:tcW w:w="5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400" w:type="dxa"/>
            <w:vAlign w:val="bottom"/>
          </w:tcPr>
          <w:p>
            <w:pPr>
              <w:ind w:left="2260"/>
              <w:spacing w:after="0"/>
              <w:rPr>
                <w:sz w:val="20"/>
                <w:szCs w:val="20"/>
                <w:color w:val="auto"/>
              </w:rPr>
            </w:pPr>
            <w:r>
              <w:rPr>
                <w:rFonts w:ascii="Times New Roman" w:cs="Times New Roman" w:eastAsia="Times New Roman" w:hAnsi="Times New Roman"/>
                <w:sz w:val="18"/>
                <w:szCs w:val="18"/>
                <w:color w:val="auto"/>
                <w:w w:val="91"/>
              </w:rPr>
              <w:t>X</w:t>
            </w:r>
          </w:p>
        </w:tc>
      </w:tr>
      <w:tr>
        <w:trPr>
          <w:trHeight w:val="216"/>
        </w:trPr>
        <w:tc>
          <w:tcPr>
            <w:tcW w:w="840" w:type="dxa"/>
            <w:vAlign w:val="bottom"/>
          </w:tcPr>
          <w:p>
            <w:pPr>
              <w:spacing w:after="0"/>
              <w:rPr>
                <w:sz w:val="18"/>
                <w:szCs w:val="18"/>
                <w:color w:val="auto"/>
              </w:rPr>
            </w:pPr>
          </w:p>
        </w:tc>
        <w:tc>
          <w:tcPr>
            <w:tcW w:w="3720" w:type="dxa"/>
            <w:vAlign w:val="bottom"/>
            <w:gridSpan w:val="24"/>
          </w:tcPr>
          <w:p>
            <w:pPr>
              <w:spacing w:after="0"/>
              <w:rPr>
                <w:sz w:val="20"/>
                <w:szCs w:val="20"/>
                <w:color w:val="auto"/>
              </w:rPr>
            </w:pPr>
            <w:r>
              <w:rPr>
                <w:rFonts w:ascii="Times New Roman" w:cs="Times New Roman" w:eastAsia="Times New Roman" w:hAnsi="Times New Roman"/>
                <w:sz w:val="18"/>
                <w:szCs w:val="18"/>
                <w:color w:val="333333"/>
              </w:rPr>
              <w:t>document does not appear in the Interactive Data</w:t>
            </w:r>
          </w:p>
        </w:tc>
        <w:tc>
          <w:tcPr>
            <w:tcW w:w="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720" w:type="dxa"/>
            <w:vAlign w:val="bottom"/>
            <w:gridSpan w:val="24"/>
          </w:tcPr>
          <w:p>
            <w:pPr>
              <w:spacing w:after="0"/>
              <w:rPr>
                <w:sz w:val="20"/>
                <w:szCs w:val="20"/>
                <w:color w:val="auto"/>
              </w:rPr>
            </w:pPr>
            <w:r>
              <w:rPr>
                <w:rFonts w:ascii="Times New Roman" w:cs="Times New Roman" w:eastAsia="Times New Roman" w:hAnsi="Times New Roman"/>
                <w:sz w:val="18"/>
                <w:szCs w:val="18"/>
                <w:color w:val="333333"/>
              </w:rPr>
              <w:t>File because its XBRL tags are embedded within</w:t>
            </w:r>
          </w:p>
        </w:tc>
        <w:tc>
          <w:tcPr>
            <w:tcW w:w="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34"/>
        </w:trPr>
        <w:tc>
          <w:tcPr>
            <w:tcW w:w="840" w:type="dxa"/>
            <w:vAlign w:val="bottom"/>
          </w:tcPr>
          <w:p>
            <w:pPr>
              <w:spacing w:after="0"/>
              <w:rPr>
                <w:sz w:val="20"/>
                <w:szCs w:val="20"/>
                <w:color w:val="auto"/>
              </w:rPr>
            </w:pPr>
          </w:p>
        </w:tc>
        <w:tc>
          <w:tcPr>
            <w:tcW w:w="3720" w:type="dxa"/>
            <w:vAlign w:val="bottom"/>
            <w:gridSpan w:val="24"/>
          </w:tcPr>
          <w:p>
            <w:pPr>
              <w:spacing w:after="0"/>
              <w:rPr>
                <w:sz w:val="20"/>
                <w:szCs w:val="20"/>
                <w:color w:val="auto"/>
              </w:rPr>
            </w:pPr>
            <w:r>
              <w:rPr>
                <w:rFonts w:ascii="Times New Roman" w:cs="Times New Roman" w:eastAsia="Times New Roman" w:hAnsi="Times New Roman"/>
                <w:sz w:val="18"/>
                <w:szCs w:val="18"/>
                <w:color w:val="333333"/>
              </w:rPr>
              <w:t>the Inline XBRL document</w:t>
            </w:r>
          </w:p>
        </w:tc>
        <w:tc>
          <w:tcPr>
            <w:tcW w:w="5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25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37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5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0" w:type="dxa"/>
            <w:vAlign w:val="bottom"/>
          </w:tcPr>
          <w:p>
            <w:pPr>
              <w:ind w:left="226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840" w:type="dxa"/>
            <w:vAlign w:val="bottom"/>
          </w:tcPr>
          <w:p>
            <w:pPr>
              <w:spacing w:after="0"/>
              <w:rPr>
                <w:sz w:val="20"/>
                <w:szCs w:val="20"/>
                <w:color w:val="auto"/>
              </w:rPr>
            </w:pPr>
          </w:p>
        </w:tc>
        <w:tc>
          <w:tcPr>
            <w:tcW w:w="37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Document</w:t>
            </w:r>
          </w:p>
        </w:tc>
        <w:tc>
          <w:tcPr>
            <w:tcW w:w="5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25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37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w:t>
            </w:r>
          </w:p>
        </w:tc>
        <w:tc>
          <w:tcPr>
            <w:tcW w:w="5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0" w:type="dxa"/>
            <w:vAlign w:val="bottom"/>
          </w:tcPr>
          <w:p>
            <w:pPr>
              <w:ind w:left="226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840" w:type="dxa"/>
            <w:vAlign w:val="bottom"/>
          </w:tcPr>
          <w:p>
            <w:pPr>
              <w:spacing w:after="0"/>
              <w:rPr>
                <w:sz w:val="20"/>
                <w:szCs w:val="20"/>
                <w:color w:val="auto"/>
              </w:rPr>
            </w:pPr>
          </w:p>
        </w:tc>
        <w:tc>
          <w:tcPr>
            <w:tcW w:w="37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5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25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37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w:t>
            </w:r>
          </w:p>
        </w:tc>
        <w:tc>
          <w:tcPr>
            <w:tcW w:w="5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0" w:type="dxa"/>
            <w:vAlign w:val="bottom"/>
          </w:tcPr>
          <w:p>
            <w:pPr>
              <w:ind w:left="226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840" w:type="dxa"/>
            <w:vAlign w:val="bottom"/>
          </w:tcPr>
          <w:p>
            <w:pPr>
              <w:spacing w:after="0"/>
              <w:rPr>
                <w:sz w:val="20"/>
                <w:szCs w:val="20"/>
                <w:color w:val="auto"/>
              </w:rPr>
            </w:pPr>
          </w:p>
        </w:tc>
        <w:tc>
          <w:tcPr>
            <w:tcW w:w="37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5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25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37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Labels</w:t>
            </w:r>
          </w:p>
        </w:tc>
        <w:tc>
          <w:tcPr>
            <w:tcW w:w="5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0" w:type="dxa"/>
            <w:vAlign w:val="bottom"/>
          </w:tcPr>
          <w:p>
            <w:pPr>
              <w:ind w:left="226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840" w:type="dxa"/>
            <w:vAlign w:val="bottom"/>
          </w:tcPr>
          <w:p>
            <w:pPr>
              <w:spacing w:after="0"/>
              <w:rPr>
                <w:sz w:val="20"/>
                <w:szCs w:val="20"/>
                <w:color w:val="auto"/>
              </w:rPr>
            </w:pPr>
          </w:p>
        </w:tc>
        <w:tc>
          <w:tcPr>
            <w:tcW w:w="37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5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25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37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c>
          <w:tcPr>
            <w:tcW w:w="5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0" w:type="dxa"/>
            <w:vAlign w:val="bottom"/>
          </w:tcPr>
          <w:p>
            <w:pPr>
              <w:ind w:left="226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840" w:type="dxa"/>
            <w:vAlign w:val="bottom"/>
          </w:tcPr>
          <w:p>
            <w:pPr>
              <w:spacing w:after="0"/>
              <w:rPr>
                <w:sz w:val="20"/>
                <w:szCs w:val="20"/>
                <w:color w:val="auto"/>
              </w:rPr>
            </w:pPr>
          </w:p>
        </w:tc>
        <w:tc>
          <w:tcPr>
            <w:tcW w:w="37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5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0" w:type="dxa"/>
            <w:vAlign w:val="bottom"/>
          </w:tcPr>
          <w:p>
            <w:pPr>
              <w:spacing w:after="0"/>
              <w:rPr>
                <w:sz w:val="20"/>
                <w:szCs w:val="20"/>
                <w:color w:val="auto"/>
              </w:rPr>
            </w:pPr>
          </w:p>
        </w:tc>
      </w:tr>
    </w:tbl>
    <w:p>
      <w:pPr>
        <w:spacing w:after="0" w:line="36" w:lineRule="exact"/>
        <w:rPr>
          <w:sz w:val="20"/>
          <w:szCs w:val="20"/>
          <w:color w:val="auto"/>
        </w:rPr>
      </w:pPr>
    </w:p>
    <w:p>
      <w:pPr>
        <w:ind w:left="840" w:right="5460" w:hanging="833"/>
        <w:spacing w:after="0" w:line="266" w:lineRule="auto"/>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35" w:lineRule="exact"/>
        <w:rPr>
          <w:sz w:val="20"/>
          <w:szCs w:val="20"/>
          <w:color w:val="auto"/>
        </w:rPr>
      </w:pPr>
    </w:p>
    <w:p>
      <w:pPr>
        <w:ind w:left="320" w:hanging="313"/>
        <w:spacing w:after="0"/>
        <w:tabs>
          <w:tab w:leader="none" w:pos="3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contracts or compensation plans or arrangements in which directors or executive officers are eligible to participate.</w:t>
      </w:r>
    </w:p>
    <w:p>
      <w:pPr>
        <w:sectPr>
          <w:pgSz w:w="11900" w:h="16838" w:orient="portrait"/>
          <w:cols w:equalWidth="0" w:num="1">
            <w:col w:w="9580"/>
          </w:cols>
          <w:pgMar w:left="980" w:top="648" w:right="1339" w:bottom="1440" w:gutter="0" w:footer="0" w:header="0"/>
        </w:sectPr>
      </w:pPr>
    </w:p>
    <w:p>
      <w:pPr>
        <w:spacing w:after="0" w:line="31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0"/>
          </w:cols>
          <w:pgMar w:left="980" w:top="648" w:right="1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180" w:firstLine="46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PROTALIX BIOTHERAPEUTICS, INC.</w:t>
            </w:r>
          </w:p>
        </w:tc>
      </w:tr>
      <w:tr>
        <w:trPr>
          <w:trHeight w:val="234"/>
        </w:trPr>
        <w:tc>
          <w:tcPr>
            <w:tcW w:w="32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74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(Registrant)</w:t>
            </w:r>
          </w:p>
        </w:tc>
      </w:tr>
      <w:tr>
        <w:trPr>
          <w:trHeight w:val="500"/>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14, 2024</w:t>
            </w:r>
          </w:p>
        </w:tc>
        <w:tc>
          <w:tcPr>
            <w:tcW w:w="666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By: /s/ Dror Bashan</w:t>
            </w:r>
          </w:p>
        </w:tc>
      </w:tr>
      <w:tr>
        <w:trPr>
          <w:trHeight w:val="191"/>
        </w:trPr>
        <w:tc>
          <w:tcPr>
            <w:tcW w:w="32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7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Dror Bashan</w:t>
            </w:r>
          </w:p>
        </w:tc>
      </w:tr>
      <w:tr>
        <w:trPr>
          <w:trHeight w:val="216"/>
        </w:trPr>
        <w:tc>
          <w:tcPr>
            <w:tcW w:w="32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2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527"/>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14, 2024</w:t>
            </w:r>
          </w:p>
        </w:tc>
        <w:tc>
          <w:tcPr>
            <w:tcW w:w="666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By: /s/ Eyal Rubin</w:t>
            </w:r>
          </w:p>
        </w:tc>
      </w:tr>
      <w:tr>
        <w:trPr>
          <w:trHeight w:val="27"/>
        </w:trPr>
        <w:tc>
          <w:tcPr>
            <w:tcW w:w="3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740" w:type="dxa"/>
            <w:vAlign w:val="bottom"/>
            <w:tcBorders>
              <w:bottom w:val="single" w:sz="8" w:color="auto"/>
            </w:tcBorders>
          </w:tcPr>
          <w:p>
            <w:pPr>
              <w:spacing w:after="0"/>
              <w:rPr>
                <w:sz w:val="2"/>
                <w:szCs w:val="2"/>
                <w:color w:val="auto"/>
              </w:rPr>
            </w:pPr>
          </w:p>
        </w:tc>
      </w:tr>
      <w:tr>
        <w:trPr>
          <w:trHeight w:val="191"/>
        </w:trPr>
        <w:tc>
          <w:tcPr>
            <w:tcW w:w="32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7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Eyal Rubin</w:t>
            </w:r>
          </w:p>
        </w:tc>
      </w:tr>
      <w:tr>
        <w:trPr>
          <w:trHeight w:val="216"/>
        </w:trPr>
        <w:tc>
          <w:tcPr>
            <w:tcW w:w="32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 Treasurer and</w:t>
            </w:r>
          </w:p>
        </w:tc>
      </w:tr>
      <w:tr>
        <w:trPr>
          <w:trHeight w:val="216"/>
        </w:trPr>
        <w:tc>
          <w:tcPr>
            <w:tcW w:w="32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r>
      <w:tr>
        <w:trPr>
          <w:trHeight w:val="234"/>
        </w:trPr>
        <w:tc>
          <w:tcPr>
            <w:tcW w:w="32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Dror Bashan, certify that:</w:t>
      </w:r>
    </w:p>
    <w:p>
      <w:pPr>
        <w:spacing w:after="0" w:line="185"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Protalix BioTherapeutics, Inc.;</w:t>
      </w:r>
    </w:p>
    <w:p>
      <w:pPr>
        <w:spacing w:after="0" w:line="184" w:lineRule="exact"/>
        <w:rPr>
          <w:rFonts w:ascii="Times New Roman" w:cs="Times New Roman" w:eastAsia="Times New Roman" w:hAnsi="Times New Roman"/>
          <w:sz w:val="18"/>
          <w:szCs w:val="18"/>
          <w:color w:val="auto"/>
        </w:rPr>
      </w:pPr>
    </w:p>
    <w:p>
      <w:pPr>
        <w:ind w:left="660" w:right="200" w:hanging="652"/>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660" w:right="280" w:hanging="652"/>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ind w:left="660" w:right="20" w:hanging="652"/>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300" w:right="180" w:hanging="644"/>
        <w:spacing w:after="0" w:line="261" w:lineRule="auto"/>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9" w:lineRule="exact"/>
        <w:rPr>
          <w:rFonts w:ascii="Times New Roman" w:cs="Times New Roman" w:eastAsia="Times New Roman" w:hAnsi="Times New Roman"/>
          <w:sz w:val="18"/>
          <w:szCs w:val="18"/>
          <w:color w:val="auto"/>
        </w:rPr>
      </w:pPr>
    </w:p>
    <w:p>
      <w:pPr>
        <w:ind w:left="1300" w:right="100" w:hanging="644"/>
        <w:spacing w:after="0" w:line="289" w:lineRule="auto"/>
        <w:tabs>
          <w:tab w:leader="none" w:pos="130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7" w:lineRule="exact"/>
        <w:rPr>
          <w:rFonts w:ascii="Times New Roman" w:cs="Times New Roman" w:eastAsia="Times New Roman" w:hAnsi="Times New Roman"/>
          <w:sz w:val="17"/>
          <w:szCs w:val="17"/>
          <w:color w:val="auto"/>
        </w:rPr>
      </w:pPr>
    </w:p>
    <w:p>
      <w:pPr>
        <w:ind w:left="1300" w:right="260" w:hanging="644"/>
        <w:spacing w:after="0" w:line="266" w:lineRule="auto"/>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300" w:right="80" w:hanging="644"/>
        <w:spacing w:after="0" w:line="261" w:lineRule="auto"/>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9" w:lineRule="exact"/>
        <w:rPr>
          <w:rFonts w:ascii="Times New Roman" w:cs="Times New Roman" w:eastAsia="Times New Roman" w:hAnsi="Times New Roman"/>
          <w:sz w:val="18"/>
          <w:szCs w:val="18"/>
          <w:color w:val="auto"/>
        </w:rPr>
      </w:pPr>
    </w:p>
    <w:p>
      <w:pPr>
        <w:ind w:left="660" w:right="560" w:hanging="652"/>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1300" w:right="440" w:hanging="644"/>
        <w:spacing w:after="0" w:line="266" w:lineRule="auto"/>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14, 2024</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Dror Bashan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115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9">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Dror Bashan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Eyal Rubin, certify that:</w:t>
      </w:r>
    </w:p>
    <w:p>
      <w:pPr>
        <w:spacing w:after="0" w:line="185"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Protalix BioTherapeutics, Inc.;</w:t>
      </w:r>
    </w:p>
    <w:p>
      <w:pPr>
        <w:spacing w:after="0" w:line="184" w:lineRule="exact"/>
        <w:rPr>
          <w:rFonts w:ascii="Times New Roman" w:cs="Times New Roman" w:eastAsia="Times New Roman" w:hAnsi="Times New Roman"/>
          <w:sz w:val="18"/>
          <w:szCs w:val="18"/>
          <w:color w:val="auto"/>
        </w:rPr>
      </w:pPr>
    </w:p>
    <w:p>
      <w:pPr>
        <w:ind w:left="660" w:right="200" w:hanging="652"/>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660" w:right="280" w:hanging="652"/>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ind w:left="660" w:right="20" w:hanging="652"/>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300" w:right="180" w:hanging="644"/>
        <w:spacing w:after="0" w:line="261"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9" w:lineRule="exact"/>
        <w:rPr>
          <w:rFonts w:ascii="Times New Roman" w:cs="Times New Roman" w:eastAsia="Times New Roman" w:hAnsi="Times New Roman"/>
          <w:sz w:val="18"/>
          <w:szCs w:val="18"/>
          <w:color w:val="auto"/>
        </w:rPr>
      </w:pPr>
    </w:p>
    <w:p>
      <w:pPr>
        <w:ind w:left="1300" w:right="100" w:hanging="644"/>
        <w:spacing w:after="0" w:line="289" w:lineRule="auto"/>
        <w:tabs>
          <w:tab w:leader="none" w:pos="130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7" w:lineRule="exact"/>
        <w:rPr>
          <w:rFonts w:ascii="Times New Roman" w:cs="Times New Roman" w:eastAsia="Times New Roman" w:hAnsi="Times New Roman"/>
          <w:sz w:val="17"/>
          <w:szCs w:val="17"/>
          <w:color w:val="auto"/>
        </w:rPr>
      </w:pPr>
    </w:p>
    <w:p>
      <w:pPr>
        <w:ind w:left="1300" w:right="260" w:hanging="644"/>
        <w:spacing w:after="0" w:line="266"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300" w:right="80" w:hanging="644"/>
        <w:spacing w:after="0" w:line="261"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9" w:lineRule="exact"/>
        <w:rPr>
          <w:rFonts w:ascii="Times New Roman" w:cs="Times New Roman" w:eastAsia="Times New Roman" w:hAnsi="Times New Roman"/>
          <w:sz w:val="18"/>
          <w:szCs w:val="18"/>
          <w:color w:val="auto"/>
        </w:rPr>
      </w:pPr>
    </w:p>
    <w:p>
      <w:pPr>
        <w:ind w:left="660" w:right="40" w:hanging="652"/>
        <w:spacing w:after="0" w:line="266" w:lineRule="auto"/>
        <w:tabs>
          <w:tab w:leader="none" w:pos="50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1300" w:right="440" w:hanging="644"/>
        <w:spacing w:after="0" w:line="266"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14, 2024</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Eyal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Eyal Rubin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 Vice President &amp;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18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Protalix BioTherapeutics, Inc. (the “Company”) on Form 10-Q for the period ended June 30, 2024 as filed with the Securities and Exchange Commission (the “Report”), I, Dror Bashan, President and Chief Executive Officer of the Company, hereby certify as of the date hereof, solely for the purposes of Title 18, Chapter 63, Section 1350 of the United States Code, that to the best of my knowledge:</w:t>
      </w:r>
    </w:p>
    <w:p>
      <w:pPr>
        <w:spacing w:after="0" w:line="139" w:lineRule="exact"/>
        <w:rPr>
          <w:sz w:val="20"/>
          <w:szCs w:val="20"/>
          <w:color w:val="auto"/>
        </w:rPr>
      </w:pPr>
    </w:p>
    <w:p>
      <w:pPr>
        <w:ind w:left="1300" w:right="300" w:hanging="644"/>
        <w:spacing w:after="0" w:line="282"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21"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Certification has not been, and shall not be deemed, “filed” with the Securities and Exchange Commission.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14, 2024</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Dror Bashan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Dror Bashan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18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Protalix BioTherapeutics, Inc. (the “Company”) on Form 10-Q for the period ended June 30, 2024 as filed with the Securities and Exchange Commission (the “Report”), I, Eyal Rubin, Senior Vice President and Chief Financial Officer of the Company, hereby certify as of the date hereof, solely for the purposes of Title 18, Chapter 63, Section 1350 of the United States Code, that to the best of my knowledge:</w:t>
      </w:r>
    </w:p>
    <w:p>
      <w:pPr>
        <w:spacing w:after="0" w:line="139" w:lineRule="exact"/>
        <w:rPr>
          <w:sz w:val="20"/>
          <w:szCs w:val="20"/>
          <w:color w:val="auto"/>
        </w:rPr>
      </w:pPr>
    </w:p>
    <w:p>
      <w:pPr>
        <w:ind w:left="1300" w:right="300" w:hanging="644"/>
        <w:spacing w:after="0" w:line="282"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21"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Certification has not been, and shall not be deemed, “filed” with the Securities and Exchange Commission.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14, 2024</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Eyal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Eyal Rubin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lowerLetter"/>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lowerLetter"/>
      <w:start w:val="2"/>
    </w:lvl>
  </w:abstractNum>
  <w:abstractNum w:abstractNumId="6">
    <w:nsid w:val="DED7263"/>
    <w:multiLevelType w:val="hybridMultilevel"/>
    <w:lvl w:ilvl="0">
      <w:lvlJc w:val="left"/>
      <w:lvlText w:val="%1."/>
      <w:numFmt w:val="lowerLetter"/>
      <w:start w:val="4"/>
    </w:lvl>
  </w:abstractNum>
  <w:abstractNum w:abstractNumId="7">
    <w:nsid w:val="7FDCC233"/>
    <w:multiLevelType w:val="hybridMultilevel"/>
    <w:lvl w:ilvl="0">
      <w:lvlJc w:val="left"/>
      <w:lvlText w:val="%1."/>
      <w:numFmt w:val="lowerLetter"/>
      <w:start w:val="5"/>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1)"/>
      <w:numFmt w:val="lowerRoman"/>
      <w:start w:val="2"/>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1"/>
      <w:numFmt w:val="decimal"/>
      <w:start w:val="104"/>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5" Type="http://schemas.openxmlformats.org/officeDocument/2006/relationships/image" Target="media/image44.png"/><Relationship Id="rId67" Type="http://schemas.openxmlformats.org/officeDocument/2006/relationships/image" Target="media/image45.png"/><Relationship Id="rId68" Type="http://schemas.openxmlformats.org/officeDocument/2006/relationships/image" Target="media/image46.png"/><Relationship Id="rId69" Type="http://schemas.openxmlformats.org/officeDocument/2006/relationships/image" Target="media/image47.png"/><Relationship Id="rId70" Type="http://schemas.openxmlformats.org/officeDocument/2006/relationships/image" Target="media/image48.png"/><Relationship Id="rId71" Type="http://schemas.openxmlformats.org/officeDocument/2006/relationships/image" Target="media/image49.png"/><Relationship Id="rId72" Type="http://schemas.openxmlformats.org/officeDocument/2006/relationships/image" Target="media/image50.png"/><Relationship Id="rId73" Type="http://schemas.openxmlformats.org/officeDocument/2006/relationships/image" Target="media/image51.png"/><Relationship Id="rId74" Type="http://schemas.openxmlformats.org/officeDocument/2006/relationships/image" Target="media/image52.png"/><Relationship Id="rId75" Type="http://schemas.openxmlformats.org/officeDocument/2006/relationships/image" Target="media/image53.png"/><Relationship Id="rId76" Type="http://schemas.openxmlformats.org/officeDocument/2006/relationships/image" Target="media/image54.png"/><Relationship Id="rId51" Type="http://schemas.openxmlformats.org/officeDocument/2006/relationships/hyperlink" Target="https://www.sec.gov/Archives/edgar/data/1006281/000114420416092335/v435826_ex3-1.htm" TargetMode="External"/><Relationship Id="rId52" Type="http://schemas.openxmlformats.org/officeDocument/2006/relationships/hyperlink" Target="https://www.sec.gov/Archives/edgar/data/1006281/000114420416111273/v443094_def14a.htm" TargetMode="External"/><Relationship Id="rId53" Type="http://schemas.openxmlformats.org/officeDocument/2006/relationships/hyperlink" Target="https://www.sec.gov/Archives/edgar/data/1006281/000114420418054229/tv504383-def14a.htm" TargetMode="External"/><Relationship Id="rId54" Type="http://schemas.openxmlformats.org/officeDocument/2006/relationships/hyperlink" Target="https://www.sec.gov/Archives/edgar/data/1006281/000110465919074602/tm1926620d1_ex3-1.htm" TargetMode="External"/><Relationship Id="rId56" Type="http://schemas.openxmlformats.org/officeDocument/2006/relationships/hyperlink" Target="https://www.sec.gov/Archives/edgar/data/1006281/000155837022013560/plx-20220630xex3d5.htm" TargetMode="External"/><Relationship Id="rId57" Type="http://schemas.openxmlformats.org/officeDocument/2006/relationships/hyperlink" Target="https://www.sec.gov/Archives/edgar/data/1006281/000155837023013483/plx-20230630xex3d6.htm" TargetMode="External"/><Relationship Id="rId58" Type="http://schemas.openxmlformats.org/officeDocument/2006/relationships/hyperlink" Target="https://www.sec.gov/Archives/edgar/data/1006281/000114420416092335/v435826_ex3-2.htm" TargetMode="External"/><Relationship Id="rId59" Type="http://schemas.openxmlformats.org/officeDocument/2006/relationships/hyperlink" Target="https://www.sec.gov/Archives/edgar/data/1006281/000114420412040015/v318898_ex4-1.htm" TargetMode="External"/><Relationship Id="rId60" Type="http://schemas.openxmlformats.org/officeDocument/2006/relationships/hyperlink" Target="https://www.sec.gov/Archives/edgar/data/1006281/000155837023002102/plx-20221231xex4d7.htm" TargetMode="External"/><Relationship Id="rId61" Type="http://schemas.openxmlformats.org/officeDocument/2006/relationships/hyperlink" Target="https://www.sec.gov/Archives/edgar/data/1006281/000110465920032169/tm2012488d1_ex4-1.htm" TargetMode="External"/><Relationship Id="rId62" Type="http://schemas.openxmlformats.org/officeDocument/2006/relationships/hyperlink" Target="https://www.sec.gov/Archives/edgar/data/1006281/000110465920092375/plx-20200630xex4d8.htm" TargetMode="External"/><Relationship Id="rId63" Type="http://schemas.openxmlformats.org/officeDocument/2006/relationships/hyperlink" Target="https://www.sec.gov/Archives/edgar/data/1006281/000110465920092375/plx-20200630xex4d9.htm" TargetMode="External"/><Relationship Id="rId64" Type="http://schemas.openxmlformats.org/officeDocument/2006/relationships/hyperlink" Target="https://www.sec.gov/Archives/edgar/data/1006281/000155837021012078/plx-20210824xex4d2.htm" TargetMode="External"/><Relationship Id="rId65" Type="http://schemas.openxmlformats.org/officeDocument/2006/relationships/hyperlink" Target="https://www.sec.gov/Archives/edgar/data/1006281/000155837021012078/plx-20210824xex4d3.htm" TargetMode="External"/><Relationship Id="rId66" Type="http://schemas.openxmlformats.org/officeDocument/2006/relationships/hyperlink" Target="https://www.sec.gov/Archives/edgar/data/1006281/000155837024009567/plx-20240627x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2024-08-14T06:09:23Z</dcterms:created>
  <dcterms:modified xsi:type="dcterms:W3CDTF">2024-08-14T06:09:23Z</dcterms:modified>
</cp:coreProperties>
</file>