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782955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4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(201)</w:t>
            </w:r>
            <w:r>
              <w:rPr>
                <w:rFonts w:ascii="Times New Roman" w:cs="Times New Roman" w:eastAsia="Times New Roman" w:hAnsi="Times New Roman"/>
                <w:sz w:val="14"/>
                <w:szCs w:val="14"/>
                <w:b w:val="1"/>
                <w:bCs w:val="1"/>
                <w:color w:val="auto"/>
              </w:rPr>
              <w:t>-696-9345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775"/>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November 1, 2024, approximately 73,633,583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19"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September 30, 2024 and December 31, 2023</w:t>
            </w:r>
          </w:p>
        </w:tc>
        <w:tc>
          <w:tcPr>
            <w:tcW w:w="88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 For the Nine and Three Months Ended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2024 and 2023</w:t>
            </w:r>
          </w:p>
        </w:tc>
        <w:tc>
          <w:tcPr>
            <w:tcW w:w="5360" w:type="dxa"/>
            <w:vAlign w:val="bottom"/>
            <w:tcBorders>
              <w:top w:val="single" w:sz="8" w:color="0000EE"/>
            </w:tcBorders>
            <w:gridSpan w:val="11"/>
          </w:tcPr>
          <w:p>
            <w:pPr>
              <w:spacing w:after="0"/>
              <w:rPr>
                <w:sz w:val="17"/>
                <w:szCs w:val="17"/>
                <w:color w:val="auto"/>
              </w:rPr>
            </w:pPr>
          </w:p>
        </w:tc>
        <w:tc>
          <w:tcPr>
            <w:tcW w:w="104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(Capital Deficiency) (Unaudited) – For the</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Nine and Three Months Ended September 30, 2024 and 2023</w:t>
            </w:r>
          </w:p>
        </w:tc>
        <w:tc>
          <w:tcPr>
            <w:tcW w:w="3940" w:type="dxa"/>
            <w:vAlign w:val="bottom"/>
            <w:tcBorders>
              <w:top w:val="single" w:sz="8" w:color="0000EE"/>
            </w:tcBorders>
            <w:gridSpan w:val="7"/>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Nine Months Ended September 30, 2024</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60" w:type="dxa"/>
            <w:vAlign w:val="bottom"/>
            <w:gridSpan w:val="2"/>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560" w:type="dxa"/>
            <w:vAlign w:val="bottom"/>
            <w:gridSpan w:val="11"/>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6"/>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6"/>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900" w:type="dxa"/>
            <w:vAlign w:val="bottom"/>
            <w:gridSpan w:val="21"/>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600" w:type="dxa"/>
            <w:vAlign w:val="bottom"/>
            <w:gridSpan w:val="2"/>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47,853</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0" w:type="dxa"/>
            <w:vAlign w:val="bottom"/>
            <w:gridSpan w:val="2"/>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61,563</w:t>
            </w:r>
          </w:p>
        </w:tc>
        <w:tc>
          <w:tcPr>
            <w:tcW w:w="2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600" w:type="dxa"/>
            <w:vAlign w:val="bottom"/>
            <w:gridSpan w:val="2"/>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notes</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61,563</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34,820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30,309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17,839</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10,168</w:t>
            </w:r>
          </w:p>
        </w:tc>
        <w:tc>
          <w:tcPr>
            <w:tcW w:w="0" w:type="dxa"/>
            <w:vAlign w:val="bottom"/>
          </w:tcPr>
          <w:p>
            <w:pPr>
              <w:spacing w:after="0"/>
              <w:rPr>
                <w:sz w:val="1"/>
                <w:szCs w:val="1"/>
                <w:color w:val="auto"/>
              </w:rPr>
            </w:pPr>
          </w:p>
        </w:tc>
      </w:tr>
      <w:tr>
        <w:trPr>
          <w:trHeight w:val="148"/>
        </w:trPr>
        <w:tc>
          <w:tcPr>
            <w:tcW w:w="4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24,699</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35,181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55,008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17,959</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10,345</w:t>
            </w:r>
          </w:p>
        </w:tc>
        <w:tc>
          <w:tcPr>
            <w:tcW w:w="0" w:type="dxa"/>
            <w:vAlign w:val="bottom"/>
          </w:tcPr>
          <w:p>
            <w:pPr>
              <w:spacing w:after="0"/>
              <w:rPr>
                <w:sz w:val="1"/>
                <w:szCs w:val="1"/>
                <w:color w:val="auto"/>
              </w:rPr>
            </w:pPr>
          </w:p>
        </w:tc>
      </w:tr>
      <w:tr>
        <w:trPr>
          <w:trHeight w:val="148"/>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GOODS SOLD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(20,433)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(4,893)</w:t>
            </w: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(8,846)</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(3,669)</w:t>
            </w:r>
          </w:p>
        </w:tc>
        <w:tc>
          <w:tcPr>
            <w:tcW w:w="0" w:type="dxa"/>
            <w:vAlign w:val="bottom"/>
          </w:tcPr>
          <w:p>
            <w:pPr>
              <w:spacing w:after="0"/>
              <w:rPr>
                <w:sz w:val="1"/>
                <w:szCs w:val="1"/>
                <w:color w:val="auto"/>
              </w:rPr>
            </w:pPr>
          </w:p>
        </w:tc>
      </w:tr>
      <w:tr>
        <w:trPr>
          <w:trHeight w:val="149"/>
        </w:trPr>
        <w:tc>
          <w:tcPr>
            <w:tcW w:w="4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(9,194)</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(10,816)</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(3,292)</w:t>
            </w: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16,075</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3,991</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42"/>
        </w:trPr>
        <w:tc>
          <w:tcPr>
            <w:tcW w:w="4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EXPENSES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INCOME</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w:t>
            </w: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(1,083)</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14,992</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3,843</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149"/>
        </w:trPr>
        <w:tc>
          <w:tcPr>
            <w:tcW w:w="4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TAXES ON INCOME</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(3,562)</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14,356</w:t>
            </w: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3,236</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4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4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16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0.16</w:t>
            </w:r>
          </w:p>
        </w:tc>
        <w:tc>
          <w:tcPr>
            <w:tcW w:w="1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0.03</w:t>
            </w:r>
          </w:p>
        </w:tc>
        <w:tc>
          <w:tcPr>
            <w:tcW w:w="16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29"/>
        </w:trPr>
        <w:tc>
          <w:tcPr>
            <w:tcW w:w="4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73,301,091</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65,811,506</w:t>
            </w: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73,549,745</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72,281,681</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73,301,091</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81,040,281</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81,217,068</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83,782,679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80"/>
          </w:cols>
          <w:pgMar w:left="900" w:top="661" w:right="9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CHANGES IN STOCKHOLDERS’ EQUITY (CAPITAL DEFICIENCY) </w:t>
      </w:r>
      <w:r>
        <w:rPr>
          <w:rFonts w:ascii="Times New Roman" w:cs="Times New Roman" w:eastAsia="Times New Roman" w:hAnsi="Times New Roman"/>
          <w:sz w:val="18"/>
          <w:szCs w:val="18"/>
          <w:color w:val="auto"/>
        </w:rPr>
        <w:t>(U.S. dollars in thousands, except share data)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53,790,167</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379,167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(389,861)</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(10,640)</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nine-month period ended September 30, 2023:</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12,560,150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23,954</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notes conversions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4,691,623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1,371,362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538,822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48"/>
        </w:trPr>
        <w:tc>
          <w:tcPr>
            <w:tcW w:w="48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14,356</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413,679</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(375,505)</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38,247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415,045</w:t>
            </w:r>
          </w:p>
        </w:tc>
        <w:tc>
          <w:tcPr>
            <w:tcW w:w="18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(381,549)</w:t>
            </w:r>
          </w:p>
        </w:tc>
        <w:tc>
          <w:tcPr>
            <w:tcW w:w="200" w:type="dxa"/>
            <w:vAlign w:val="bottom"/>
            <w:vMerge w:val="continue"/>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33,569</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nine-month period ended September 30, 2024:</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Initial adoption of ASU 2020-06</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681,459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(3,562)</w:t>
            </w:r>
          </w:p>
        </w:tc>
        <w:tc>
          <w:tcPr>
            <w:tcW w:w="0" w:type="dxa"/>
            <w:vAlign w:val="bottom"/>
          </w:tcPr>
          <w:p>
            <w:pPr>
              <w:spacing w:after="0"/>
              <w:rPr>
                <w:sz w:val="1"/>
                <w:szCs w:val="1"/>
                <w:color w:val="auto"/>
              </w:rPr>
            </w:pPr>
          </w:p>
        </w:tc>
      </w:tr>
      <w:tr>
        <w:trPr>
          <w:trHeight w:val="182"/>
        </w:trPr>
        <w:tc>
          <w:tcPr>
            <w:tcW w:w="4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73,633,583</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417,250</w:t>
            </w:r>
          </w:p>
        </w:tc>
        <w:tc>
          <w:tcPr>
            <w:tcW w:w="1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(384,887)</w:t>
            </w: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32,437</w:t>
            </w:r>
          </w:p>
        </w:tc>
        <w:tc>
          <w:tcPr>
            <w:tcW w:w="0" w:type="dxa"/>
            <w:vAlign w:val="bottom"/>
          </w:tcPr>
          <w:p>
            <w:pPr>
              <w:spacing w:after="0"/>
              <w:rPr>
                <w:sz w:val="1"/>
                <w:szCs w:val="1"/>
                <w:color w:val="auto"/>
              </w:rPr>
            </w:pPr>
          </w:p>
        </w:tc>
      </w:tr>
      <w:tr>
        <w:trPr>
          <w:trHeight w:val="129"/>
        </w:trPr>
        <w:tc>
          <w:tcPr>
            <w:tcW w:w="4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71,580,762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412,582</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(373,653)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39,001</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September 30, 2023:</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1,371,362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(1,852)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w:t>
            </w:r>
          </w:p>
        </w:tc>
        <w:tc>
          <w:tcPr>
            <w:tcW w:w="0" w:type="dxa"/>
            <w:vAlign w:val="bottom"/>
          </w:tcPr>
          <w:p>
            <w:pPr>
              <w:spacing w:after="0"/>
              <w:rPr>
                <w:sz w:val="1"/>
                <w:szCs w:val="1"/>
                <w:color w:val="auto"/>
              </w:rPr>
            </w:pPr>
          </w:p>
        </w:tc>
      </w:tr>
      <w:tr>
        <w:trPr>
          <w:trHeight w:val="182"/>
        </w:trPr>
        <w:tc>
          <w:tcPr>
            <w:tcW w:w="4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413,679</w:t>
            </w:r>
          </w:p>
        </w:tc>
        <w:tc>
          <w:tcPr>
            <w:tcW w:w="1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(375,505)</w:t>
            </w: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38,247</w:t>
            </w:r>
          </w:p>
        </w:tc>
        <w:tc>
          <w:tcPr>
            <w:tcW w:w="0" w:type="dxa"/>
            <w:vAlign w:val="bottom"/>
          </w:tcPr>
          <w:p>
            <w:pPr>
              <w:spacing w:after="0"/>
              <w:rPr>
                <w:sz w:val="1"/>
                <w:szCs w:val="1"/>
                <w:color w:val="auto"/>
              </w:rPr>
            </w:pPr>
          </w:p>
        </w:tc>
      </w:tr>
      <w:tr>
        <w:trPr>
          <w:trHeight w:val="129"/>
        </w:trPr>
        <w:tc>
          <w:tcPr>
            <w:tcW w:w="4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73,292,674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416,631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(388,123)</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28,581</w:t>
            </w: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September 30, 2024:</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8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3,236</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142"/>
        </w:trPr>
        <w:tc>
          <w:tcPr>
            <w:tcW w:w="4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73,633,583</w:t>
            </w:r>
          </w:p>
        </w:tc>
        <w:tc>
          <w:tcPr>
            <w:tcW w:w="1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w:t>
            </w: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417,250</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(384,887)</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32,437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Authorized – as of September 30, 2024 and December 31, 2023 – 185,000,000 shares.</w:t>
      </w:r>
    </w:p>
    <w:p>
      <w:pPr>
        <w:spacing w:after="0" w:line="22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income (loss) to net cash provided by operating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deferred income tax asset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conversions of convertible notes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contracts liability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deposit withdrawal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for convertible notes redemption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Exercise of warrants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 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 lease liabilities</w:t>
            </w: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7,783</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received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1,481</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right="10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Elfabrio, which the Company referred to as PRX-102 during its development stage, has been approved for marketing in the United States, the European Union, Great Britain, Switzerland, Peru and Israel. The Company has partnered with Chiesi Farmaceutici S.p.A. (“Chiesi”) for the development and commercialization of Elfabrio.</w:t>
      </w:r>
    </w:p>
    <w:p>
      <w:pPr>
        <w:spacing w:after="0" w:line="172" w:lineRule="exact"/>
        <w:rPr>
          <w:rFonts w:ascii="Times New Roman" w:cs="Times New Roman" w:eastAsia="Times New Roman" w:hAnsi="Times New Roman"/>
          <w:sz w:val="18"/>
          <w:szCs w:val="18"/>
          <w:b w:val="1"/>
          <w:bCs w:val="1"/>
          <w:color w:val="auto"/>
        </w:rPr>
      </w:pPr>
    </w:p>
    <w:p>
      <w:pPr>
        <w:ind w:left="98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licensed the rights to commercialize Elelyso worldwide (other than Brazil) to Pfizer Inc. (“Pfizer”), and in Brazil to Fundação Oswaldo Cruz (“Fiocruz”), an arm of the Brazilian Ministry of Health (the “Brazilian MoH”). Elelyso is marketed as BioManguinhos alfataliglicerase in Brazil.</w:t>
      </w:r>
    </w:p>
    <w:p>
      <w:pPr>
        <w:spacing w:after="0" w:line="135" w:lineRule="exact"/>
        <w:rPr>
          <w:rFonts w:ascii="Times New Roman" w:cs="Times New Roman" w:eastAsia="Times New Roman" w:hAnsi="Times New Roman"/>
          <w:sz w:val="18"/>
          <w:szCs w:val="18"/>
          <w:b w:val="1"/>
          <w:bCs w:val="1"/>
          <w:color w:val="auto"/>
        </w:rPr>
      </w:pPr>
    </w:p>
    <w:p>
      <w:pPr>
        <w:ind w:left="980" w:right="22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committed to leveraging its track record of success as the Company progresses with the development of treatments for rare and orphan diseases. In addition, the Company continuously works on the further development of its ProCellEx technology and bioreactor system. Accordingly, the Company is turning its focus to new, early-stage product candidates that treat indications for which there are high unmet needs in terms of efficacy and safety, including renal diseases. Treatments of interest will address both genetic and non-genetic diseases. The Company intends to use its ProCellEx platform and PEGylization capabilities, as well as other modalities such as small molecules and antibodies, to take advantage of highly innovative opportunities. The Company is also exploring novel platform technologies.</w:t>
      </w:r>
    </w:p>
    <w:p>
      <w:pPr>
        <w:spacing w:after="0" w:line="130" w:lineRule="exact"/>
        <w:rPr>
          <w:rFonts w:ascii="Times New Roman" w:cs="Times New Roman" w:eastAsia="Times New Roman" w:hAnsi="Times New Roman"/>
          <w:sz w:val="18"/>
          <w:szCs w:val="18"/>
          <w:b w:val="1"/>
          <w:bCs w:val="1"/>
          <w:color w:val="auto"/>
        </w:rPr>
      </w:pPr>
    </w:p>
    <w:p>
      <w:pPr>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each for adult patients with a confirmed diagnosis of Fabry disease. Both approvals cover the 1 mg/kg every two weeks dosage. The European Medicines Agency (“EMA”) approval followed the February 2023 adoption of a positive opinion and recommendation of marketing authorization for Elfabrio by the EMA’s Committee for Medicinal Products for Human Use the (“CHMP”).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60" w:lineRule="exact"/>
        <w:rPr>
          <w:rFonts w:ascii="Times New Roman" w:cs="Times New Roman" w:eastAsia="Times New Roman" w:hAnsi="Times New Roman"/>
          <w:sz w:val="18"/>
          <w:szCs w:val="18"/>
          <w:b w:val="1"/>
          <w:bCs w:val="1"/>
          <w:color w:val="auto"/>
        </w:rPr>
      </w:pPr>
    </w:p>
    <w:p>
      <w:pPr>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two exclusive global licensing and supply agreements for Elfabrio with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60" w:lineRule="exact"/>
        <w:rPr>
          <w:rFonts w:ascii="Times New Roman" w:cs="Times New Roman" w:eastAsia="Times New Roman" w:hAnsi="Times New Roman"/>
          <w:sz w:val="18"/>
          <w:szCs w:val="18"/>
          <w:b w:val="1"/>
          <w:bCs w:val="1"/>
          <w:color w:val="auto"/>
        </w:rPr>
      </w:pPr>
    </w:p>
    <w:p>
      <w:pPr>
        <w:ind w:left="980" w:right="6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Elfabrio was the subject of a phase III clinical program studying the drug as a treatment of patients with Fabry disease, a rare, genetic lysosomal disorder. The phase III clinical program included three separate studies, which are referred to as the </w:t>
      </w:r>
      <w:r>
        <w:rPr>
          <w:rFonts w:ascii="Times New Roman" w:cs="Times New Roman" w:eastAsia="Times New Roman" w:hAnsi="Times New Roman"/>
          <w:sz w:val="17"/>
          <w:szCs w:val="17"/>
          <w:i w:val="1"/>
          <w:iCs w:val="1"/>
          <w:color w:val="auto"/>
        </w:rPr>
        <w:t xml:space="preserve">BALANCE </w:t>
      </w:r>
      <w:r>
        <w:rPr>
          <w:rFonts w:ascii="Times New Roman" w:cs="Times New Roman" w:eastAsia="Times New Roman" w:hAnsi="Times New Roman"/>
          <w:sz w:val="17"/>
          <w:szCs w:val="17"/>
          <w:color w:val="auto"/>
        </w:rPr>
        <w:t>study, the</w:t>
      </w:r>
      <w:r>
        <w:rPr>
          <w:rFonts w:ascii="Times New Roman" w:cs="Times New Roman" w:eastAsia="Times New Roman" w:hAnsi="Times New Roman"/>
          <w:sz w:val="17"/>
          <w:szCs w:val="17"/>
          <w:i w:val="1"/>
          <w:iCs w:val="1"/>
          <w:color w:val="auto"/>
        </w:rPr>
        <w:t xml:space="preserve"> BRIDGE </w:t>
      </w:r>
      <w:r>
        <w:rPr>
          <w:rFonts w:ascii="Times New Roman" w:cs="Times New Roman" w:eastAsia="Times New Roman" w:hAnsi="Times New Roman"/>
          <w:sz w:val="17"/>
          <w:szCs w:val="17"/>
          <w:color w:val="auto"/>
        </w:rPr>
        <w:t>study and the</w:t>
      </w:r>
      <w:r>
        <w:rPr>
          <w:rFonts w:ascii="Times New Roman" w:cs="Times New Roman" w:eastAsia="Times New Roman" w:hAnsi="Times New Roman"/>
          <w:sz w:val="17"/>
          <w:szCs w:val="17"/>
          <w:i w:val="1"/>
          <w:iCs w:val="1"/>
          <w:color w:val="auto"/>
        </w:rPr>
        <w:t xml:space="preserve"> BRIGHT </w:t>
      </w:r>
      <w:r>
        <w:rPr>
          <w:rFonts w:ascii="Times New Roman" w:cs="Times New Roman" w:eastAsia="Times New Roman" w:hAnsi="Times New Roman"/>
          <w:sz w:val="17"/>
          <w:szCs w:val="17"/>
          <w:color w:val="auto"/>
        </w:rPr>
        <w:t>study. The phase III clinical program analyzed two potential dosing</w:t>
      </w:r>
    </w:p>
    <w:p>
      <w:pPr>
        <w:spacing w:after="0" w:line="2" w:lineRule="exact"/>
        <w:rPr>
          <w:sz w:val="20"/>
          <w:szCs w:val="20"/>
          <w:color w:val="auto"/>
        </w:rPr>
      </w:pPr>
    </w:p>
    <w:p>
      <w:pPr>
        <w:ind w:left="980" w:right="20"/>
        <w:spacing w:after="0" w:line="250" w:lineRule="auto"/>
        <w:rPr>
          <w:sz w:val="20"/>
          <w:szCs w:val="20"/>
          <w:color w:val="auto"/>
        </w:rPr>
      </w:pPr>
      <w:r>
        <w:rPr>
          <w:rFonts w:ascii="Times New Roman" w:cs="Times New Roman" w:eastAsia="Times New Roman" w:hAnsi="Times New Roman"/>
          <w:sz w:val="18"/>
          <w:szCs w:val="18"/>
          <w:color w:val="auto"/>
        </w:rPr>
        <w:t>regimens: 1 mg/kg every two weeks and 2 mg/kg every four weeks. In addition, the phase III clinical program included two extension studies in which subjects that participated in the Company’s phase I/II clinical trials and phase III clinical trials had the opportunity to enroll and continue to be treated with PRX-102. As of March 1, 2023, sponsorship</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jc w:val="both"/>
        <w:ind w:left="980" w:right="160"/>
        <w:spacing w:after="0" w:line="289" w:lineRule="auto"/>
        <w:rPr>
          <w:sz w:val="20"/>
          <w:szCs w:val="20"/>
          <w:color w:val="auto"/>
        </w:rPr>
      </w:pPr>
      <w:r>
        <w:rPr>
          <w:rFonts w:ascii="Times New Roman" w:cs="Times New Roman" w:eastAsia="Times New Roman" w:hAnsi="Times New Roman"/>
          <w:sz w:val="17"/>
          <w:szCs w:val="17"/>
          <w:color w:val="auto"/>
        </w:rPr>
        <w:t>of the two open label extension studies was transferred to Chiesi, which is now administering the extension studies. From time to time, and as Elfabrio is approved for marketing in different jurisdictions, participants switch out of the open label extension studies. Most of the participants transfer to a commercial setting and others withdraw for other reasons.</w:t>
      </w:r>
    </w:p>
    <w:p>
      <w:pPr>
        <w:spacing w:after="0" w:line="144" w:lineRule="exact"/>
        <w:rPr>
          <w:sz w:val="20"/>
          <w:szCs w:val="20"/>
          <w:color w:val="auto"/>
        </w:rPr>
      </w:pPr>
    </w:p>
    <w:p>
      <w:pPr>
        <w:ind w:left="980" w:right="200"/>
        <w:spacing w:after="0" w:line="266" w:lineRule="auto"/>
        <w:rPr>
          <w:sz w:val="20"/>
          <w:szCs w:val="20"/>
          <w:color w:val="auto"/>
        </w:rPr>
      </w:pPr>
      <w:r>
        <w:rPr>
          <w:rFonts w:ascii="Times New Roman" w:cs="Times New Roman" w:eastAsia="Times New Roman" w:hAnsi="Times New Roman"/>
          <w:sz w:val="18"/>
          <w:szCs w:val="18"/>
          <w:color w:val="auto"/>
        </w:rPr>
        <w:t>The BLA for Elfabrio for the treatment of adult patients with Fabry disease was resubmitted to the FDA on November 9, 2022. An initial BLA for Elfabrio was submitted to the FDA on May 27, 2020 under the FDA’s Accelerated Approval pathway, but resulted in a Complete Response Letter (“CRL”).</w:t>
      </w:r>
    </w:p>
    <w:p>
      <w:pPr>
        <w:spacing w:after="0" w:line="149"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MAA was submitted to the EMA on February 7, 2022, after the October 8, 2021 meeting the Company held, together with Chiesi, with the Rapporteur and Co-Rapporteur of the EMA regarding PRX-102.</w:t>
      </w:r>
    </w:p>
    <w:p>
      <w:pPr>
        <w:spacing w:after="0" w:line="148" w:lineRule="exact"/>
        <w:rPr>
          <w:sz w:val="20"/>
          <w:szCs w:val="20"/>
          <w:color w:val="auto"/>
        </w:rPr>
      </w:pPr>
    </w:p>
    <w:p>
      <w:pPr>
        <w:ind w:left="980"/>
        <w:spacing w:after="0" w:line="272" w:lineRule="auto"/>
        <w:rPr>
          <w:sz w:val="20"/>
          <w:szCs w:val="20"/>
          <w:color w:val="auto"/>
        </w:rPr>
      </w:pPr>
      <w:r>
        <w:rPr>
          <w:rFonts w:ascii="Times New Roman" w:cs="Times New Roman" w:eastAsia="Times New Roman" w:hAnsi="Times New Roman"/>
          <w:sz w:val="17"/>
          <w:szCs w:val="17"/>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(also referred to as Study PB-102-F20). The FDA review team also concluded that the </w:t>
      </w:r>
      <w:r>
        <w:rPr>
          <w:rFonts w:ascii="Times New Roman" w:cs="Times New Roman" w:eastAsia="Times New Roman" w:hAnsi="Times New Roman"/>
          <w:sz w:val="17"/>
          <w:szCs w:val="17"/>
          <w:i w:val="1"/>
          <w:iCs w:val="1"/>
          <w:color w:val="auto"/>
        </w:rPr>
        <w:t xml:space="preserve">BALANCE </w:t>
      </w:r>
      <w:r>
        <w:rPr>
          <w:rFonts w:ascii="Times New Roman" w:cs="Times New Roman" w:eastAsia="Times New Roman" w:hAnsi="Times New Roman"/>
          <w:sz w:val="17"/>
          <w:szCs w:val="17"/>
          <w:color w:val="auto"/>
        </w:rPr>
        <w:t>study met its primary efficacy endpoint, which assessed the annualized rate of change in eGFR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glomerular filtration rate) over 104 weeks. However, the FDA also determined that the results from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did not support a non-inferiority claim to the comparator product due to the lack of data to support a non-inferiority margin.</w:t>
      </w:r>
    </w:p>
    <w:p>
      <w:pPr>
        <w:spacing w:after="0" w:line="158" w:lineRule="exact"/>
        <w:rPr>
          <w:sz w:val="20"/>
          <w:szCs w:val="20"/>
          <w:color w:val="auto"/>
        </w:rPr>
      </w:pPr>
    </w:p>
    <w:p>
      <w:pPr>
        <w:ind w:left="980" w:right="100"/>
        <w:spacing w:after="0" w:line="289" w:lineRule="auto"/>
        <w:rPr>
          <w:sz w:val="20"/>
          <w:szCs w:val="20"/>
          <w:color w:val="auto"/>
        </w:rPr>
      </w:pPr>
      <w:r>
        <w:rPr>
          <w:rFonts w:ascii="Times New Roman" w:cs="Times New Roman" w:eastAsia="Times New Roman" w:hAnsi="Times New Roman"/>
          <w:sz w:val="17"/>
          <w:szCs w:val="17"/>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drug candidates.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product pipeline currently includes, among other candidates:</w:t>
      </w:r>
    </w:p>
    <w:p>
      <w:pPr>
        <w:spacing w:after="0" w:line="212" w:lineRule="exact"/>
        <w:rPr>
          <w:sz w:val="20"/>
          <w:szCs w:val="20"/>
          <w:color w:val="auto"/>
        </w:rPr>
      </w:pPr>
    </w:p>
    <w:p>
      <w:pPr>
        <w:ind w:left="980" w:right="2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134" w:lineRule="exact"/>
        <w:rPr>
          <w:rFonts w:ascii="Times New Roman" w:cs="Times New Roman" w:eastAsia="Times New Roman" w:hAnsi="Times New Roman"/>
          <w:sz w:val="18"/>
          <w:szCs w:val="18"/>
          <w:color w:val="auto"/>
        </w:rPr>
      </w:pPr>
    </w:p>
    <w:p>
      <w:pPr>
        <w:ind w:left="980" w:right="54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the Company’s plant cell-expressed PEGylated recombinant human DNase I product candidate being designed to elongate half-life in the circulation for NETs-related diseases.</w:t>
      </w:r>
    </w:p>
    <w:p>
      <w:pPr>
        <w:spacing w:after="0" w:line="148" w:lineRule="exact"/>
        <w:rPr>
          <w:sz w:val="20"/>
          <w:szCs w:val="20"/>
          <w:color w:val="auto"/>
        </w:rPr>
      </w:pPr>
    </w:p>
    <w:p>
      <w:pPr>
        <w:jc w:val="both"/>
        <w:ind w:left="980" w:right="10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35"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In March 2024, the Company initiated a phase I First-in-Human clinical trial of PRX-115. This study included 64 adult male and female subjects in a dose escalation design with eight sequential dosing cohorts, each composed of eight subjects (six active and two placebo). As of September 30, 2024, the data is locked and is currently being analyzed. The Company plans to announce the results at an upcoming scientific meeting. In addition, the Company has commenced preparations for a phase II clinical trial of PRX-115 which the Company expects will commence in the second half of 2025.</w:t>
      </w:r>
    </w:p>
    <w:p>
      <w:pPr>
        <w:spacing w:after="0" w:line="156" w:lineRule="exact"/>
        <w:rPr>
          <w:sz w:val="20"/>
          <w:szCs w:val="20"/>
          <w:color w:val="auto"/>
        </w:rPr>
      </w:pPr>
    </w:p>
    <w:p>
      <w:pPr>
        <w:ind w:left="980" w:right="60"/>
        <w:spacing w:after="0" w:line="258"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its common stock, par value $0.001 per share (the “Common Stock”), having an aggregate offering price of up to $20.0 million (the “ATM Shares”).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During the term of the 2021 Sales Agreement which ended during the quarter ended March 31, 2023, the Company sold a total of 13,980,060 ATM Shares for total gross proceeds of approximately $20.0 million thereby completing the ATM program under said agreement.</w:t>
      </w:r>
    </w:p>
    <w:p>
      <w:pPr>
        <w:spacing w:after="0" w:line="135" w:lineRule="exact"/>
        <w:rPr>
          <w:sz w:val="20"/>
          <w:szCs w:val="20"/>
          <w:color w:val="auto"/>
        </w:rPr>
      </w:pPr>
    </w:p>
    <w:p>
      <w:pPr>
        <w:ind w:left="980" w:right="200"/>
        <w:spacing w:after="0" w:line="258" w:lineRule="auto"/>
        <w:rPr>
          <w:sz w:val="20"/>
          <w:szCs w:val="20"/>
          <w:color w:val="auto"/>
        </w:rPr>
      </w:pPr>
      <w:r>
        <w:rPr>
          <w:rFonts w:ascii="Times New Roman" w:cs="Times New Roman" w:eastAsia="Times New Roman" w:hAnsi="Times New Roman"/>
          <w:sz w:val="18"/>
          <w:szCs w:val="18"/>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 As of September 30, 2024, shares of Common Stock for total gross proceeds of approximately $6.4 million remain available to be sold under the 2023 Sales Agreement.</w:t>
      </w:r>
    </w:p>
    <w:p>
      <w:pPr>
        <w:spacing w:after="0" w:line="156"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and to receive additional 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 In addition, following the approval of Elfabrio by the FDA, the Company received a milestone payment equal to $20.0 million.</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May 13, 2021, the Company signed a binding term sheet with Chiesi pursuant to which the Company and Chiesi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amended the Chiesi Agreements in order to provide the Company with near-term capital. Chiesi agreed to make 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 million payment to the Company before the end of the second quarter of 2021 in exchange for a $25.0 million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reduction in a longer term regulatory milestone payment provided in the Chiesi EX-US Agreement. All other regulatory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commercial milestone payments remain unchanged. The Company received the payment in June 2021. The Company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also agreed to negotiate certain manufacturing related matters.</w:t>
      </w:r>
    </w:p>
    <w:p>
      <w:pPr>
        <w:spacing w:after="0" w:line="139" w:lineRule="exact"/>
        <w:rPr>
          <w:sz w:val="20"/>
          <w:szCs w:val="20"/>
          <w:color w:val="auto"/>
        </w:rPr>
      </w:pPr>
    </w:p>
    <w:p>
      <w:pPr>
        <w:ind w:left="980" w:right="100"/>
        <w:spacing w:after="0" w:line="254"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is required to manufacture all of the Elfabrio drug substance needed under the agreements, subject to certain exceptions, and Chiesi will purchase Elfabrio drug product from Protalix, subject to certain terms and conditions. The consideration for Protalix Ltd. is based on the drug product supplied to Chiesi and the average selling price of the drug product in the relevant territory multiplied by tiered payments as described in the relevant agreement. Under the Chiesi Ex-US Agreement, the price payable to the Company for drug product supplied is based on a range of 15% to 35% of the average selling price of the drug product in the applicable territory, and under the Chiesi US Agreement, such price is based on a range of 15% to 40% of the average selling price of the drug product in the United States.</w:t>
      </w:r>
    </w:p>
    <w:p>
      <w:pPr>
        <w:spacing w:after="0" w:line="124"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August 29, 2022, the Company entered into a Fill/Finish Agreement (the “F/F Agreement”) and a Letter Agreement (the “Letter Agreement”), in each case with Chiesi. The Company agreed to supply Chiesi with drug substance for pegunigalsidase alfa in connection with the commercial fill/finish services. Under the F/F Agreement, and, following relevant technology and technical information transfer activities, Chiesi agreed, among other things, to provide the Company with commercial fill/finish services for pegunigalsidase alfa, including to support the anticipated global launch of pegunigalsidase alfa.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111" w:lineRule="exact"/>
        <w:rPr>
          <w:sz w:val="20"/>
          <w:szCs w:val="20"/>
          <w:color w:val="auto"/>
        </w:rPr>
      </w:pPr>
    </w:p>
    <w:p>
      <w:pPr>
        <w:ind w:left="980" w:right="60"/>
        <w:spacing w:after="0" w:line="254" w:lineRule="auto"/>
        <w:rPr>
          <w:sz w:val="20"/>
          <w:szCs w:val="20"/>
          <w:color w:val="auto"/>
        </w:rPr>
      </w:pPr>
      <w:r>
        <w:rPr>
          <w:rFonts w:ascii="Times New Roman" w:cs="Times New Roman" w:eastAsia="Times New Roman" w:hAnsi="Times New Roman"/>
          <w:sz w:val="18"/>
          <w:szCs w:val="18"/>
          <w:color w:val="auto"/>
        </w:rPr>
        <w:t>Since its approval by the FDA, taliglucerase alfa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ectPr>
          <w:pgSz w:w="11900" w:h="16838" w:orient="portrait"/>
          <w:cols w:equalWidth="0" w:num="1">
            <w:col w:w="9920"/>
          </w:cols>
          <w:pgMar w:left="980" w:top="661" w:right="99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 supply BioManguinhos alfataliglicerase to Fiocruz and patients continue to be treated with BioManguinhos alfataliglicerase in Brazil.</w:t>
      </w:r>
    </w:p>
    <w:p>
      <w:pPr>
        <w:spacing w:after="0" w:line="120"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7"/>
          <w:szCs w:val="17"/>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At the same time, clashes between Israel and Hezbollah in Lebanon have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Since the outbreak of the war, other regional actors, including Iran, have taken military action against Israel. It is currently not possible to predict the duration or severity of the ongoing conflict or its effects on the Company’s business, operations and financial conditions. The ongoing conflict is rapidly evolving and developing, and could disrupt certain of the Company’s business and operations, among others. The Company has elected to store manufactured drug substance in multiple locations, both within and outside of Israel, to mitigate the risk of loss due to the military operations. As of the issuance of these financial statements, the impact of the war has not had an adverse effect on the Company’s operations.</w:t>
      </w:r>
    </w:p>
    <w:p>
      <w:pPr>
        <w:spacing w:after="0" w:line="103"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the product candidates. The Company believes that its cash and cash equivalents as of September 30, 2024 are sufficient to satisfy the Company’s capital needs for at least 12 months from the date that these financial statements are issued.</w:t>
      </w:r>
    </w:p>
    <w:p>
      <w:pPr>
        <w:spacing w:after="0" w:line="10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87" w:lineRule="exact"/>
        <w:rPr>
          <w:rFonts w:ascii="Times New Roman" w:cs="Times New Roman" w:eastAsia="Times New Roman" w:hAnsi="Times New Roman"/>
          <w:sz w:val="18"/>
          <w:szCs w:val="18"/>
          <w:b w:val="1"/>
          <w:bCs w:val="1"/>
          <w:color w:val="auto"/>
        </w:rPr>
      </w:pPr>
    </w:p>
    <w:p>
      <w:pPr>
        <w:ind w:left="98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2023, filed by the Company with the U.S. Securities and Exchange Commission (the “Commission”). The comparative balance sheet at December 31, 2023 has been derived from the audited financial statements at that date. There have been no material changes in our significant accounting policies as described in our consolidated financial statements for the year ended December 31, 2023, except for convertible notes, as described below.</w:t>
      </w:r>
    </w:p>
    <w:p>
      <w:pPr>
        <w:spacing w:after="0" w:line="18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ind w:left="98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by dividing the net income (loss) by the weighted average number of shares of Common Stock outstanding during each period.</w:t>
      </w:r>
    </w:p>
    <w:p>
      <w:pPr>
        <w:spacing w:after="0" w:line="121" w:lineRule="exact"/>
        <w:rPr>
          <w:rFonts w:ascii="Times New Roman" w:cs="Times New Roman" w:eastAsia="Times New Roman" w:hAnsi="Times New Roman"/>
          <w:sz w:val="18"/>
          <w:szCs w:val="18"/>
          <w:b w:val="1"/>
          <w:bCs w:val="1"/>
          <w:color w:val="auto"/>
        </w:rPr>
      </w:pPr>
    </w:p>
    <w:p>
      <w:pPr>
        <w:ind w:left="98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12529"/>
        </w:rPr>
        <w:t>Diluted earnings per share is calculated by dividing the net income by the weighted-average number of shares of Common Stock outstanding during each period increased to include the number of additional shares of Common Stock that would have been outstanding if the potentially dilutive shares had been issued.</w:t>
      </w:r>
    </w:p>
    <w:p>
      <w:pPr>
        <w:spacing w:after="0" w:line="148"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12529"/>
        </w:rPr>
        <w:t>In computing diluted earnings per share, basic earnings per share are adjusted to take into account the potential dilution that</w:t>
      </w:r>
    </w:p>
    <w:p>
      <w:pPr>
        <w:spacing w:after="0" w:line="27" w:lineRule="exact"/>
        <w:rPr>
          <w:sz w:val="20"/>
          <w:szCs w:val="20"/>
          <w:color w:val="auto"/>
        </w:rPr>
      </w:pPr>
    </w:p>
    <w:p>
      <w:pPr>
        <w:jc w:val="center"/>
        <w:ind w:left="1220" w:right="740"/>
        <w:spacing w:after="0" w:line="260" w:lineRule="auto"/>
        <w:rPr>
          <w:sz w:val="20"/>
          <w:szCs w:val="20"/>
          <w:color w:val="auto"/>
        </w:rPr>
      </w:pPr>
      <w:r>
        <w:rPr>
          <w:rFonts w:ascii="Times New Roman" w:cs="Times New Roman" w:eastAsia="Times New Roman" w:hAnsi="Times New Roman"/>
          <w:sz w:val="18"/>
          <w:szCs w:val="18"/>
          <w:color w:val="212529"/>
        </w:rPr>
        <w:t xml:space="preserve">could occur upon: (i) the exercise of options granted under employee stock compensation plans using the treasury </w:t>
      </w:r>
      <w:r>
        <w:rPr>
          <w:rFonts w:ascii="Times New Roman" w:cs="Times New Roman" w:eastAsia="Times New Roman" w:hAnsi="Times New Roman"/>
          <w:sz w:val="18"/>
          <w:szCs w:val="18"/>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212529"/>
        </w:rPr>
        <w:t>stock method; (ii) the exercise of warrants using the treasury stock method; and (iii) the conversion of the convertible notes using the “if-converted” method.</w:t>
      </w:r>
    </w:p>
    <w:p>
      <w:pPr>
        <w:spacing w:after="0" w:line="117"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jc w:val="both"/>
        <w:ind w:left="98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2024, the Company repaid in full all of the outstanding principal and interest payable under its 7.50% Senior Secured Convertible Promissory Notes due September 2024 (the “2024 Notes”). The repayment of the convertible notes at maturity was financed entirely with available cash.</w:t>
      </w:r>
    </w:p>
    <w:p>
      <w:pPr>
        <w:spacing w:after="0" w:line="148" w:lineRule="exact"/>
        <w:rPr>
          <w:rFonts w:ascii="Times New Roman" w:cs="Times New Roman" w:eastAsia="Times New Roman" w:hAnsi="Times New Roman"/>
          <w:sz w:val="18"/>
          <w:szCs w:val="18"/>
          <w:b w:val="1"/>
          <w:bCs w:val="1"/>
          <w:color w:val="auto"/>
        </w:rPr>
      </w:pPr>
    </w:p>
    <w:p>
      <w:pPr>
        <w:ind w:left="98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2024, the Company accounted for its outstanding convertible notes using the guidance set forth in the Financial Accounting Standards Board (“FASB”) Accounting Standards Codification (“ASC”) 815 which required that the Company determine whether the embedded conversion option must be separated from the other features of the applicable note instrument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Company’s outstanding 2024 Notes were accounted for as a liability (debt) and equity component (conversion option) as the convertible notes may be settled wholly or partly in cash, at the option of the Company, when converted.</w:t>
      </w:r>
    </w:p>
    <w:p>
      <w:pPr>
        <w:spacing w:after="0" w:line="147" w:lineRule="exact"/>
        <w:rPr>
          <w:rFonts w:ascii="Times New Roman" w:cs="Times New Roman" w:eastAsia="Times New Roman" w:hAnsi="Times New Roman"/>
          <w:sz w:val="18"/>
          <w:szCs w:val="18"/>
          <w:b w:val="1"/>
          <w:bCs w:val="1"/>
          <w:color w:val="auto"/>
        </w:rPr>
      </w:pPr>
    </w:p>
    <w:p>
      <w:pPr>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 – 40)” (“ASU 2020-06”). ASU 2020-06 simplifies the accounting for convertible instruments by removing certain separation models in ASC 470-20, Debt—Debt with Conversion and Other Options, for convertible instruments. ASU 2020-06 updates the guidance on certain embedded conversion features that are not required to be accounted for as derivatives under Topic 815, Derivatives and Hedging, or that do not result in substantial premiums accounted for as paid-in capital, such that those features are no longer required to be separated from the host contract. The convertible debt instruments will be accounted for as a single liability measured at amortized cost. This will also result in the interest expense recognized for convertible debt instruments to be typically closer to the coupon interest rate when applying the guidance in Topic 835. On January 1, 2024, the Company adopted ASU 2020-06 using the modified retrospective method of adoption. Under this method, the Company applied the guidance to the 2024 Notes at the adoption date and was required to make an adjustment to January 1, 2024, opening accumulated deficit balance and additional paid in capital. The prior period consolidated financial statements have not been retrospectively adjusted and continue to be reported under the accounting standards in effect for those periods. Under ASU 2020-06, the 2024 Notes (debt and conversion option) are accounted for as a liability. The impact to the Company's consolidated balance sheet as of December 31, 2023 resulting from its adoption of ASU 2020-06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Updated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9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00"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ASU 2020-06, which was issued by the FASB in August 2020 and adopted by the Company in January 2024, simplifies the accounting for certain financial instruments with characteristics of both liability and equity, including convertible instruments and contracts on an entity’s own equity. The amendments to this guidance are effective for fiscal years beginning after December 15, 2023, and interim periods within those fiscal years. See Note 1(d).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7"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Early adoption is permitted, with the option to apply the standard retrospectively. The Company is currently evaluating this guidance to determine the impact it may have on its consolidated financial statements disclosures.</w:t>
      </w:r>
    </w:p>
    <w:p>
      <w:pPr>
        <w:spacing w:after="0" w:line="162" w:lineRule="exact"/>
        <w:rPr>
          <w:sz w:val="20"/>
          <w:szCs w:val="20"/>
          <w:color w:val="auto"/>
        </w:rPr>
      </w:pPr>
    </w:p>
    <w:p>
      <w:pPr>
        <w:ind w:left="980" w:right="8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of the disclosures required under ASC 280.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and related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at September 30, 2024 and December 31, 2023 consisted of the following:</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189"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jc w:val="both"/>
        <w:ind w:left="660" w:right="16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35"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35"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21"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identical or close to their carrying value.</w:t>
      </w:r>
    </w:p>
    <w:p>
      <w:pPr>
        <w:sectPr>
          <w:pgSz w:w="11900" w:h="16838" w:orient="portrait"/>
          <w:cols w:equalWidth="0" w:num="1">
            <w:col w:w="9900"/>
          </w:cols>
          <w:pgMar w:left="980" w:top="661" w:right="101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2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TRANSACTIONS</w:t>
      </w:r>
    </w:p>
    <w:p>
      <w:pPr>
        <w:spacing w:after="0" w:line="189"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On January 15, 2024, the Company granted, with the approval of the Company’s compensation committee, 100,000 shares of restricted Common Stock, in the aggregate, to certain of the Company’s employees under the Company’s Amended and Restated 2006 Employee Stock Incentive Plan, as amended (the “Plan”). All such shares of restricted Common Stock vest over a three-year period in 12 equal quarterly increments. The Company estimated the fair value of the restricted stock on the date of grant to be approximately $0.2 million.</w:t>
      </w:r>
    </w:p>
    <w:p>
      <w:pPr>
        <w:spacing w:after="0" w:line="183"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On April 1, 2024, the Company granted, with the approval of the Company’s compensation committee, 263,960 shares of fully-vested restricted Common Stock to the Company’s President and Chief Executive Officer under the Plan instead of a cash bonus. The Company estimated the fair value of the restricted stock on the date of grant to be approximately $0.3 million.</w:t>
      </w:r>
    </w:p>
    <w:p>
      <w:pPr>
        <w:spacing w:after="0" w:line="17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On July 2, 2024, the Company granted, with the approval of the Company’s compensation committee, 250,000 shares of restricted Common Stock to its new Vice President, Research and Development, under the Plan. The first third of such shares of restricted Common Stock vest on the first anniversary of the date of grant and the remaining two-thirds of the shares vest over the subsequent two-year period in eight equal quarterly increments. The Company estimated the fair value of the restricted stock on the date of grant to be approximately $0.3 million.</w:t>
      </w:r>
    </w:p>
    <w:p>
      <w:pPr>
        <w:spacing w:after="0" w:line="183"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On September 23, 2024, the Company granted, with the approval of the Company’s compensation committee, 90,909 shares of fully-vested restricted Common Stock, in the aggregate, to its Sr. Vice President and Chief Financial Officer under the Plan. The Company estimated the fair value of the restricted stock on the date of grant to be approximately $0.1 million.</w:t>
      </w:r>
    </w:p>
    <w:p>
      <w:pPr>
        <w:spacing w:after="0" w:line="176"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On September 23, 2024, the Company granted, with the approval of the Company’s compensation committee, 10-year options to purchase 1,015,725 shares of Common Stock, in the aggregate, to certain of the Company’s officers and other employees under the Plan. The options have an exercise price equal to $1.10 per share and vest over a three-year period in 12 equal quarterly increments. Vesting of the options granted to executive officers is subject to automatic acceleration in full upon a Corporate Transaction or a Change in Control, as those terms are defined in the Plan, and are subject to certain other terms and conditions. The Company estimated the aggregate fair value of the options on the date of grant using the Black-Scholes option-pricing model to be approximately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60" w:right="19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EARNINGS (LOSS) PER SHARE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Basic and diluted net earnings (loss) per share attributable to common stockholders were calculated as follows:</w:t>
      </w:r>
    </w:p>
    <w:p>
      <w:pPr>
        <w:spacing w:after="0" w:line="27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 of 2024 Notes*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for diluted calculation</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Weighted average shares of Common Stock</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for basic calculation</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73,301,091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65,811,506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73,549,745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72,281,681</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 2024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13,981,660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7,667,323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11,500,998</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 stock</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Weighted average shares of Common Stock</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73,301,091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81,040,281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81,217,068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83,782,679</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for diluted calculation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980" w:right="100"/>
        <w:spacing w:after="0" w:line="282" w:lineRule="auto"/>
        <w:tabs>
          <w:tab w:leader="none" w:pos="108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expenses on 2024 Notes consists of add back of financial expense incurred during the period and inclusion of make-whole interest payments that will be incurred upon conversion.</w:t>
      </w:r>
    </w:p>
    <w:p>
      <w:pPr>
        <w:spacing w:after="0" w:line="13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Diluted earnings (loss) per share do not include 30,515,287 shares of Common Stock underlying outstanding stock options, warrants and the 2024 Notes for the nine months ended September 30, 2024, and 20,173,438 shares of Common Stock underlying outstanding stock options and warrants for the three months ended September 30, 2024, because the effect would be anti-dilutive.</w:t>
      </w:r>
    </w:p>
    <w:p>
      <w:pPr>
        <w:spacing w:after="0" w:line="153"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Diluted earnings (loss) per share do not include 19,429,910 and 18,399,260 shares of Common Stock underlying outstanding stock options and warrants of the Company for the three and nine months ended September 30, 2023, respectively, because the effect would be anti-dilutive.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TAXES ON INCOME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45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Three Months Ended September 30,</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taxes on income</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The Company had an effective tax rate of (13)% for the nine months ended September 30, 2024, compared to an effective tax rate of 4% for the nine months ended September 30, 2023. For the nine months ended September 30, 2024, the difference between the Company’s effective tax rate and the U.S. federal statutory rate of 21% was the result of forecasted profits derived primarily from U.S. taxable GILTI income mainly due to Section 174 of the U.S. Tax Cuts and Jobs Act, which was enacted in December 2017 (the “TCJA”).</w:t>
      </w:r>
    </w:p>
    <w:p>
      <w:pPr>
        <w:spacing w:after="0" w:line="143"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212529"/>
        </w:rPr>
        <w:t>In the second quarter ended June 30, 2023, following the regulatory approvals for Elfabrio in May 2023, the receipt of the $20.0 million milestone payment and the launch of Elfabrio in the United States, the Company released valuation allowance previously recorded on deferred tax assets in respect of its net operating losses (“NOLs”) in the United States resulting in a net tax benefit of $3.1 million. The Company concluded that, based upon the preponderance of positive evidence over negative evidence and the anticipated ability to use the deferred tax assets, it was more likely than not that these deferred tax</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212529"/>
        </w:rPr>
        <w:t>assets would be realizable due to forecasted profits. The Company considered the following: (i) cumulative profits for tax over the previous 12 quarters in its U.S. operations; (ii) the impact of Section 174 of the TCJA which requires the Company to capitalize and amortize its research and development expenses over 15 years; and (iii) its forecasted profits in the United States following the regulatory approvals of Elfabrio.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SUPPLEMENTARY FINANCIAL STATEMENT INFORMATION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Sales reserve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Since the end of the quarter ended September 30, 2024, the Company collected approximately $3.9 million from sales to Chiesi.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2023. Some of the information contained in this discussion and analysis, particularly with respect to our plans and strategy for our business and related financing, includes forward-looking statements within the meanings of Section 27A of the Securities Act of 1933, as amended,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in our Quarterly Report on Form 10-Q for the quarter ended June 30, 2024 and in this Quarterly Report on Form 10-Q.</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right="80" w:firstLine="656"/>
        <w:spacing w:after="0" w:line="217"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71" w:lineRule="exact"/>
        <w:rPr>
          <w:rFonts w:ascii="Times New Roman" w:cs="Times New Roman" w:eastAsia="Times New Roman" w:hAnsi="Times New Roman"/>
          <w:sz w:val="18"/>
          <w:szCs w:val="18"/>
          <w:color w:val="auto"/>
        </w:rPr>
      </w:pPr>
    </w:p>
    <w:p>
      <w:pPr>
        <w:ind w:right="6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FDA approval received for the product;</w:t>
      </w:r>
    </w:p>
    <w:p>
      <w:pPr>
        <w:spacing w:after="0" w:line="121" w:lineRule="exact"/>
        <w:rPr>
          <w:rFonts w:ascii="Times New Roman" w:cs="Times New Roman" w:eastAsia="Times New Roman" w:hAnsi="Times New Roman"/>
          <w:sz w:val="18"/>
          <w:szCs w:val="18"/>
          <w:color w:val="auto"/>
        </w:rPr>
      </w:pPr>
    </w:p>
    <w:p>
      <w:pPr>
        <w:ind w:right="4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 and the risk that the current hostilities will result in a greater regional conflict;</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for our products and product candidates;</w:t>
      </w:r>
    </w:p>
    <w:p>
      <w:pPr>
        <w:spacing w:after="0" w:line="184" w:lineRule="exact"/>
        <w:rPr>
          <w:rFonts w:ascii="Times New Roman" w:cs="Times New Roman" w:eastAsia="Times New Roman" w:hAnsi="Times New Roman"/>
          <w:sz w:val="18"/>
          <w:szCs w:val="18"/>
          <w:color w:val="auto"/>
        </w:rPr>
      </w:pPr>
    </w:p>
    <w:p>
      <w:pPr>
        <w:ind w:right="8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2" w:lineRule="exact"/>
        <w:rPr>
          <w:rFonts w:ascii="Times New Roman" w:cs="Times New Roman" w:eastAsia="Times New Roman" w:hAnsi="Times New Roman"/>
          <w:sz w:val="18"/>
          <w:szCs w:val="18"/>
          <w:color w:val="auto"/>
        </w:rPr>
      </w:pPr>
    </w:p>
    <w:p>
      <w:pPr>
        <w:ind w:right="14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EMA or other health regulatory authorities for our other product candidates, and other risks relating to the review process;</w:t>
      </w:r>
    </w:p>
    <w:p>
      <w:pPr>
        <w:spacing w:after="0" w:line="134" w:lineRule="exact"/>
        <w:rPr>
          <w:rFonts w:ascii="Times New Roman" w:cs="Times New Roman" w:eastAsia="Times New Roman" w:hAnsi="Times New Roman"/>
          <w:sz w:val="18"/>
          <w:szCs w:val="18"/>
          <w:color w:val="auto"/>
        </w:rPr>
      </w:pPr>
    </w:p>
    <w:p>
      <w:pPr>
        <w:ind w:firstLine="656"/>
        <w:spacing w:after="0" w:line="266"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global conditions and developments such as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35" w:lineRule="exact"/>
        <w:rPr>
          <w:rFonts w:ascii="Times New Roman" w:cs="Times New Roman" w:eastAsia="Times New Roman" w:hAnsi="Times New Roman"/>
          <w:sz w:val="18"/>
          <w:szCs w:val="18"/>
          <w:color w:val="auto"/>
        </w:rPr>
      </w:pPr>
    </w:p>
    <w:p>
      <w:pPr>
        <w:ind w:right="10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ectPr>
          <w:pgSz w:w="11900" w:h="16838" w:orient="portrait"/>
          <w:cols w:equalWidth="0" w:num="1">
            <w:col w:w="9920"/>
          </w:cols>
          <w:pgMar w:left="980" w:top="661" w:right="99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and Chiesi;</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and cash equivalents;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84" w:lineRule="exact"/>
        <w:rPr>
          <w:rFonts w:ascii="Times New Roman" w:cs="Times New Roman" w:eastAsia="Times New Roman" w:hAnsi="Times New Roman"/>
          <w:sz w:val="18"/>
          <w:szCs w:val="18"/>
          <w:color w:val="auto"/>
        </w:rPr>
      </w:pPr>
    </w:p>
    <w:p>
      <w:pPr>
        <w:ind w:right="400"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Fiocruz with its purchase obligations under our supply and technology transfer agreement, which may have a material adverse effect on us and may also result in the termination of such agreement;</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98"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Developments</w:t>
      </w:r>
    </w:p>
    <w:p>
      <w:pPr>
        <w:spacing w:after="0" w:line="189" w:lineRule="exact"/>
        <w:rPr>
          <w:sz w:val="20"/>
          <w:szCs w:val="20"/>
          <w:color w:val="auto"/>
        </w:rPr>
      </w:pPr>
    </w:p>
    <w:p>
      <w:pPr>
        <w:ind w:right="240" w:firstLine="656"/>
        <w:spacing w:after="0" w:line="282"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repaid in full all of the outstanding principal and interest payable under our 2024 Notes. The repayment of the convertible notes at maturity was financed entirely with available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We are the first and only company to gain FDA approval of a protein produced through plant cell-based expression, and with the recent approval of Elfabrio, we now have two commercial proteins produced through our platform.</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its allows us to develop and produce tailored complex recombinant therapeutic proteins and to genetically engineer and/or chemically 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which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monoclonal antibodies, hormones,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4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139700</wp:posOffset>
            </wp:positionV>
            <wp:extent cx="6172200" cy="2537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78105</wp:posOffset>
            </wp:positionV>
            <wp:extent cx="6172200" cy="2606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131445</wp:posOffset>
            </wp:positionV>
            <wp:extent cx="6172200" cy="1903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23 markets including the United States, Brazil, Israel and others.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general population. In people of Ashkenazi Jewish heritage, estimates of occurrence vary from approximately 1 in 400 to 1 in 850 people.</w:t>
      </w:r>
    </w:p>
    <w:p>
      <w:pPr>
        <w:spacing w:after="0" w:line="113" w:lineRule="exact"/>
        <w:rPr>
          <w:sz w:val="20"/>
          <w:szCs w:val="20"/>
          <w:color w:val="auto"/>
        </w:rPr>
      </w:pPr>
    </w:p>
    <w:p>
      <w:pPr>
        <w:spacing w:after="0" w:line="201" w:lineRule="auto"/>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(acquired by Takeda Pharmaceutical Company Limited)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 $1.6 billion in 2023, is forecasted to be approximately $1.65 billion in 2024 and is forecasted to grow at a compound annual growth rate (CAGR) of approximately -0.12% from 2023-2030.</w:t>
      </w:r>
    </w:p>
    <w:p>
      <w:pPr>
        <w:spacing w:after="0" w:line="171"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Sanofi Genzyme’s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Takeda’s (Shire) Vpriv.</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Elfabrio, our second commercial product, was approved by the EC for marketing in the EU and by the FDA for marketing in the United States in May 2023 for adult patients with Fabry disease. Both approvals cover the 1 mg/kg every two weeks dosage.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 According to the EMA, overall, the benefit/risk balance of Elfabrio is positive in the claimed indication (Fabry disease). The FDA publicly released the internal review documents for Elfabrio.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our phase I\II clinical trial of Fabry disease, with confirmatory evidence provided by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Since the approvals by the FDA and the EMA, Elfabrio has also been approved for marketing in Great Britain, Switzerland, Peru and Israel for long-term enzyme replacement therapy in adult patients with a confirmed diagnosis of Fabry disease.</w:t>
      </w:r>
    </w:p>
    <w:p>
      <w:pPr>
        <w:spacing w:after="0" w:line="12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ERTs for Fabry disease are agalsidase alfa,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59" w:lineRule="exact"/>
        <w:rPr>
          <w:sz w:val="20"/>
          <w:szCs w:val="20"/>
          <w:color w:val="auto"/>
        </w:rPr>
      </w:pPr>
    </w:p>
    <w:p>
      <w:pPr>
        <w:ind w:right="80"/>
        <w:spacing w:after="0" w:line="201" w:lineRule="auto"/>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Amicus Therapeutics’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is forecasted to be approximately $2.1 billion in 2024 and is forecasted to grow at a CAGR of 7.4% from 2023-2030 reaching approximately $3.3 billion in annual sales in 2030.</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Regulatory Background</w:t>
      </w:r>
    </w:p>
    <w:p>
      <w:pPr>
        <w:spacing w:after="0" w:line="1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the name we assigned to Elfabrio internally prior to its approvals, for the potential treatment of adult patients with Fabry disease. The initial BLA for PRX-102 was submitted to the FDA on May 27, 2020 under the FDA’s Accelerated Approval pathway, and the submission was subsequently accepted by the FDA and granted Priority Review designation. However, in April 2021, the FDA issued a complete response letter, or CRL, in response to the initial BLA. In preparation for the BLA resubmission, we and Chiesi participated in a Type A (End of Review) meeting with the FDA on September 9, 2021. As part of the meeting minutes provided by the FDA, which included the</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preliminary comments and meeting discussion, the FDA, in principle, agreed that the data package proposed to the FDA for a BLA resubmission had the potential to support a traditional approval of PRX-102 for the treatment of Fabry disease. The data package in the BLA resubmission, given the change in the regulatory landscape in the United States, included the final two-year analyses of</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were completed in July 2022, and long-term data from our open-label extension study of PRX-102 in adult patients treated with a 2 mg/kg every four weeks dosage of PRX-102. The initial BLA included a comprehensive set of preclinical, clinical and manufacturing data compiled from our completed phase I/II clinical trial of PRX-102, including the related extension study, interim clinical data from our phase III BRIDGE clinical trial of PRX-102 for the treatment of Fabry disease, or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safety data from our then on-going clinical studies of PRX-102 in adult patients receiving 1 mg/kg every two weeks.</w:t>
      </w:r>
    </w:p>
    <w:p>
      <w:pPr>
        <w:spacing w:after="0" w:line="14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concerns relating to the potential safety or efficacy of PRX-102 in the submitted data package were raised in the CRL. The FDA noted in CRL that an inspection of our manufacturing facility in Carmiel, Israel, including the FDA’s subsequent assessment of any related FDA findings, is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included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was released in June 2021. Data generated from the completed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phase I/II clinical trial in naive or untreated patients, and from the extension studies with 1 mg/kg every two weeks were also included in the submission. In addition, the MAA included data from the completed 12-month switch–over phase III BRIGHT clinical trial of PRX-102 for the treatment of Fabry disease for adult patients with Fabry disease treated with the 2 mg/kg every four weeks dosage, or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As part of the EMA review process, we and Chiesi received the Day 120 list of questions in June 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final Clinical Study Report), and an interim analysis of the long-term, open-label extension study of PRX-102 in adult patients with Fabry disease treated with the 2 mg/kg every four weeks dosage.</w:t>
      </w:r>
    </w:p>
    <w:p>
      <w:pPr>
        <w:spacing w:after="0" w:line="15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February 24, 2023, we, together with Chiesi, announced that the CHMP had adopted a positive opinion, recommending marketing authorization for PRX-102. The CHMP opinion was then referred for final action to the EC. As disclosed above, Elfabrio was subsequently approved by the EC for marketing in the EU and in the United States in May 2023 for adult patients with Fabry disease. Both approvals cover the 1 mg/kg every two weeks dosage.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Key Trials and Design</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phase III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all of which have been completed. In the phase III clinical program overall, two potential dosing regimens for PRX-102 were analyzed; 1 mg/kg every two weeks, with the potential for improved efficacy and safety offering a potential alternative to existing enzyme replacement therapies, and 2 mg/kg every four weeks. The phase III program was preceded by the phase I/II clinical trial, a dose range finding study in ERT-naïve adult patients with Fabry disease, which was completed in 2016.</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BALANCE Study</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 administered every two weeks compared to agalsidase beta. The Clinical Study Report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completed in July 2022. The final analysis confirmed the positive top-line results (announced in April 2022) and favorable tolerability profile. A total of 78 patients who were previously treated with agalsidase beta for at least one year with an eGFR slope at screening worse than -</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20"/>
        <w:spacing w:after="0" w:line="226" w:lineRule="auto"/>
        <w:rPr>
          <w:sz w:val="20"/>
          <w:szCs w:val="20"/>
          <w:color w:val="auto"/>
        </w:rPr>
      </w:pPr>
      <w:r>
        <w:rPr>
          <w:rFonts w:ascii="Times New Roman" w:cs="Times New Roman" w:eastAsia="Times New Roman" w:hAnsi="Times New Roman"/>
          <w:sz w:val="18"/>
          <w:szCs w:val="18"/>
          <w:color w:val="auto"/>
        </w:rPr>
        <w:t>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6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(21.2%) patients in the PRX-102 arm experienced a total of 13 events compared to six (24.0%) patients experiencing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events in the agalsidase beta arm. The number of infusion-related reactions adjusted to 100 infusions is 0.5 for the PRX-102 arm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for agalsidase beta arm.</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in-line with what was observed in the previous clinical studies of PRX-102.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from both the PRX-102 and agalsidase beta treatment arms, 69 opted, with the advice of the treating physician, to receive PRX-102 1 mg/kg every two weeks in the long-term open-label extension study which is now sponsored by Chiesi.</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BRIDGE Study</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 agalsidase alfa for at least two years and on a stable dose for at least six months. In the study, patients were screened and evaluated over three months while continuing agalsidase alfa treatment. The study was completed in December 2019.</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Final results of the data generated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w:t>
      </w:r>
    </w:p>
    <w:p>
      <w:pPr>
        <w:spacing w:after="0" w:line="180" w:lineRule="auto"/>
        <w:rPr>
          <w:sz w:val="20"/>
          <w:szCs w:val="20"/>
          <w:color w:val="auto"/>
        </w:rPr>
      </w:pPr>
      <w:r>
        <w:rPr>
          <w:rFonts w:ascii="Times New Roman" w:cs="Times New Roman" w:eastAsia="Times New Roman" w:hAnsi="Times New Roman"/>
          <w:sz w:val="17"/>
          <w:szCs w:val="17"/>
          <w:color w:val="auto"/>
        </w:rPr>
        <w:t>to -1.19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on PRX-102 in all patients. Male patients improved from -6.36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w:t>
      </w:r>
    </w:p>
    <w:p>
      <w:pPr>
        <w:spacing w:after="0" w:line="180" w:lineRule="auto"/>
        <w:rPr>
          <w:sz w:val="20"/>
          <w:szCs w:val="20"/>
          <w:color w:val="auto"/>
        </w:rPr>
      </w:pPr>
      <w:r>
        <w:rPr>
          <w:rFonts w:ascii="Times New Roman" w:cs="Times New Roman" w:eastAsia="Times New Roman" w:hAnsi="Times New Roman"/>
          <w:sz w:val="17"/>
          <w:szCs w:val="17"/>
          <w:color w:val="auto"/>
        </w:rPr>
        <w:t>-1.73mL/min/1.73m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and female patients improved from -5.03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-0.21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Following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switch to PRX-102, there was a decrease in patients with progressing or fast progressing kidney disease which is consistent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 goals for Fabry disease, as identified by Christoph Wanner, et. al., in 2019, and most patients achieved a stable status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switch.</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patients that completed the trial, 18 opted, with the advice of the treating physician, to continue receiving PRX-102 1 mg/kg every two weeks in a long-term open-label extension study which is now sponsored by Chiesi.</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BRIGHT Study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study was completed in June 2020. The 2 mg/kg every four weeks dosage has not been approved by the EMA, FDA or any other jurisdiction.</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5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 Medical Monitor agreed that it was safe to do so. Safety and efficacy exploratory endpoints were assessed throughout the 52-week study.</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Study outcome measures show that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concentrations remained stable during the study with a mean change (±SE) of</w:t>
      </w:r>
    </w:p>
    <w:p>
      <w:pPr>
        <w:spacing w:after="0" w:line="44"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ectPr>
          <w:pgSz w:w="11900" w:h="16838" w:orient="portrait"/>
          <w:cols w:equalWidth="0" w:num="1">
            <w:col w:w="9920"/>
          </w:cols>
          <w:pgMar w:left="980" w:top="661" w:right="999" w:bottom="1440" w:gutter="0" w:footer="0" w:header="0"/>
        </w:sectPr>
      </w:pP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 Additional long term data is being collected as part of the ongoing long term extension study (PB-102-F51, NCT03614234) of the 2 mg/kg PRX-102 every four weeks dose.</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29 opted, with the advice of the treating physician, to continue receiving PRX-102 2 mg/kg every four weeks in a long-term open-label extension study which is now sponsored by Chiesi. Two of such patients are being treated with 1 mg/kg every two weeks dosage.</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Study</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phase I/II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initiated the phase I\II study after PRX-102, in preclinical studies,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ADAs.</w:t>
      </w:r>
    </w:p>
    <w:p>
      <w:pPr>
        <w:spacing w:after="0" w:line="139"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3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 xml:space="preserve">Of the patients who completed the trial, 10 patients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studies.</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Extension Studies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Overall, 126 patients who participated in our PRX-102 clinical program initially opted, with the advice of the treating physician, to enroll in one of our long-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term, open label, extension studies of PRX-102: 97 patients in the 1 mg/kg every two weeks extension study (PB-102-F60, NCT03566017) (10 patients who completed an extension study from the phase I/II study, 18 patients who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patients who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2 mg/kg every four weeks extension study (PB-102-F51, NCT03614234). Two of the patients in the PB-102-F51 study are being treated with 1 mg/kg every two weeks. As of March 1, 2023, sponsorship of the two extension studies was transferred to Chiesi, and Chiesi is now administering the open-label extension studies.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time, and as Elfabrio is approved for marketing in different jurisdictions, patients switch-out of the open-label extension studies.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them have transferred to a commercial setting; others withdraw for other reasons.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Pediatric FLY Study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Chiesi is sponsoring, with our collaborative efforts, a clinical trial entitled “Multi-Centre, Open-label Trial to Assess the Safety, Pharmacodynamics, Efficacy and Pharmacokinetics of pegunigalsidase alfa in Patients From 2 Years to Less Than 18 Years of Age With Confirmed Fabry Disease,” or the </w:t>
      </w:r>
      <w:r>
        <w:rPr>
          <w:rFonts w:ascii="Times New Roman" w:cs="Times New Roman" w:eastAsia="Times New Roman" w:hAnsi="Times New Roman"/>
          <w:sz w:val="18"/>
          <w:szCs w:val="18"/>
          <w:i w:val="1"/>
          <w:iCs w:val="1"/>
          <w:color w:val="auto"/>
        </w:rPr>
        <w:t>FLY</w:t>
      </w:r>
      <w:r>
        <w:rPr>
          <w:rFonts w:ascii="Times New Roman" w:cs="Times New Roman" w:eastAsia="Times New Roman" w:hAnsi="Times New Roman"/>
          <w:sz w:val="18"/>
          <w:szCs w:val="18"/>
          <w:color w:val="auto"/>
        </w:rPr>
        <w:t xml:space="preserve"> study (NCT06328608). The </w:t>
      </w:r>
      <w:r>
        <w:rPr>
          <w:rFonts w:ascii="Times New Roman" w:cs="Times New Roman" w:eastAsia="Times New Roman" w:hAnsi="Times New Roman"/>
          <w:sz w:val="18"/>
          <w:szCs w:val="18"/>
          <w:i w:val="1"/>
          <w:iCs w:val="1"/>
          <w:color w:val="auto"/>
        </w:rPr>
        <w:t>FLY</w:t>
      </w:r>
      <w:r>
        <w:rPr>
          <w:rFonts w:ascii="Times New Roman" w:cs="Times New Roman" w:eastAsia="Times New Roman" w:hAnsi="Times New Roman"/>
          <w:sz w:val="18"/>
          <w:szCs w:val="18"/>
          <w:color w:val="auto"/>
        </w:rPr>
        <w:t xml:space="preserve"> study is currently in the start-up phase. The design of the study is based on the Initial Pediatric Study Plan (iPSP) agreed to with the FDA and the paediatric investigation plan (PIP) for Elfabrio, which has been accepted, as amended, by the Paediatric Committee (PDCO) of the EMA.</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Japanese RISE Study</w:t>
      </w:r>
    </w:p>
    <w:p>
      <w:pPr>
        <w:spacing w:after="0" w:line="2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Chiesi is currently enrolling patients in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(NCT05710692). The aim of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is to evaluate the safety and efficacy of pegunigalsidase alfa in Japanese patients (adults and adolescents) affected by Fabry disease. It is planned that a total of approximately 18-20 male and female Fabry disease patients between the ages of 13 and 60 years will be enrolled in the study which is being conducted in Japan.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Approved Products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with Chiesi Farmaceutici</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development cost reimbursements of $45.0 million, and is entitled to approximately $1.0 billion in potential milestone payments as well as additional payments as consideration for drug product supply. The additional payments for drug product supplied are based on the average selling price of the drug product in the relevant territory multiplied by tiered payments, as detailed below. During the quarter ended June 30, 2023, we received net proceeds of $20.0 million representing a milestone payment earned upon the FDA’s approval of Elfabrio for adult Fabry patients.</w:t>
      </w:r>
    </w:p>
    <w:p>
      <w:pPr>
        <w:spacing w:after="0" w:line="14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for drug product purchased from Protalix based on the average selling price of the drug product in the relevant territory multiplied by 15% to 35%, depending on the amount of annual net sales outside of the United States.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for drug product purchased from Protalix based on the average selling price of the drug product in the United States multiplied by 15% to 40%, subject to certain terms and conditions, depending on the amount of annual net sales in the United States.</w:t>
      </w:r>
    </w:p>
    <w:p>
      <w:pPr>
        <w:spacing w:after="0" w:line="162" w:lineRule="exact"/>
        <w:rPr>
          <w:sz w:val="20"/>
          <w:szCs w:val="20"/>
          <w:color w:val="auto"/>
        </w:rPr>
      </w:pPr>
    </w:p>
    <w:p>
      <w:pPr>
        <w:jc w:val="center"/>
        <w:ind w:right="240"/>
        <w:spacing w:after="0" w:line="261"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and commercial milestone payments remain unchanged. We received the payment in June 2021. We also agreed to negotiate certain manufacturing related matters.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August 29, 2022, we entered into the F/F Agreement and the Letter Agreement with Chiesi. Under the F/F Agreement, we agreed to supply Chiesi with drug substance for PRX-102 and, following relevant technology and technical information transfer activities, Chiesi agreed, among other things, to provide us with commercial fill/finish services for PRX-102, including to support the anticipated global launch of PRX-102. The F/F Agreement will expire December 31, 2025, unless terminated earlier in accordance with its terms and may be extended by mutual agreement in writing for an additional period of seven years. The Letter Agreement changed our obligations and those of Chiesi under the License Agreements with respect to, among other things, the evaluation, selection and establishment of an initial alternate source of commercial fill/finish services for PRX-102. In addition, the Letter Agreement amended certain provisions of the License Agreements to reflect the appointment of Chiesi as a supplier to our company of commercial fill/finish services and the potential establishment of an initial alternate source of commercial fill/finish services.</w:t>
      </w:r>
    </w:p>
    <w:p>
      <w:pPr>
        <w:spacing w:after="0" w:line="16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1, 2023, sponsorship of the two extension studies was transferred to Chiesi, and Chiesi is now the sponsor of the extension studies.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for Elelyso</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first 10-year period after the execution of the October 2015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(i.e., until October 2030).</w:t>
      </w:r>
    </w:p>
    <w:p>
      <w:pPr>
        <w:spacing w:after="0" w:line="13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maintain distribution rights to Elelyso in Brazil through a supply and technology transfer agreement with Fiocruz, an arm of the Brazilian MoH.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Pipeline</w:t>
      </w:r>
    </w:p>
    <w:p>
      <w:pPr>
        <w:spacing w:after="0" w:line="20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PEGylization capabilities, as well as other modalities such as small molecules and antibodies, to take advantage of highly innovative opportunities. Our current pipeline of product candidates includes PEGylated uricase for the treatment of uncontrolled gout, Long Acting (LA) DNase I for the treatment of NETs and other technologies and preclinical assets.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patients with uncontrolled gout. The uricase enzyme, that does not exist naturally in humans, converts uric acid to allantoin, which is easily eliminated through urine. This recombinant enzyme, expressed via our ProCellEx system, is designed to lower uric acid levels and improve clinical manifestation of the disease while having low immunogenicity and increased half-life of the drug in the blood. Pre-clinical data demonstrates long half-life, reduced immunogenic risk and high specific activity which supports the potential of PRX-115 to be a safe and effective treatment for patients with gout. One-month multiple dosing toxicity studies in two species and 6-month multiple dosing toxicity study in one species were conducted to support single and multiple dose studies in humans.</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March 2024, we initiated our phase I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The study is being conducted at New Zealand Clinical Research (NZCR) under the New Zealand Medicines and Medical Devices Safety Authority (MedSafe) and the Health and Disability Ethics Committee (HDEC) guidelines. The study was initially designed to include seven sequential dosing cohorts, each composed of eight subjects (six active and two placebo), a 3:1 ratio. Subjects in each cohort, males and females aged 18 through 65, received a single dose of PRX-115 and are analyzed for safety, pharmacokinetics (PK) and pharmacodynamics (PD) (concentrations of plasma uric acid) for 85 days.</w:t>
      </w:r>
    </w:p>
    <w:p>
      <w:pPr>
        <w:sectPr>
          <w:pgSz w:w="11900" w:h="16838" w:orient="portrait"/>
          <w:cols w:equalWidth="0" w:num="1">
            <w:col w:w="9880"/>
          </w:cols>
          <w:pgMar w:left="980" w:top="661" w:right="1039" w:bottom="1440" w:gutter="0" w:footer="0" w:header="0"/>
        </w:sectPr>
      </w:pP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After a review of initial positive top-line results from the initial seven cohorts, and following the review and acceptance of the safety data from such seven cohorts by the safety and monitoring committee for dose escalation for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we decided to expand the study by adding an eighth cohort of eight new subjects to analyze a higher dose and its potential to result in increased exposure time. Currently, all eight cohorts have completed the study and the data is locked and is being analyzed.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Preliminary results from the full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are as follows:</w:t>
      </w:r>
    </w:p>
    <w:p>
      <w:pPr>
        <w:spacing w:after="0" w:line="200" w:lineRule="exact"/>
        <w:rPr>
          <w:sz w:val="20"/>
          <w:szCs w:val="20"/>
          <w:color w:val="auto"/>
        </w:rPr>
      </w:pPr>
    </w:p>
    <w:p>
      <w:pPr>
        <w:ind w:right="520" w:firstLine="656"/>
        <w:spacing w:after="0" w:line="282"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 PRX-115 levels were observed in plasma for up to 12 weeks from subjects in cohorts 6, 7, and 8.</w:t>
      </w:r>
    </w:p>
    <w:p>
      <w:pPr>
        <w:spacing w:after="0" w:line="121" w:lineRule="exact"/>
        <w:rPr>
          <w:rFonts w:ascii="Times New Roman" w:cs="Times New Roman" w:eastAsia="Times New Roman" w:hAnsi="Times New Roman"/>
          <w:sz w:val="18"/>
          <w:szCs w:val="18"/>
          <w:color w:val="auto"/>
        </w:rPr>
      </w:pPr>
    </w:p>
    <w:p>
      <w:pPr>
        <w:ind w:right="240" w:firstLine="656"/>
        <w:spacing w:after="0" w:line="266"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tested doses, a single dose of PRX-115 rapidly reduced plasma uric acid levels. The effect and duration of response were found to be dose dependent. Following a single dose, mean plasma uric acid levels remained below 6.0 mg/dL for up to 12 weeks at the highest dose levels.</w:t>
      </w:r>
    </w:p>
    <w:p>
      <w:pPr>
        <w:spacing w:after="0" w:line="135" w:lineRule="exact"/>
        <w:rPr>
          <w:rFonts w:ascii="Times New Roman" w:cs="Times New Roman" w:eastAsia="Times New Roman" w:hAnsi="Times New Roman"/>
          <w:sz w:val="18"/>
          <w:szCs w:val="18"/>
          <w:color w:val="auto"/>
        </w:rPr>
      </w:pPr>
    </w:p>
    <w:p>
      <w:pPr>
        <w:ind w:right="40" w:firstLine="656"/>
        <w:spacing w:after="0" w:line="254"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randomized participants completed the study. PRX-115 was found to be well-tolerated with only 25% of the subjects treated with PRX-115 in the study (12/48) having reported study drug-related adverse events. The majority of such adverse events were mild to moderate and transient in nature. One subject experienced an anaphylactic reaction in cohort 2 immediately following the commencement of the infusion (6 minutes) and, accordingly, was exposed to 5% of the applicable PRX-115 dose. The reaction resolved completely and the subject continued in the study for follow-up safety assessments. Premedication with anti-histamines and steroids were administered to all subjects following the anaphylaxis event. No other subjects experienced a similar reaction and no other serious adverse events were reported in the study. No related adverse events were reported for subjects treated in cohorts 6 and 7, and only for one patient per cohort in cohorts 4, 5 and 8.</w:t>
      </w:r>
    </w:p>
    <w:p>
      <w:pPr>
        <w:spacing w:after="0" w:line="1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preliminary findings from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suggest that PRX-115 has the potential to be a promising treatment option for patients with gout. The results demonstrate that PRX-115 may offer an effective uric acid-lowering treatment with an added benefit of a potentially wide dosing interval, which may enhance patient compliance and treatment flexibility. Further studies are needed to confirm the long-term safety and efficacy of PRX-115 in the gout patient population.</w:t>
      </w:r>
    </w:p>
    <w:p>
      <w:pPr>
        <w:spacing w:after="0" w:line="1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plan to present the preliminary results in more detail in a poster at an upcoming scientific meeting being held November 14-19, 2024. In addition, we have commenced preparations for a phase II clinical trial of PRX-115 for the treatment of uncontrolled gout which we expect will commence in the second half of 2025.</w:t>
      </w:r>
    </w:p>
    <w:p>
      <w:pPr>
        <w:spacing w:after="0" w:line="13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an estimated 14.0 million adults in the United States, 2.0 million in France, 2.0 million in United Kingdom, 0.7 million in Italy, 1.5 million in Germany, 0.7 million in Spain and over 190.0 million in China. An estimated approximately 5% of the gout population is considered to have chronic refractory disease. The risk of gout increases with age, and it is thus more common in ageing populations.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in a combination known as the metabolic syndrome.</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Uncontrolled gout is when serum uric acid (sUA) levels are above the maximum medically appropriate level (6.8 mg/dL) and cannot be treated with available urate lowering therapies. It is also reported to involve urate crystal deposition and associated inflammation in joints, soft tissues and organs. Currently available ULTs can be effective in treating gout. However, factors such as low adherence, under dosing, disease progression that cause high patient burden or patients that are not suitable for available therapy, require new, effective and safe therapies to treat these underserved uncontrolled gout patients.</w:t>
      </w:r>
    </w:p>
    <w:p>
      <w:pPr>
        <w:spacing w:after="0" w:line="135" w:lineRule="exact"/>
        <w:rPr>
          <w:sz w:val="20"/>
          <w:szCs w:val="20"/>
          <w:color w:val="auto"/>
        </w:rPr>
      </w:pPr>
    </w:p>
    <w:p>
      <w:pPr>
        <w:ind w:right="380"/>
        <w:spacing w:after="0" w:line="211"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uric acid treatments) and</w:t>
      </w:r>
    </w:p>
    <w:p>
      <w:pPr>
        <w:spacing w:after="0" w:line="1" w:lineRule="exact"/>
        <w:rPr>
          <w:sz w:val="20"/>
          <w:szCs w:val="20"/>
          <w:color w:val="auto"/>
        </w:rPr>
      </w:pPr>
    </w:p>
    <w:p>
      <w:pPr>
        <w:ind w:right="20" w:firstLine="8"/>
        <w:spacing w:after="0" w:line="235"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methotrexate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ectPr>
          <w:pgSz w:w="11900" w:h="16838" w:orient="portrait"/>
          <w:cols w:equalWidth="0" w:num="1">
            <w:col w:w="9920"/>
          </w:cols>
          <w:pgMar w:left="980" w:top="661" w:right="999" w:bottom="144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these conditions.</w:t>
      </w:r>
    </w:p>
    <w:p>
      <w:pPr>
        <w:spacing w:after="0" w:line="1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 Additional preclinical development is ongoing.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September 30, 2024, we hold a broad portfolio of more than 15 patent families consisting of over 70 patents in Europe, the United States, Israel and additional countries worldwide, as well as approximately 50 pending patent applications.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Scientific Presentations and Publications</w:t>
      </w:r>
    </w:p>
    <w:p>
      <w:pPr>
        <w:spacing w:after="0" w:line="18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On October 28, 2024, Chiesi Global Rare Diseases, a business unit of Chiesi, announced the publication of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Journal of Inherited Metabolic Disease. The article may be accessed on the journal’s website.</w:t>
      </w:r>
    </w:p>
    <w:p>
      <w:pPr>
        <w:spacing w:after="0" w:line="118"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color w:val="auto"/>
        </w:rPr>
        <w:t xml:space="preserve">Data from our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will be presented in a late-breaking poster at the American College of Rheumatology (ACR) Convergence 2024, being held November 14-19, 2024 at the Walter E. Washington Convention Center in Washington, D.C. An abstract containing data generated in the trial may be accessed on the ACR Convergence 2024 website.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w:t>
      </w:r>
    </w:p>
    <w:p>
      <w:pPr>
        <w:spacing w:after="0" w:line="18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Consistent with our corporate strategy, we are focusing on new, early-stage product candidates that treat indications for which there are high unmet needs in terms of efficacy and safety, including renal diseases. Treatments of interest will address both genetic and non-genetic diseases. We intend to use our ProCellEx platform and PEGylation capabilities, as well as other modalities such as small molecules and oligonucleotides, to take advantage of highly innovative opportunities. We are also exploring novel platform technologies.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2023.</w:t>
      </w:r>
    </w:p>
    <w:p>
      <w:pPr>
        <w:spacing w:after="0" w:line="16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the three months ended September 30, 2023</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selling goods of $ 17.8 million during the three months ended September 30, 2024, an increase of</w:t>
      </w:r>
    </w:p>
    <w:p>
      <w:pPr>
        <w:spacing w:after="0" w:line="27"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$7.6 million, or 75%, compared to revenues of $10.2 million for the three months ended September 30, 2023. The increase resulted primarily from an increase of $6.8 million in sales to Chiesi and an increase of $1.1 million in sales to Pfizer, partially offset by a decrease of $0.3 million in sales to Brazil.</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$0.1 million for the three months ended September 30, 2024, a decrease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$0.1 million, or 50%, compared to revenues of $0.2 million for the three months ended September 30, 2023. Revenues from license and R&amp;D services are comprised primarily of revenues we recognized in connection with the Chiesi Agreements including compensation for research and development obligations with respect to Elfabrio. As a result of the completion of the Fabry clinical program in 2023 with the approval of Elfabrio in the United States and the European Union in May 2023, we expect to generate minimal revenues from license and R&amp;D services other than potential regulatory milestone payments.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 of goods sold was $8.4 million for the three months ended September 30, 2024, an increase of $3.5 million, or 71%, from cost of goods sold of $4.9 million for the three months ended September 30, 2023. The increase in cost of goods sold was primarily the result of an increase in sales to Chiesi and Pfizer.</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our total research and development expenses were approximately $3.0 million comprised of approximately $0.6 million in subcontractor-related expenses, approximately $1.6 million of salary and related expenses, approximately $0.2 million of materials-related expenses and approximately $0.6 million of other expenses. For the three months ended September 30, 2023, our total research and development expenses were approximately $3.7 million comprised of approximately $1.0 million of subcontractor-related expenses, approximately $1.9 million of salary and related expenses, approximately $0.2 million of materials-related expenses and approximately $0.6 million of other expenses.</w:t>
      </w:r>
    </w:p>
    <w:p>
      <w:pPr>
        <w:spacing w:after="0" w:line="14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Total decrease in research and developments expenses for the three months ended September 30, 2024 was $0.7 million, or 19%, compared to the three months ended September 30, 2023. The decrease in research and development expenses resulted primarily from the completion of our Fabry clinical program and the regulatory processes related to the BLA and MAA review of Elfabrio by the applicable regulatory agencies.</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increasing research and development expenses as we enter into a more advanced stage of preclinical and clinical trials for certain of our product candidates.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were $2.6 million for the three months ended September 30, 2024, a decrease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$1.1 million, or 30%, compared to $3.7 million for the three months ended September 30, 2023. The decrease resulted primarily from a decrease of $0.5 million in salary and related expenses and a decrease of $0.4 million in professional fees.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expenses, net was $0.1 million for the three months ended September 30, 2024, compared to financial income, net of</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$0.2 million for the three months ended September 30, 2023. The difference resulted primarily from lower interest income on bank deposits, higher exchange rate costs partially offset by lower notes interest expenses due to the September 2024 repayment in full of all the outstanding principal and interest payable under the 2024 Notes.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we recorded income taxes of approximately $0.6 million, compared to income taxes of $0.1 million for the three months ended September 30, 2023. Income taxes recorded are primarily the result of tax expenses in respect of Section 174 of the TCJA.</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selling goods of $34.8 million during the nine months ended September 30, 2024, an increase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$4.5 million, or 15%, compared to revenues of $30.3 million for the nine months ended September 30, 2023. The increase resulted primarily from an increase of $4.2 million in sales to Brazil and an increase of $3.4 million in sales to Pfizer which were partially offset by a decrease of $3.1 million in sales to Chiesi. Sales to Chiesi in the nine months ended September 30, 2023 were in connection with the commercial launch and inventory buildup of Elfabrio after its approval for marketing in the United States and the European Union.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$0.4 million for the nine months ended September 30, 2024, a decrease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$24.3 million, or 98%, compared to revenues of $24.7 million for the nine months ended September 30, 2023. Revenues from license and R&amp;D services are comprised primarily of revenues we recognized in connection with the Chiesi Agreements. The revenues from license and R&amp;D services for the nine months ended September 30, 2023 included the $20.0 million regulatory milestone payment from Chiesi in connection with the FDA approval of Elfabrio granted during that period. The remaining decrease resulted from the completion of our revenue-generating research and development obligations with respect to Elfabrio and, as Elfabrio was approved in the United States and the European Union in May 2023, from the completion of the regulatory processes related to the review of the BLA and the MAA for Elfabrio by the FDA and EMA, respectively. As a result of the completion of the Fabry clinical program in 2023, we expect to generate minimal revenues from license and R&amp;D services other than potential regulatory milestone payments.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Cost of goods sold was $20.4 million for the nine months ended September 30, 2024, an increase of $6.3 million, or 45%, from cost of goods sold of $14.1 million for the nine months ended September 30, 2023. The increase in cost of goods sold was primarily the result of the increase in sales to Pfizer and to Brazil. In addition, during the nine months ended September 30, 2023 a significantly higher portion of the costs for certain drug substance sold, as compared to the nine months ended September 30, 2024, were recognized as research and development expenses, not cost of goods sold, as such drug substance was produced as part of our research and development activities.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our total research and development expenses were approximately $8.8 million comprised of approximately $1.6 million in subcontractor-related expenses, approximately $4.8 million of salary and related expenses, approximately $0.5 million of materials-related expenses and approximately $1.9 million of other expenses. For the nine months ended September 30, 2023, our total research and development expenses were approximately $14.0 million comprised of approximately $6.2 million of subcontractor-related expenses, approximately $5.5 million of salary and related expenses, approximately $0.5 million of materials-related expenses and approximately $1.8 million of other expenses.</w:t>
      </w:r>
    </w:p>
    <w:p>
      <w:pPr>
        <w:spacing w:after="0" w:line="16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Total decrease in research and developments expenses for the nine months ended September 30, 2024 was $5.2 million, or 37%, compared to the nine months ended September 30, 2023. The decrease in research and development expenses resulted primarily from the completion of our Fabry clinical program and the regulatory processes related to the BLA and MAA review of Elfabrio by the applicable regulatory agencies.</w:t>
      </w:r>
    </w:p>
    <w:p>
      <w:pPr>
        <w:spacing w:after="0" w:line="13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increasing research and development expenses as we enter into a more advanced stage of preclinical and clinical trials for certain of our product candidates.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were $9.2 million for the nine months ended September 30, 2024, a decrease of</w:t>
      </w:r>
    </w:p>
    <w:p>
      <w:pPr>
        <w:spacing w:after="0" w:line="27" w:lineRule="exact"/>
        <w:rPr>
          <w:sz w:val="20"/>
          <w:szCs w:val="20"/>
          <w:color w:val="auto"/>
        </w:rPr>
      </w:pPr>
    </w:p>
    <w:p>
      <w:pPr>
        <w:jc w:val="center"/>
        <w:ind w:right="240"/>
        <w:spacing w:after="0" w:line="260" w:lineRule="auto"/>
        <w:rPr>
          <w:sz w:val="20"/>
          <w:szCs w:val="20"/>
          <w:color w:val="auto"/>
        </w:rPr>
      </w:pPr>
      <w:r>
        <w:rPr>
          <w:rFonts w:ascii="Times New Roman" w:cs="Times New Roman" w:eastAsia="Times New Roman" w:hAnsi="Times New Roman"/>
          <w:sz w:val="18"/>
          <w:szCs w:val="18"/>
          <w:color w:val="auto"/>
        </w:rPr>
        <w:t>$1.6 million, or 15%, compared to $10.8 million for the nine months ended September 30, 2023. The decrease resulted primarily from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decrease of $1.3 million in professional fees and of $0.7 million in salaries and related expenses which was partially offset by a $0.5 million increase in selling and marketing expenses.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200"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Financial income, net was $0.1 million for the nine months ended September 30, 2024, compared to financial expenses, net of $1.1 million for the nine months ended September 30, 2023. The difference resulted primarily from a decrease of approximately</w:t>
      </w:r>
    </w:p>
    <w:p>
      <w:pPr>
        <w:ind w:right="80"/>
        <w:spacing w:after="0" w:line="260" w:lineRule="auto"/>
        <w:rPr>
          <w:sz w:val="20"/>
          <w:szCs w:val="20"/>
          <w:color w:val="auto"/>
        </w:rPr>
      </w:pPr>
      <w:r>
        <w:rPr>
          <w:rFonts w:ascii="Times New Roman" w:cs="Times New Roman" w:eastAsia="Times New Roman" w:hAnsi="Times New Roman"/>
          <w:sz w:val="18"/>
          <w:szCs w:val="18"/>
          <w:color w:val="auto"/>
        </w:rPr>
        <w:t>$1.1 million in lower interest expenses due to the note conversions executed in 2023 and the September 2024 repayment in full of all the outstanding principal and interest payable under the 2024 Notes.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2024, we recorded income tax of approximately $0.4 million, compared to income taxes of</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$0.6 million for the nine months ended September 30, 2023. Income taxes recorded are primarily the result of tax expenses in respect of Section 174 of the TCJA.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sources of liquidity include our cash and cash equivalents balances. At September 30, 2024, we had $27.4 million in cash and cash equivalents. In September 2024, we satisfied the outstanding principal and accrued interest under the 2024 Notes with a cash payment of approximately $21.2 million which was available primarily from the withdrawal of short term deposits. We have primarily financed our operations through equity and debt financings, business collaborations, grants funding and revenues from selling goods.</w:t>
      </w:r>
    </w:p>
    <w:p>
      <w:pPr>
        <w:spacing w:after="0" w:line="1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raised gross proceeds equal to approximately $24.9 million from the sale of 12,560,150 shares of our common stock under our ATM program. All such sales were completed during the quarters ended March 31, 2023 and June 30, 2023. No sales under our ATM program have been completed since the quarter ended June 30, 2023.</w:t>
      </w:r>
    </w:p>
    <w:p>
      <w:pPr>
        <w:spacing w:after="0" w:line="1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as of September 30, 2024 are sufficient to satisfy our capital needs for at least 12 months from the date that these financial statements are issued.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operations was $4.7 million for the nine months ended September 30, 2024. The net loss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of $3.6 million was increased by a $0.7 million decrease in accounts payable and accruals and was offset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million decrease in accounts receivable-trade and other assets, $2.6 million in share-based compensation, a $1.8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and $1.0 million in depreciation. Net cash provided by investing activities for the nine months ended September 30, 2024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 million and consisted primarily of $20.4 million in proceeds from the sale of deposits partially offset by a $0.9 million purchase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2024 was $20.4 million representing the payment of the outstanding principal and accrued interest under our 2024 Notes which matured in September 2024.</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used in operations was $4.9 million for the nine months ended September 30, 2023. The net income for the nine months ended September 30, 2023 of $14.4 million was decreased by a $13.2 million decrease in contracts liability, a $3.1 million increase in deferred tax assets, a $4.8 million increase in inventories, a $4.2 million increase in accounts receivable-trade and other assets and a $0.5 million financial income-net (mainly currency exchange differences). The net income was increased by a $3.8 million increase in accounts payable and accruals, $2.1 million in share-based compensation and $0.9 million in depreciation. Net cash used in investing activities for the nine months ended September 30, 2023 was $16.4 million and consisted primarily of net investment in bank deposits.</w:t>
      </w:r>
    </w:p>
    <w:p>
      <w:pPr>
        <w:spacing w:after="0" w:line="14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$24.7 million resulting primarily from the sale of common stock under our ATM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were outstanding warrants to purchase 13,439,712 shares at an exercise price equal to $2.36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expire in March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89"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7"/>
          <w:szCs w:val="17"/>
          <w:color w:val="auto"/>
        </w:rPr>
        <w:t>Since our inception, we have incurred significant research and development expenditures which have not been offset by revenues. We have not generated significant revenues from sales of Elelyso, and commercial sales of Elfabrio only commenced in the middle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2023. We have generated operating losses from our continuing operations since our inception although the revenues generated in the year ended December 31, 2023 exceeded our expenditures for the same period.</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the 2024 Notes were paid in full during the three months ended September 30, 2024, we are no longer subject to the financial limitations related to such notes.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and (v) tax payments. We believe that our cash and cash equivalents as of September 30, 2024 are sufficient to satisfy our capital needs for at least 12 months from the date that these financial statements are issued.</w:t>
      </w:r>
    </w:p>
    <w:p>
      <w:pPr>
        <w:spacing w:after="0" w:line="148"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9" w:lineRule="exact"/>
        <w:rPr>
          <w:sz w:val="20"/>
          <w:szCs w:val="20"/>
          <w:color w:val="auto"/>
        </w:rPr>
      </w:pPr>
    </w:p>
    <w:p>
      <w:pPr>
        <w:ind w:left="1000" w:right="36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1000" w:right="76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 On February 27, 2023, we entered into the 2023 Sales Agreement pursuant to which we may sell from time to time through the Agent ATM Shares having an aggregate offering price of up to $20.0 million as we had then completed the ATM program under the 2021 Sales Agreement. As of September 30, 2024, shares of our common stock for total gross proceeds of approximately $6.4 million remain available to be sold under the 2023 Sales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and nine months ended September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2520"/>
        <w:spacing w:after="0" w:line="459" w:lineRule="auto"/>
        <w:rPr>
          <w:sz w:val="20"/>
          <w:szCs w:val="20"/>
          <w:color w:val="auto"/>
        </w:rPr>
      </w:pPr>
      <w:r>
        <w:rPr>
          <w:rFonts w:ascii="Times New Roman" w:cs="Times New Roman" w:eastAsia="Times New Roman" w:hAnsi="Times New Roman"/>
          <w:sz w:val="18"/>
          <w:szCs w:val="18"/>
          <w:color w:val="auto"/>
        </w:rPr>
        <w:t xml:space="preserve">We have no off-balance sheet arrangements as of each of September 30, 2024 and December 31, 2023. </w:t>
      </w:r>
      <w:r>
        <w:rPr>
          <w:rFonts w:ascii="Times New Roman" w:cs="Times New Roman" w:eastAsia="Times New Roman" w:hAnsi="Times New Roman"/>
          <w:sz w:val="18"/>
          <w:szCs w:val="18"/>
          <w:b w:val="1"/>
          <w:bCs w:val="1"/>
          <w:color w:val="auto"/>
        </w:rPr>
        <w:t>Item 3. Quantitative and Qualitative Disclosures about Market Risk Currency Exchange Risk</w:t>
      </w: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historical exchange rates. Revenue and expense items are remeasured at the average rate of exchange in effect during the period in which they occur. Foreign currency translation gains or losses are recognized in the statement of operations.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44%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3940" w:type="dxa"/>
            <w:vAlign w:val="bottom"/>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380" w:type="dxa"/>
            <w:vAlign w:val="bottom"/>
            <w:tcBorders>
              <w:top w:val="single" w:sz="8" w:color="auto"/>
              <w:bottom w:val="single" w:sz="8" w:color="auto"/>
            </w:tcBorders>
            <w:gridSpan w:val="3"/>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3.643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3.710</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3.710</w:t>
            </w:r>
          </w:p>
        </w:tc>
        <w:tc>
          <w:tcPr>
            <w:tcW w:w="160" w:type="dxa"/>
            <w:vAlign w:val="bottom"/>
          </w:tcPr>
          <w:p>
            <w:pPr>
              <w:spacing w:after="0"/>
              <w:rPr>
                <w:sz w:val="20"/>
                <w:szCs w:val="20"/>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3.824</w:t>
            </w:r>
          </w:p>
        </w:tc>
        <w:tc>
          <w:tcPr>
            <w:tcW w:w="140" w:type="dxa"/>
            <w:vAlign w:val="bottom"/>
          </w:tcPr>
          <w:p>
            <w:pPr>
              <w:spacing w:after="0"/>
              <w:rPr>
                <w:sz w:val="20"/>
                <w:szCs w:val="20"/>
                <w:color w:val="auto"/>
              </w:rPr>
            </w:pPr>
          </w:p>
        </w:tc>
        <w:tc>
          <w:tcPr>
            <w:tcW w:w="92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20"/>
                <w:szCs w:val="20"/>
                <w:color w:val="auto"/>
              </w:rPr>
            </w:pPr>
          </w:p>
        </w:tc>
      </w:tr>
    </w:tbl>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September 30, 2024 that have materially affected, or that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previously disclosed in our Annual Report on Form 10-K for the year ended December 31, 2023 and in our Quarterly Report on Form 10-Q for the quarter ended June 30, 2024.</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parts of our operations are located in Israel and, therefore, our results may be adversely affected by current political, economic and military conditions in Israel.</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2023, terrorists primarily from the Hamas organization infiltrated Israel’s southern border from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increased. In response, Israel’s security cabinet declared war against the Hamas and a military campaign against these terrorist organizations commenced in parallel to their continued rocket, drone and terror attacks. Since the outbreak of the war, other regional actors, including Iran, have taken military action against Israel. It is currently not possible to predict the duration or severity of the ongoing conflict or its effects on our business, results of operations and financial condition. To date, our operations have not been adversely affected by this situation. Hostilities have not taken place where our facilities are located. We do not anticipate any disruption to the supply of Elfabrio or Elelyso. However, our facilities are in range of certain of the rockets and drones originating from Lebanon and elsewhere. Any damage to our facilities or disruption of supplies as a result of war or other hostile action may have a material adverse effect on our business, results of operations and financial condition. Further, the potential for the war between Israel and Hamas to lead to a broader conflict in the Middle East may adversely affect geopolitical stability, the global economy and specific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adopted or terminated a Rule 10b5-1 trading arrangement or non-Rule 10b5-1 trading arrangement (as such terms are defined in Item 408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60" w:type="dxa"/>
            <w:vAlign w:val="bottom"/>
            <w:gridSpan w:val="3"/>
          </w:tcPr>
          <w:p>
            <w:pPr>
              <w:jc w:val="center"/>
              <w:ind w:right="553"/>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0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90"/>
        </w:trPr>
        <w:tc>
          <w:tcPr>
            <w:tcW w:w="8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7"/>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2"/>
        </w:trPr>
        <w:tc>
          <w:tcPr>
            <w:tcW w:w="8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97"/>
              </w:rPr>
              <w:t>3.1</w:t>
            </w:r>
          </w:p>
        </w:tc>
        <w:tc>
          <w:tcPr>
            <w:tcW w:w="3660" w:type="dxa"/>
            <w:vAlign w:val="bottom"/>
            <w:gridSpan w:val="9"/>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Incorporation of the Company</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8-K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97"/>
              </w:rPr>
              <w:t>3.2</w:t>
            </w:r>
          </w:p>
        </w:tc>
        <w:tc>
          <w:tcPr>
            <w:tcW w:w="3660" w:type="dxa"/>
            <w:vAlign w:val="bottom"/>
            <w:gridSpan w:val="9"/>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Amendment to Certificate of Incorporation of the</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Company</w:t>
              </w:r>
            </w:hyperlink>
          </w:p>
        </w:tc>
        <w:tc>
          <w:tcPr>
            <w:tcW w:w="1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97"/>
              </w:rPr>
              <w:t>3.3</w:t>
            </w:r>
          </w:p>
        </w:tc>
        <w:tc>
          <w:tcPr>
            <w:tcW w:w="2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Second Amendment to Certificate of</w:t>
              </w:r>
            </w:hyperlink>
          </w:p>
        </w:tc>
        <w:tc>
          <w:tcPr>
            <w:tcW w:w="1000" w:type="dxa"/>
            <w:vAlign w:val="bottom"/>
            <w:gridSpan w:val="5"/>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60" w:type="dxa"/>
            <w:vAlign w:val="bottom"/>
            <w:gridSpan w:val="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Incorporation of the Company</w:t>
              </w:r>
            </w:hyperlink>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97"/>
              </w:rPr>
              <w:t>3.4</w:t>
            </w:r>
          </w:p>
        </w:tc>
        <w:tc>
          <w:tcPr>
            <w:tcW w:w="3660" w:type="dxa"/>
            <w:vAlign w:val="bottom"/>
            <w:gridSpan w:val="9"/>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Third Amendment to Certificate of Incorporation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5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of the Company</w:t>
              </w:r>
            </w:hyperlink>
          </w:p>
        </w:tc>
        <w:tc>
          <w:tcPr>
            <w:tcW w:w="1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97"/>
              </w:rPr>
              <w:t>3.5</w:t>
            </w:r>
          </w:p>
        </w:tc>
        <w:tc>
          <w:tcPr>
            <w:tcW w:w="3660" w:type="dxa"/>
            <w:vAlign w:val="bottom"/>
            <w:gridSpan w:val="9"/>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Fourth Amendment to Certificate of Incorporation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2022</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 the Company</w:t>
              </w:r>
            </w:hyperlink>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9880"/>
          </w:cols>
          <w:pgMar w:left="980" w:top="661" w:right="103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5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Fifth Amendment to Certificate of Incorporation</w:t>
              </w:r>
            </w:hyperlink>
          </w:p>
        </w:tc>
        <w:tc>
          <w:tcPr>
            <w:tcW w:w="16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24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August 7, 2023</w:t>
            </w: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of the Company</w:t>
              </w:r>
            </w:hyperlink>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680" w:type="dxa"/>
            <w:vAlign w:val="bottom"/>
            <w:gridSpan w:val="19"/>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Bylaws of the Company</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24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April 1, 2016</w:t>
            </w: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Form of Restricted Stock Agreement/Notice</w:t>
              </w:r>
            </w:hyperlink>
          </w:p>
        </w:tc>
        <w:tc>
          <w:tcPr>
            <w:tcW w:w="480" w:type="dxa"/>
            <w:vAlign w:val="bottom"/>
            <w:gridSpan w:val="10"/>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July 18, 2012</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Description of Capital Stock</w:t>
              </w:r>
            </w:hyperlink>
          </w:p>
        </w:tc>
        <w:tc>
          <w:tcPr>
            <w:tcW w:w="1620" w:type="dxa"/>
            <w:vAlign w:val="bottom"/>
            <w:gridSpan w:val="13"/>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4.7</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March 14, 2024</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80" w:type="dxa"/>
            <w:vAlign w:val="bottom"/>
            <w:gridSpan w:val="19"/>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Warrant</w:t>
              </w:r>
            </w:hyperlink>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8-K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March 12, 2020</w:t>
            </w: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680" w:type="dxa"/>
            <w:vAlign w:val="bottom"/>
            <w:gridSpan w:val="19"/>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Stock Option Agreement (Executives)</w:t>
              </w:r>
            </w:hyperlink>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10-Q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2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2"/>
          </w:tcPr>
          <w:p>
            <w:pPr>
              <w:spacing w:after="0"/>
              <w:rPr>
                <w:sz w:val="21"/>
                <w:szCs w:val="21"/>
                <w:color w:val="auto"/>
              </w:rPr>
            </w:pPr>
          </w:p>
        </w:tc>
        <w:tc>
          <w:tcPr>
            <w:tcW w:w="300" w:type="dxa"/>
            <w:vAlign w:val="bottom"/>
            <w:gridSpan w:val="6"/>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32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18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46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7"/>
          </w:tcPr>
          <w:p>
            <w:pPr>
              <w:spacing w:after="0"/>
              <w:rPr>
                <w:sz w:val="17"/>
                <w:szCs w:val="17"/>
                <w:color w:val="auto"/>
              </w:rPr>
            </w:pPr>
          </w:p>
        </w:tc>
        <w:tc>
          <w:tcPr>
            <w:tcW w:w="22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2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36" w:lineRule="exact"/>
        <w:rPr>
          <w:sz w:val="20"/>
          <w:szCs w:val="20"/>
          <w:color w:val="auto"/>
        </w:rPr>
      </w:pPr>
    </w:p>
    <w:p>
      <w:pPr>
        <w:ind w:left="840" w:right="5460" w:hanging="833"/>
        <w:spacing w:after="0" w:line="26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4" w:lineRule="exact"/>
        <w:rPr>
          <w:sz w:val="20"/>
          <w:szCs w:val="20"/>
          <w:color w:val="auto"/>
        </w:rPr>
      </w:pPr>
    </w:p>
    <w:p>
      <w:pPr>
        <w:ind w:left="320" w:hanging="313"/>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pacing w:after="0" w:line="317"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234"/>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50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65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Dror Bashan</w:t>
            </w:r>
          </w:p>
        </w:tc>
      </w:tr>
      <w:tr>
        <w:trPr>
          <w:trHeight w:val="191"/>
        </w:trPr>
        <w:tc>
          <w:tcPr>
            <w:tcW w:w="3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Dror Bashan</w:t>
            </w:r>
          </w:p>
        </w:tc>
      </w:t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65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Eyal Rubin</w:t>
            </w:r>
          </w:p>
        </w:tc>
      </w:tr>
      <w:tr>
        <w:trPr>
          <w:trHeight w:val="27"/>
        </w:trPr>
        <w:tc>
          <w:tcPr>
            <w:tcW w:w="3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191"/>
        </w:trPr>
        <w:tc>
          <w:tcPr>
            <w:tcW w:w="3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Eyal Rubin</w:t>
            </w:r>
          </w:p>
        </w:tc>
      </w:t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Treasurer and</w:t>
            </w:r>
          </w:p>
        </w:tc>
      </w:t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18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September 30, 2024 as filed with the Securities and Exchange Commission (the “Report”), I, Dror Bashan, President and Chief Executive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September 30, 2024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2"/>
    </w:lvl>
  </w:abstractNum>
  <w:abstractNum w:abstractNumId="6">
    <w:nsid w:val="DED7263"/>
    <w:multiLevelType w:val="hybridMultilevel"/>
    <w:lvl w:ilvl="0">
      <w:lvlJc w:val="left"/>
      <w:lvlText w:val="%1."/>
      <w:numFmt w:val="lowerLetter"/>
      <w:start w:val="4"/>
    </w:lvl>
  </w:abstractNum>
  <w:abstractNum w:abstractNumId="7">
    <w:nsid w:val="7FDCC233"/>
    <w:multiLevelType w:val="hybridMultilevel"/>
    <w:lvl w:ilvl="0">
      <w:lvlJc w:val="left"/>
      <w:lvlText w:val="%1."/>
      <w:numFmt w:val="lowerLetter"/>
      <w:start w:val="5"/>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8"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53" Type="http://schemas.openxmlformats.org/officeDocument/2006/relationships/hyperlink" Target="https://www.sec.gov/Archives/edgar/data/1006281/000114420416092335/v435826_ex3-1.htm" TargetMode="External"/><Relationship Id="rId54" Type="http://schemas.openxmlformats.org/officeDocument/2006/relationships/hyperlink" Target="https://www.sec.gov/Archives/edgar/data/1006281/000114420416111273/v443094_def14a.htm" TargetMode="External"/><Relationship Id="rId55" Type="http://schemas.openxmlformats.org/officeDocument/2006/relationships/hyperlink" Target="https://www.sec.gov/Archives/edgar/data/1006281/000114420418054229/tv504383-def14a.htm" TargetMode="External"/><Relationship Id="rId56" Type="http://schemas.openxmlformats.org/officeDocument/2006/relationships/hyperlink" Target="https://www.sec.gov/Archives/edgar/data/1006281/000110465919074602/tm1926620d1_ex3-1.htm" TargetMode="External"/><Relationship Id="rId57" Type="http://schemas.openxmlformats.org/officeDocument/2006/relationships/hyperlink" Target="https://www.sec.gov/Archives/edgar/data/1006281/000155837022013560/plx-20220630xex3d5.htm" TargetMode="External"/><Relationship Id="rId59" Type="http://schemas.openxmlformats.org/officeDocument/2006/relationships/hyperlink" Target="https://www.sec.gov/Archives/edgar/data/1006281/000155837023013483/plx-20230630xex3d6.htm" TargetMode="External"/><Relationship Id="rId60" Type="http://schemas.openxmlformats.org/officeDocument/2006/relationships/hyperlink" Target="https://www.sec.gov/Archives/edgar/data/1006281/000114420416092335/v435826_ex3-2.htm" TargetMode="External"/><Relationship Id="rId61" Type="http://schemas.openxmlformats.org/officeDocument/2006/relationships/hyperlink" Target="https://www.sec.gov/Archives/edgar/data/1006281/000114420412040015/v318898_ex4-1.htm" TargetMode="External"/><Relationship Id="rId62" Type="http://schemas.openxmlformats.org/officeDocument/2006/relationships/hyperlink" Target="https://www.sec.gov/Archives/edgar/data/1006281/000155837024003161/plx-20231231xex4d7.htm" TargetMode="External"/><Relationship Id="rId63" Type="http://schemas.openxmlformats.org/officeDocument/2006/relationships/hyperlink" Target="https://www.sec.gov/Archives/edgar/data/1006281/000110465920032169/tm2012488d1_ex4-1.htm" TargetMode="External"/><Relationship Id="rId64" Type="http://schemas.openxmlformats.org/officeDocument/2006/relationships/hyperlink" Target="https://www.sec.gov/Archives/edgar/data/1006281/000110465920092375/plx-20200630xex4d8.htm" TargetMode="External"/><Relationship Id="rId65" Type="http://schemas.openxmlformats.org/officeDocument/2006/relationships/hyperlink" Target="https://www.sec.gov/Archives/edgar/data/1006281/000110465920092375/plx-20200630x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2024-11-14T06:13:42Z</dcterms:created>
  <dcterms:modified xsi:type="dcterms:W3CDTF">2024-11-14T06:13:42Z</dcterms:modified>
</cp:coreProperties>
</file>