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wp:posOffset>
            </wp:positionH>
            <wp:positionV relativeFrom="page">
              <wp:posOffset>692150</wp:posOffset>
            </wp:positionV>
            <wp:extent cx="62979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7930" cy="33655"/>
                    </a:xfrm>
                    <a:prstGeom prst="rect">
                      <a:avLst/>
                    </a:prstGeom>
                    <a:noFill/>
                  </pic:spPr>
                </pic:pic>
              </a:graphicData>
            </a:graphic>
          </wp:anchor>
        </w:drawing>
        <w:drawing>
          <wp:anchor simplePos="0" relativeHeight="251657728" behindDoc="1" locked="0" layoutInCell="0" allowOverlap="1">
            <wp:simplePos x="0" y="0"/>
            <wp:positionH relativeFrom="page">
              <wp:posOffset>625475</wp:posOffset>
            </wp:positionH>
            <wp:positionV relativeFrom="page">
              <wp:posOffset>775335</wp:posOffset>
            </wp:positionV>
            <wp:extent cx="6297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7930" cy="825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102870</wp:posOffset>
            </wp:positionV>
            <wp:extent cx="157480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4800" cy="1651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133985</wp:posOffset>
            </wp:positionV>
            <wp:extent cx="1574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1" w:lineRule="exact"/>
        <w:rPr>
          <w:sz w:val="24"/>
          <w:szCs w:val="24"/>
          <w:color w:val="auto"/>
        </w:rPr>
      </w:pPr>
    </w:p>
    <w:p>
      <w:pPr>
        <w:ind w:left="300" w:hanging="294"/>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2" w:lineRule="exact"/>
        <w:rPr>
          <w:sz w:val="24"/>
          <w:szCs w:val="24"/>
          <w:color w:val="auto"/>
        </w:rPr>
      </w:pPr>
    </w:p>
    <w:p>
      <w:pPr>
        <w:ind w:left="320"/>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1" w:lineRule="exact"/>
        <w:rPr>
          <w:sz w:val="24"/>
          <w:szCs w:val="24"/>
          <w:color w:val="auto"/>
        </w:rPr>
      </w:pPr>
    </w:p>
    <w:p>
      <w:pPr>
        <w:ind w:left="300" w:hanging="294"/>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b w:val="1"/>
                <w:bCs w:val="1"/>
                <w:color w:val="auto"/>
                <w:w w:val="93"/>
              </w:rPr>
              <w:t>For the transition period from</w:t>
            </w:r>
          </w:p>
        </w:tc>
        <w:tc>
          <w:tcPr>
            <w:tcW w:w="800" w:type="dxa"/>
            <w:vAlign w:val="bottom"/>
          </w:tcPr>
          <w:p>
            <w:pPr>
              <w:spacing w:after="0"/>
              <w:rPr>
                <w:sz w:val="14"/>
                <w:szCs w:val="14"/>
                <w:color w:val="auto"/>
              </w:rPr>
            </w:pP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to</w:t>
            </w:r>
          </w:p>
        </w:tc>
      </w:tr>
      <w:tr>
        <w:trPr>
          <w:trHeight w:val="208"/>
        </w:trPr>
        <w:tc>
          <w:tcPr>
            <w:tcW w:w="18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720" w:type="dxa"/>
            <w:vAlign w:val="bottom"/>
          </w:tcPr>
          <w:p>
            <w:pPr>
              <w:jc w:val="right"/>
              <w:ind w:right="410"/>
              <w:spacing w:after="0"/>
              <w:rPr>
                <w:sz w:val="20"/>
                <w:szCs w:val="20"/>
                <w:color w:val="auto"/>
              </w:rPr>
            </w:pPr>
            <w:r>
              <w:rPr>
                <w:rFonts w:ascii="Arial" w:cs="Arial" w:eastAsia="Arial" w:hAnsi="Arial"/>
                <w:sz w:val="14"/>
                <w:szCs w:val="14"/>
                <w:b w:val="1"/>
                <w:bCs w:val="1"/>
                <w:color w:val="auto"/>
              </w:rPr>
              <w:t>001-33357</w:t>
            </w:r>
          </w:p>
        </w:tc>
      </w:tr>
      <w:tr>
        <w:trPr>
          <w:trHeight w:val="183"/>
        </w:trPr>
        <w:tc>
          <w:tcPr>
            <w:tcW w:w="1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20" w:type="dxa"/>
            <w:vAlign w:val="bottom"/>
          </w:tcPr>
          <w:p>
            <w:pPr>
              <w:jc w:val="center"/>
              <w:ind w:left="90"/>
              <w:spacing w:after="0"/>
              <w:rPr>
                <w:sz w:val="20"/>
                <w:szCs w:val="20"/>
                <w:color w:val="auto"/>
              </w:rPr>
            </w:pPr>
            <w:r>
              <w:rPr>
                <w:rFonts w:ascii="Arial" w:cs="Arial" w:eastAsia="Arial" w:hAnsi="Arial"/>
                <w:sz w:val="14"/>
                <w:szCs w:val="14"/>
                <w:b w:val="1"/>
                <w:bCs w:val="1"/>
                <w:color w:val="auto"/>
                <w:w w:val="90"/>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574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PROTALIX BIOTHERAPEUTICS,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2364740</wp:posOffset>
            </wp:positionH>
            <wp:positionV relativeFrom="paragraph">
              <wp:posOffset>102870</wp:posOffset>
            </wp:positionV>
            <wp:extent cx="157480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4800" cy="16510"/>
                    </a:xfrm>
                    <a:prstGeom prst="rect">
                      <a:avLst/>
                    </a:prstGeom>
                    <a:noFill/>
                  </pic:spPr>
                </pic:pic>
              </a:graphicData>
            </a:graphic>
          </wp:anchor>
        </w:drawing>
      </w:r>
    </w:p>
    <w:p>
      <w:pPr>
        <w:spacing w:after="0" w:line="311"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8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87"/>
              </w:rPr>
              <w:t>(State 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3940" w:type="dxa"/>
            <w:vAlign w:val="bottom"/>
            <w:gridSpan w:val="4"/>
          </w:tcPr>
          <w:p>
            <w:pPr>
              <w:spacing w:after="0"/>
              <w:rPr>
                <w:sz w:val="14"/>
                <w:szCs w:val="14"/>
                <w:color w:val="auto"/>
              </w:rPr>
            </w:pPr>
          </w:p>
        </w:tc>
        <w:tc>
          <w:tcPr>
            <w:tcW w:w="1260" w:type="dxa"/>
            <w:vAlign w:val="bottom"/>
            <w:gridSpan w:val="5"/>
          </w:tcPr>
          <w:p>
            <w:pPr>
              <w:jc w:val="center"/>
              <w:ind w:left="151"/>
              <w:spacing w:after="0"/>
              <w:rPr>
                <w:sz w:val="20"/>
                <w:szCs w:val="20"/>
                <w:color w:val="auto"/>
              </w:rPr>
            </w:pPr>
            <w:r>
              <w:rPr>
                <w:rFonts w:ascii="Arial" w:cs="Arial" w:eastAsia="Arial" w:hAnsi="Arial"/>
                <w:sz w:val="14"/>
                <w:szCs w:val="14"/>
                <w:b w:val="1"/>
                <w:bCs w:val="1"/>
                <w:color w:val="auto"/>
                <w:w w:val="90"/>
              </w:rPr>
              <w:t>__65-0643773__</w:t>
            </w:r>
          </w:p>
        </w:tc>
        <w:tc>
          <w:tcPr>
            <w:tcW w:w="0" w:type="dxa"/>
            <w:vAlign w:val="bottom"/>
          </w:tcPr>
          <w:p>
            <w:pPr>
              <w:spacing w:after="0"/>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80" w:type="dxa"/>
            <w:vAlign w:val="bottom"/>
            <w:gridSpan w:val="2"/>
            <w:vMerge w:val="continue"/>
          </w:tcPr>
          <w:p>
            <w:pPr>
              <w:spacing w:after="0"/>
              <w:rPr>
                <w:sz w:val="10"/>
                <w:szCs w:val="10"/>
                <w:color w:val="auto"/>
              </w:rPr>
            </w:pPr>
          </w:p>
        </w:tc>
        <w:tc>
          <w:tcPr>
            <w:tcW w:w="4520" w:type="dxa"/>
            <w:vAlign w:val="bottom"/>
            <w:gridSpan w:val="5"/>
          </w:tcPr>
          <w:p>
            <w:pPr>
              <w:ind w:left="40"/>
              <w:spacing w:after="0" w:line="116" w:lineRule="exact"/>
              <w:rPr>
                <w:sz w:val="20"/>
                <w:szCs w:val="20"/>
                <w:color w:val="auto"/>
              </w:rPr>
            </w:pPr>
            <w:r>
              <w:rPr>
                <w:rFonts w:ascii="Arial" w:cs="Arial" w:eastAsia="Arial" w:hAnsi="Arial"/>
                <w:sz w:val="13"/>
                <w:szCs w:val="13"/>
                <w:b w:val="1"/>
                <w:bCs w:val="1"/>
                <w:color w:val="auto"/>
              </w:rPr>
              <w:t>other jurisdiction</w:t>
            </w:r>
          </w:p>
        </w:tc>
        <w:tc>
          <w:tcPr>
            <w:tcW w:w="1260" w:type="dxa"/>
            <w:vAlign w:val="bottom"/>
            <w:gridSpan w:val="5"/>
          </w:tcPr>
          <w:p>
            <w:pPr>
              <w:jc w:val="center"/>
              <w:ind w:left="131"/>
              <w:spacing w:after="0" w:line="116" w:lineRule="exact"/>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3"/>
        </w:trPr>
        <w:tc>
          <w:tcPr>
            <w:tcW w:w="5400" w:type="dxa"/>
            <w:vAlign w:val="bottom"/>
            <w:gridSpan w:val="7"/>
          </w:tcPr>
          <w:p>
            <w:pPr>
              <w:jc w:val="center"/>
              <w:ind w:right="3030"/>
              <w:spacing w:after="0"/>
              <w:rPr>
                <w:sz w:val="20"/>
                <w:szCs w:val="20"/>
                <w:color w:val="auto"/>
              </w:rPr>
            </w:pPr>
            <w:r>
              <w:rPr>
                <w:rFonts w:ascii="Arial" w:cs="Arial" w:eastAsia="Arial" w:hAnsi="Arial"/>
                <w:sz w:val="14"/>
                <w:szCs w:val="14"/>
                <w:b w:val="1"/>
                <w:bCs w:val="1"/>
                <w:color w:val="auto"/>
                <w:w w:val="91"/>
              </w:rPr>
              <w:t>of incorporation or organization)</w:t>
            </w:r>
          </w:p>
        </w:tc>
        <w:tc>
          <w:tcPr>
            <w:tcW w:w="1260" w:type="dxa"/>
            <w:vAlign w:val="bottom"/>
            <w:gridSpan w:val="5"/>
          </w:tcPr>
          <w:p>
            <w:pPr>
              <w:jc w:val="center"/>
              <w:ind w:left="9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52"/>
        </w:trPr>
        <w:tc>
          <w:tcPr>
            <w:tcW w:w="5400" w:type="dxa"/>
            <w:vAlign w:val="bottom"/>
            <w:gridSpan w:val="7"/>
          </w:tcPr>
          <w:p>
            <w:pPr>
              <w:jc w:val="center"/>
              <w:ind w:right="2990"/>
              <w:spacing w:after="0"/>
              <w:rPr>
                <w:sz w:val="20"/>
                <w:szCs w:val="20"/>
                <w:color w:val="auto"/>
              </w:rPr>
            </w:pPr>
            <w:r>
              <w:rPr>
                <w:rFonts w:ascii="Arial" w:cs="Arial" w:eastAsia="Arial" w:hAnsi="Arial"/>
                <w:sz w:val="14"/>
                <w:szCs w:val="14"/>
                <w:b w:val="1"/>
                <w:bCs w:val="1"/>
                <w:color w:val="auto"/>
                <w:w w:val="92"/>
              </w:rPr>
              <w:t>2 University Plaza</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70"/>
              <w:spacing w:after="0" w:line="145" w:lineRule="exact"/>
              <w:rPr>
                <w:sz w:val="20"/>
                <w:szCs w:val="20"/>
                <w:color w:val="auto"/>
              </w:rPr>
            </w:pPr>
            <w:r>
              <w:rPr>
                <w:rFonts w:ascii="Arial" w:cs="Arial" w:eastAsia="Arial" w:hAnsi="Arial"/>
                <w:sz w:val="14"/>
                <w:szCs w:val="14"/>
                <w:b w:val="1"/>
                <w:bCs w:val="1"/>
                <w:color w:val="auto"/>
                <w:w w:val="87"/>
              </w:rPr>
              <w:t>Suite 100</w:t>
            </w:r>
          </w:p>
        </w:tc>
        <w:tc>
          <w:tcPr>
            <w:tcW w:w="540" w:type="dxa"/>
            <w:vAlign w:val="bottom"/>
            <w:gridSpan w:val="2"/>
            <w:vMerge w:val="restart"/>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07601</w:t>
            </w:r>
          </w:p>
        </w:tc>
        <w:tc>
          <w:tcPr>
            <w:tcW w:w="1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4"/>
              </w:rPr>
              <w:t>(Address of</w:t>
            </w:r>
          </w:p>
        </w:tc>
        <w:tc>
          <w:tcPr>
            <w:tcW w:w="98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Hackensack, NJ</w:t>
            </w:r>
          </w:p>
        </w:tc>
        <w:tc>
          <w:tcPr>
            <w:tcW w:w="3740" w:type="dxa"/>
            <w:vAlign w:val="bottom"/>
            <w:gridSpan w:val="3"/>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0" w:type="dxa"/>
            <w:vAlign w:val="bottom"/>
            <w:vMerge w:val="continue"/>
          </w:tcPr>
          <w:p>
            <w:pPr>
              <w:spacing w:after="0"/>
              <w:rPr>
                <w:sz w:val="13"/>
                <w:szCs w:val="13"/>
                <w:color w:val="auto"/>
              </w:rPr>
            </w:pPr>
          </w:p>
        </w:tc>
        <w:tc>
          <w:tcPr>
            <w:tcW w:w="4720" w:type="dxa"/>
            <w:vAlign w:val="bottom"/>
            <w:gridSpan w:val="6"/>
          </w:tcPr>
          <w:p>
            <w:pPr>
              <w:ind w:left="60"/>
              <w:spacing w:after="0" w:line="157" w:lineRule="exact"/>
              <w:rPr>
                <w:sz w:val="20"/>
                <w:szCs w:val="20"/>
                <w:color w:val="auto"/>
              </w:rPr>
            </w:pPr>
            <w:r>
              <w:rPr>
                <w:rFonts w:ascii="Arial" w:cs="Arial" w:eastAsia="Arial" w:hAnsi="Arial"/>
                <w:sz w:val="14"/>
                <w:szCs w:val="14"/>
                <w:b w:val="1"/>
                <w:bCs w:val="1"/>
                <w:color w:val="auto"/>
              </w:rPr>
              <w:t>principal executive offices)</w:t>
            </w:r>
          </w:p>
        </w:tc>
        <w:tc>
          <w:tcPr>
            <w:tcW w:w="1260" w:type="dxa"/>
            <w:vAlign w:val="bottom"/>
            <w:gridSpan w:val="5"/>
          </w:tcPr>
          <w:p>
            <w:pPr>
              <w:jc w:val="center"/>
              <w:ind w:left="111"/>
              <w:spacing w:after="0" w:line="157" w:lineRule="exact"/>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186"/>
        </w:trPr>
        <w:tc>
          <w:tcPr>
            <w:tcW w:w="4080" w:type="dxa"/>
            <w:vAlign w:val="bottom"/>
            <w:gridSpan w:val="6"/>
          </w:tcPr>
          <w:p>
            <w:pPr>
              <w:jc w:val="right"/>
              <w:spacing w:after="0"/>
              <w:rPr>
                <w:sz w:val="20"/>
                <w:szCs w:val="20"/>
                <w:color w:val="auto"/>
              </w:rPr>
            </w:pPr>
            <w:r>
              <w:rPr>
                <w:rFonts w:ascii="Arial" w:cs="Arial" w:eastAsia="Arial" w:hAnsi="Arial"/>
                <w:sz w:val="14"/>
                <w:szCs w:val="14"/>
                <w:b w:val="1"/>
                <w:bCs w:val="1"/>
                <w:u w:val="single" w:color="auto"/>
                <w:color w:val="auto"/>
              </w:rPr>
              <w:t>(201)</w:t>
            </w:r>
            <w:r>
              <w:rPr>
                <w:rFonts w:ascii="Arial" w:cs="Arial" w:eastAsia="Arial" w:hAnsi="Arial"/>
                <w:sz w:val="14"/>
                <w:szCs w:val="14"/>
                <w:b w:val="1"/>
                <w:bCs w:val="1"/>
                <w:color w:val="auto"/>
              </w:rPr>
              <w:t>-696-9345</w:t>
            </w: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5"/>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(Registrant’s telephone number,</w:t>
            </w:r>
          </w:p>
        </w:tc>
        <w:tc>
          <w:tcPr>
            <w:tcW w:w="13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N/A</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6289675" cy="226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9675" cy="226060"/>
                    </a:xfrm>
                    <a:prstGeom prst="rect">
                      <a:avLst/>
                    </a:prstGeom>
                    <a:noFill/>
                  </pic:spPr>
                </pic:pic>
              </a:graphicData>
            </a:graphic>
          </wp:anchor>
        </w:drawing>
      </w:r>
    </w:p>
    <w:p>
      <w:pPr>
        <w:spacing w:after="0" w:line="96" w:lineRule="exact"/>
        <w:rPr>
          <w:sz w:val="24"/>
          <w:szCs w:val="24"/>
          <w:color w:val="auto"/>
        </w:rPr>
      </w:pPr>
    </w:p>
    <w:tbl>
      <w:tblPr>
        <w:tblLayout w:type="fixed"/>
        <w:tblInd w:w="620" w:type="dxa"/>
        <w:tblCellMar>
          <w:top w:w="0" w:type="dxa"/>
          <w:left w:w="0" w:type="dxa"/>
          <w:bottom w:w="0" w:type="dxa"/>
          <w:right w:w="0" w:type="dxa"/>
        </w:tblCellMar>
      </w:tblPr>
      <w:tr>
        <w:trPr>
          <w:trHeight w:val="162"/>
        </w:trPr>
        <w:tc>
          <w:tcPr>
            <w:tcW w:w="2820" w:type="dxa"/>
            <w:vAlign w:val="bottom"/>
          </w:tcPr>
          <w:p>
            <w:pPr>
              <w:jc w:val="center"/>
              <w:ind w:right="890"/>
              <w:spacing w:after="0"/>
              <w:rPr>
                <w:sz w:val="20"/>
                <w:szCs w:val="20"/>
                <w:color w:val="auto"/>
              </w:rPr>
            </w:pPr>
            <w:r>
              <w:rPr>
                <w:rFonts w:ascii="Arial" w:cs="Arial" w:eastAsia="Arial" w:hAnsi="Arial"/>
                <w:sz w:val="14"/>
                <w:szCs w:val="14"/>
                <w:b w:val="1"/>
                <w:bCs w:val="1"/>
                <w:color w:val="auto"/>
                <w:w w:val="87"/>
              </w:rPr>
              <w:t>Title of each class</w:t>
            </w:r>
          </w:p>
        </w:tc>
        <w:tc>
          <w:tcPr>
            <w:tcW w:w="2860" w:type="dxa"/>
            <w:vAlign w:val="bottom"/>
          </w:tcPr>
          <w:p>
            <w:pPr>
              <w:jc w:val="center"/>
              <w:ind w:left="110"/>
              <w:spacing w:after="0"/>
              <w:rPr>
                <w:sz w:val="20"/>
                <w:szCs w:val="20"/>
                <w:color w:val="auto"/>
              </w:rPr>
            </w:pPr>
            <w:r>
              <w:rPr>
                <w:rFonts w:ascii="Arial" w:cs="Arial" w:eastAsia="Arial" w:hAnsi="Arial"/>
                <w:sz w:val="14"/>
                <w:szCs w:val="14"/>
                <w:b w:val="1"/>
                <w:bCs w:val="1"/>
                <w:color w:val="auto"/>
                <w:w w:val="91"/>
              </w:rPr>
              <w:t>Trading Symbol(s)</w:t>
            </w:r>
          </w:p>
        </w:tc>
        <w:tc>
          <w:tcPr>
            <w:tcW w:w="3380" w:type="dxa"/>
            <w:vAlign w:val="bottom"/>
          </w:tcPr>
          <w:p>
            <w:pPr>
              <w:jc w:val="center"/>
              <w:ind w:left="710"/>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79"/>
        </w:trPr>
        <w:tc>
          <w:tcPr>
            <w:tcW w:w="2820" w:type="dxa"/>
            <w:vAlign w:val="bottom"/>
          </w:tcPr>
          <w:p>
            <w:pPr>
              <w:jc w:val="center"/>
              <w:ind w:right="890"/>
              <w:spacing w:after="0"/>
              <w:rPr>
                <w:sz w:val="20"/>
                <w:szCs w:val="20"/>
                <w:color w:val="auto"/>
              </w:rPr>
            </w:pPr>
            <w:r>
              <w:rPr>
                <w:rFonts w:ascii="Arial" w:cs="Arial" w:eastAsia="Arial" w:hAnsi="Arial"/>
                <w:sz w:val="14"/>
                <w:szCs w:val="14"/>
                <w:color w:val="auto"/>
                <w:w w:val="90"/>
              </w:rPr>
              <w:t>Common stock, $0.001 par value</w:t>
            </w:r>
          </w:p>
        </w:tc>
        <w:tc>
          <w:tcPr>
            <w:tcW w:w="2860" w:type="dxa"/>
            <w:vAlign w:val="bottom"/>
          </w:tcPr>
          <w:p>
            <w:pPr>
              <w:jc w:val="center"/>
              <w:ind w:left="110"/>
              <w:spacing w:after="0"/>
              <w:rPr>
                <w:sz w:val="20"/>
                <w:szCs w:val="20"/>
                <w:color w:val="auto"/>
              </w:rPr>
            </w:pPr>
            <w:r>
              <w:rPr>
                <w:rFonts w:ascii="Arial" w:cs="Arial" w:eastAsia="Arial" w:hAnsi="Arial"/>
                <w:sz w:val="14"/>
                <w:szCs w:val="14"/>
                <w:color w:val="auto"/>
              </w:rPr>
              <w:t>PLX</w:t>
            </w:r>
          </w:p>
        </w:tc>
        <w:tc>
          <w:tcPr>
            <w:tcW w:w="3380" w:type="dxa"/>
            <w:vAlign w:val="bottom"/>
          </w:tcPr>
          <w:p>
            <w:pPr>
              <w:jc w:val="center"/>
              <w:ind w:left="710"/>
              <w:spacing w:after="0"/>
              <w:rPr>
                <w:sz w:val="20"/>
                <w:szCs w:val="20"/>
                <w:color w:val="auto"/>
              </w:rPr>
            </w:pPr>
            <w:r>
              <w:rPr>
                <w:rFonts w:ascii="Arial" w:cs="Arial" w:eastAsia="Arial" w:hAnsi="Arial"/>
                <w:sz w:val="14"/>
                <w:szCs w:val="14"/>
                <w:color w:val="auto"/>
                <w:w w:val="94"/>
              </w:rPr>
              <w:t>NYSE American</w:t>
            </w:r>
          </w:p>
        </w:tc>
      </w:tr>
    </w:tbl>
    <w:p>
      <w:pPr>
        <w:spacing w:after="0" w:line="58" w:lineRule="exact"/>
        <w:rPr>
          <w:sz w:val="24"/>
          <w:szCs w:val="24"/>
          <w:color w:val="auto"/>
        </w:rPr>
      </w:pPr>
    </w:p>
    <w:p>
      <w:pPr>
        <w:ind w:right="180"/>
        <w:spacing w:after="0" w:line="269"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6" w:lineRule="exact"/>
        <w:rPr>
          <w:sz w:val="24"/>
          <w:szCs w:val="24"/>
          <w:color w:val="auto"/>
        </w:rPr>
      </w:pPr>
    </w:p>
    <w:p>
      <w:pPr>
        <w:ind w:right="520"/>
        <w:spacing w:after="0" w:line="18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0" w:lineRule="exact"/>
        <w:rPr>
          <w:sz w:val="24"/>
          <w:szCs w:val="24"/>
          <w:color w:val="auto"/>
        </w:rPr>
      </w:pPr>
    </w:p>
    <w:p>
      <w:pPr>
        <w:spacing w:after="0" w:line="324"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500" w:type="dxa"/>
        <w:tblCellMar>
          <w:top w:w="0" w:type="dxa"/>
          <w:left w:w="0" w:type="dxa"/>
          <w:bottom w:w="0" w:type="dxa"/>
          <w:right w:w="0" w:type="dxa"/>
        </w:tblCellMar>
      </w:tblPr>
      <w:tr>
        <w:trPr>
          <w:trHeight w:val="174"/>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520"/>
              <w:spacing w:after="0" w:line="174" w:lineRule="exact"/>
              <w:rPr>
                <w:sz w:val="20"/>
                <w:szCs w:val="20"/>
                <w:color w:val="auto"/>
              </w:rPr>
            </w:pPr>
            <w:r>
              <w:rPr>
                <w:rFonts w:ascii="Arial Unicode MS" w:cs="Arial Unicode MS" w:eastAsia="Arial Unicode MS" w:hAnsi="Arial Unicode MS"/>
                <w:sz w:val="14"/>
                <w:szCs w:val="14"/>
                <w:color w:val="auto"/>
              </w:rPr>
              <w:t>☐</w:t>
            </w:r>
          </w:p>
        </w:tc>
        <w:tc>
          <w:tcPr>
            <w:tcW w:w="3500" w:type="dxa"/>
            <w:vAlign w:val="bottom"/>
          </w:tcPr>
          <w:p>
            <w:pPr>
              <w:ind w:left="16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74" w:lineRule="exact"/>
              <w:rPr>
                <w:sz w:val="20"/>
                <w:szCs w:val="20"/>
                <w:color w:val="auto"/>
              </w:rPr>
            </w:pPr>
            <w:r>
              <w:rPr>
                <w:rFonts w:ascii="Arial Unicode MS" w:cs="Arial Unicode MS" w:eastAsia="Arial Unicode MS" w:hAnsi="Arial Unicode MS"/>
                <w:sz w:val="14"/>
                <w:szCs w:val="14"/>
                <w:color w:val="auto"/>
                <w:w w:val="96"/>
              </w:rPr>
              <w:t>☐</w:t>
            </w:r>
          </w:p>
        </w:tc>
      </w:tr>
      <w:tr>
        <w:trPr>
          <w:trHeight w:val="171"/>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520"/>
              <w:spacing w:after="0" w:line="172" w:lineRule="exact"/>
              <w:rPr>
                <w:sz w:val="20"/>
                <w:szCs w:val="20"/>
                <w:color w:val="auto"/>
              </w:rPr>
            </w:pPr>
            <w:r>
              <w:rPr>
                <w:rFonts w:ascii="Arial Unicode MS" w:cs="Arial Unicode MS" w:eastAsia="Arial Unicode MS" w:hAnsi="Arial Unicode MS"/>
                <w:sz w:val="14"/>
                <w:szCs w:val="14"/>
                <w:color w:val="auto"/>
              </w:rPr>
              <w:t>⌧</w:t>
            </w:r>
          </w:p>
        </w:tc>
        <w:tc>
          <w:tcPr>
            <w:tcW w:w="3500" w:type="dxa"/>
            <w:vAlign w:val="bottom"/>
          </w:tcPr>
          <w:p>
            <w:pPr>
              <w:ind w:left="16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72" w:lineRule="exact"/>
              <w:rPr>
                <w:sz w:val="20"/>
                <w:szCs w:val="20"/>
                <w:color w:val="auto"/>
              </w:rPr>
            </w:pPr>
            <w:r>
              <w:rPr>
                <w:rFonts w:ascii="Arial Unicode MS" w:cs="Arial Unicode MS" w:eastAsia="Arial Unicode MS" w:hAnsi="Arial Unicode MS"/>
                <w:sz w:val="14"/>
                <w:szCs w:val="14"/>
                <w:color w:val="auto"/>
                <w:w w:val="96"/>
              </w:rPr>
              <w:t>☒</w:t>
            </w:r>
          </w:p>
        </w:tc>
      </w:tr>
      <w:tr>
        <w:trPr>
          <w:trHeight w:val="236"/>
        </w:trPr>
        <w:tc>
          <w:tcPr>
            <w:tcW w:w="1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500" w:type="dxa"/>
            <w:vAlign w:val="bottom"/>
          </w:tcPr>
          <w:p>
            <w:pPr>
              <w:ind w:left="16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8"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2580"/>
        <w:spacing w:after="0" w:line="233"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On November 1, 2023, approximately 72,952,124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459740</wp:posOffset>
            </wp:positionV>
            <wp:extent cx="629793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79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48895</wp:posOffset>
            </wp:positionV>
            <wp:extent cx="6297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79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90805</wp:posOffset>
            </wp:positionV>
            <wp:extent cx="629793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7930" cy="33655"/>
                    </a:xfrm>
                    <a:prstGeom prst="rect">
                      <a:avLst/>
                    </a:prstGeom>
                    <a:noFill/>
                  </pic:spPr>
                </pic:pic>
              </a:graphicData>
            </a:graphic>
          </wp:anchor>
        </w:drawing>
      </w:r>
    </w:p>
    <w:p>
      <w:pPr>
        <w:sectPr>
          <w:pgSz w:w="11900" w:h="16838" w:orient="portrait"/>
          <w:cols w:equalWidth="0" w:num="1">
            <w:col w:w="9920"/>
          </w:cols>
          <w:pgMar w:left="980" w:top="1308" w:right="9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r>
      <w:tr>
        <w:trPr>
          <w:trHeight w:val="17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00" w:type="dxa"/>
            <w:vAlign w:val="bottom"/>
            <w:tcBorders>
              <w:bottom w:val="single" w:sz="8" w:color="0000EE"/>
            </w:tcBorders>
            <w:gridSpan w:val="5"/>
          </w:tcPr>
          <w:p>
            <w:pPr>
              <w:jc w:val="center"/>
              <w:spacing w:after="0" w:line="171" w:lineRule="exact"/>
              <w:rPr>
                <w:sz w:val="20"/>
                <w:szCs w:val="20"/>
                <w:color w:val="auto"/>
              </w:rPr>
            </w:pPr>
            <w:r>
              <w:rPr>
                <w:rFonts w:ascii="Arial" w:cs="Arial" w:eastAsia="Arial" w:hAnsi="Arial"/>
                <w:sz w:val="18"/>
                <w:szCs w:val="18"/>
                <w:b w:val="1"/>
                <w:bCs w:val="1"/>
                <w:color w:val="0000EE"/>
              </w:rPr>
              <w:t>PART I – FINANCIAL INFORMATION</w:t>
            </w:r>
          </w:p>
        </w:tc>
        <w:tc>
          <w:tcPr>
            <w:tcW w:w="2720" w:type="dxa"/>
            <w:vAlign w:val="bottom"/>
            <w:gridSpan w:val="6"/>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44"/>
        </w:trPr>
        <w:tc>
          <w:tcPr>
            <w:tcW w:w="780" w:type="dxa"/>
            <w:vAlign w:val="bottom"/>
            <w:gridSpan w:val="4"/>
          </w:tcPr>
          <w:p>
            <w:pPr>
              <w:spacing w:after="0"/>
              <w:rPr>
                <w:sz w:val="20"/>
                <w:szCs w:val="20"/>
                <w:color w:val="auto"/>
              </w:rPr>
            </w:pPr>
            <w:r>
              <w:rPr>
                <w:rFonts w:ascii="Arial" w:cs="Arial" w:eastAsia="Arial" w:hAnsi="Arial"/>
                <w:sz w:val="18"/>
                <w:szCs w:val="18"/>
                <w:color w:val="0000EE"/>
              </w:rPr>
              <w:t>Item 1.</w:t>
            </w:r>
          </w:p>
        </w:tc>
        <w:tc>
          <w:tcPr>
            <w:tcW w:w="8540" w:type="dxa"/>
            <w:vAlign w:val="bottom"/>
            <w:gridSpan w:val="20"/>
          </w:tcPr>
          <w:p>
            <w:pPr>
              <w:spacing w:after="0"/>
              <w:rPr>
                <w:sz w:val="20"/>
                <w:szCs w:val="20"/>
                <w:color w:val="auto"/>
              </w:rPr>
            </w:pPr>
            <w:r>
              <w:rPr>
                <w:rFonts w:ascii="Arial" w:cs="Arial" w:eastAsia="Arial" w:hAnsi="Arial"/>
                <w:sz w:val="18"/>
                <w:szCs w:val="18"/>
                <w:color w:val="0000EE"/>
              </w:rPr>
              <w:t>Financial Statements</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w w:val="99"/>
              </w:rPr>
              <w:t>Condensed Consolidated Balance Sheets (Unaudited) – As of September 30, 2023 and December 31, 2022</w:t>
            </w:r>
          </w:p>
        </w:tc>
        <w:tc>
          <w:tcPr>
            <w:tcW w:w="580" w:type="dxa"/>
            <w:vAlign w:val="bottom"/>
          </w:tcPr>
          <w:p>
            <w:pPr>
              <w:jc w:val="center"/>
              <w:ind w:left="52"/>
              <w:spacing w:after="0" w:line="191" w:lineRule="exact"/>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w w:val="88"/>
              </w:rPr>
              <w:t>Condensed Consolidated Statements of Operations (Unaudited) – For the Three and Nine Months Ended September 30,</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Borders>
              <w:top w:val="single" w:sz="8" w:color="0000EE"/>
              <w:bottom w:val="single" w:sz="8" w:color="0000EE"/>
            </w:tcBorders>
            <w:gridSpan w:val="4"/>
          </w:tcPr>
          <w:p>
            <w:pPr>
              <w:spacing w:after="0" w:line="191" w:lineRule="exact"/>
              <w:rPr>
                <w:sz w:val="20"/>
                <w:szCs w:val="20"/>
                <w:color w:val="auto"/>
              </w:rPr>
            </w:pPr>
            <w:r>
              <w:rPr>
                <w:rFonts w:ascii="Arial" w:cs="Arial" w:eastAsia="Arial" w:hAnsi="Arial"/>
                <w:sz w:val="18"/>
                <w:szCs w:val="18"/>
                <w:color w:val="0000EE"/>
                <w:w w:val="84"/>
              </w:rPr>
              <w:t>2023 and 2022</w:t>
            </w:r>
          </w:p>
        </w:tc>
        <w:tc>
          <w:tcPr>
            <w:tcW w:w="7360" w:type="dxa"/>
            <w:vAlign w:val="bottom"/>
            <w:tcBorders>
              <w:top w:val="single" w:sz="8" w:color="0000EE"/>
            </w:tcBorders>
            <w:gridSpan w:val="15"/>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center"/>
              <w:ind w:left="52"/>
              <w:spacing w:after="0" w:line="191" w:lineRule="exact"/>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w w:val="92"/>
              </w:rPr>
              <w:t>Condensed Consolidated Statements of Changes in Stockholders’ Equity (Capital Deficiency) (Unaudited) – For the</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160" w:type="dxa"/>
            <w:vAlign w:val="bottom"/>
            <w:tcBorders>
              <w:top w:val="single" w:sz="8" w:color="0000EE"/>
            </w:tcBorders>
            <w:gridSpan w:val="17"/>
          </w:tcPr>
          <w:p>
            <w:pPr>
              <w:spacing w:after="0" w:line="191" w:lineRule="exact"/>
              <w:rPr>
                <w:sz w:val="20"/>
                <w:szCs w:val="20"/>
                <w:color w:val="auto"/>
              </w:rPr>
            </w:pPr>
            <w:r>
              <w:rPr>
                <w:rFonts w:ascii="Arial" w:cs="Arial" w:eastAsia="Arial" w:hAnsi="Arial"/>
                <w:sz w:val="18"/>
                <w:szCs w:val="18"/>
                <w:color w:val="0000EE"/>
              </w:rPr>
              <w:t>Three and Nine Months Ended September 30, 2023 and 2022</w:t>
            </w:r>
          </w:p>
        </w:tc>
        <w:tc>
          <w:tcPr>
            <w:tcW w:w="380" w:type="dxa"/>
            <w:vAlign w:val="bottom"/>
            <w:gridSpan w:val="3"/>
          </w:tcPr>
          <w:p>
            <w:pPr>
              <w:spacing w:after="0"/>
              <w:rPr>
                <w:sz w:val="16"/>
                <w:szCs w:val="16"/>
                <w:color w:val="auto"/>
              </w:rPr>
            </w:pPr>
          </w:p>
        </w:tc>
        <w:tc>
          <w:tcPr>
            <w:tcW w:w="580" w:type="dxa"/>
            <w:vAlign w:val="bottom"/>
          </w:tcPr>
          <w:p>
            <w:pPr>
              <w:jc w:val="center"/>
              <w:ind w:left="52"/>
              <w:spacing w:after="0" w:line="191" w:lineRule="exact"/>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w w:val="88"/>
              </w:rPr>
              <w:t>Condensed Consolidated Statements of Cash Flows (Unaudited) – For the Nine Months ended September 30, 2023 and</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top w:val="single" w:sz="8" w:color="0000EE"/>
              <w:bottom w:val="single" w:sz="8" w:color="0000EE"/>
            </w:tcBorders>
          </w:tcPr>
          <w:p>
            <w:pPr>
              <w:spacing w:after="0" w:line="191" w:lineRule="exact"/>
              <w:rPr>
                <w:sz w:val="20"/>
                <w:szCs w:val="20"/>
                <w:color w:val="auto"/>
              </w:rPr>
            </w:pPr>
            <w:r>
              <w:rPr>
                <w:rFonts w:ascii="Arial" w:cs="Arial" w:eastAsia="Arial" w:hAnsi="Arial"/>
                <w:sz w:val="18"/>
                <w:szCs w:val="18"/>
                <w:color w:val="0000EE"/>
                <w:w w:val="79"/>
              </w:rPr>
              <w:t>2022</w:t>
            </w:r>
          </w:p>
        </w:tc>
        <w:tc>
          <w:tcPr>
            <w:tcW w:w="2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4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center"/>
              <w:ind w:left="52"/>
              <w:spacing w:after="0" w:line="191" w:lineRule="exact"/>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tcBorders>
              <w:bottom w:val="single" w:sz="8" w:color="0000EE"/>
            </w:tcBorders>
            <w:gridSpan w:val="11"/>
          </w:tcPr>
          <w:p>
            <w:pPr>
              <w:spacing w:after="0" w:line="191" w:lineRule="exact"/>
              <w:rPr>
                <w:sz w:val="20"/>
                <w:szCs w:val="20"/>
                <w:color w:val="auto"/>
              </w:rPr>
            </w:pPr>
            <w:r>
              <w:rPr>
                <w:rFonts w:ascii="Arial" w:cs="Arial" w:eastAsia="Arial" w:hAnsi="Arial"/>
                <w:sz w:val="18"/>
                <w:szCs w:val="18"/>
                <w:color w:val="0000EE"/>
                <w:w w:val="86"/>
              </w:rPr>
              <w:t>Notes to Condensed Consolidated Financial Statements</w:t>
            </w:r>
          </w:p>
        </w:tc>
        <w:tc>
          <w:tcPr>
            <w:tcW w:w="4640" w:type="dxa"/>
            <w:vAlign w:val="bottom"/>
            <w:gridSpan w:val="9"/>
          </w:tcPr>
          <w:p>
            <w:pPr>
              <w:spacing w:after="0"/>
              <w:rPr>
                <w:sz w:val="16"/>
                <w:szCs w:val="16"/>
                <w:color w:val="auto"/>
              </w:rPr>
            </w:pPr>
          </w:p>
        </w:tc>
        <w:tc>
          <w:tcPr>
            <w:tcW w:w="580" w:type="dxa"/>
            <w:vAlign w:val="bottom"/>
          </w:tcPr>
          <w:p>
            <w:pPr>
              <w:jc w:val="center"/>
              <w:ind w:left="52"/>
              <w:spacing w:after="0" w:line="191" w:lineRule="exact"/>
              <w:rPr>
                <w:sz w:val="20"/>
                <w:szCs w:val="20"/>
                <w:color w:val="auto"/>
              </w:rPr>
            </w:pPr>
            <w:r>
              <w:rPr>
                <w:rFonts w:ascii="Arial" w:cs="Arial" w:eastAsia="Arial" w:hAnsi="Arial"/>
                <w:sz w:val="18"/>
                <w:szCs w:val="18"/>
                <w:color w:val="auto"/>
                <w:w w:val="79"/>
              </w:rPr>
              <w:t>7</w:t>
            </w:r>
          </w:p>
        </w:tc>
        <w:tc>
          <w:tcPr>
            <w:tcW w:w="20" w:type="dxa"/>
            <w:vAlign w:val="bottom"/>
          </w:tcPr>
          <w:p>
            <w:pPr>
              <w:spacing w:after="0"/>
              <w:rPr>
                <w:sz w:val="16"/>
                <w:szCs w:val="16"/>
                <w:color w:val="auto"/>
              </w:rPr>
            </w:pPr>
          </w:p>
        </w:tc>
      </w:tr>
      <w:tr>
        <w:trPr>
          <w:trHeight w:val="191"/>
        </w:trPr>
        <w:tc>
          <w:tcPr>
            <w:tcW w:w="780" w:type="dxa"/>
            <w:vAlign w:val="bottom"/>
            <w:gridSpan w:val="4"/>
          </w:tcPr>
          <w:p>
            <w:pPr>
              <w:spacing w:after="0" w:line="191" w:lineRule="exact"/>
              <w:rPr>
                <w:sz w:val="20"/>
                <w:szCs w:val="20"/>
                <w:color w:val="auto"/>
              </w:rPr>
            </w:pPr>
            <w:r>
              <w:rPr>
                <w:rFonts w:ascii="Arial" w:cs="Arial" w:eastAsia="Arial" w:hAnsi="Arial"/>
                <w:sz w:val="18"/>
                <w:szCs w:val="18"/>
                <w:color w:val="0000EE"/>
              </w:rPr>
              <w:t>Item 2.</w:t>
            </w: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17</w:t>
            </w:r>
          </w:p>
        </w:tc>
        <w:tc>
          <w:tcPr>
            <w:tcW w:w="2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780" w:type="dxa"/>
            <w:vAlign w:val="bottom"/>
            <w:gridSpan w:val="4"/>
          </w:tcPr>
          <w:p>
            <w:pPr>
              <w:spacing w:after="0" w:line="191" w:lineRule="exact"/>
              <w:rPr>
                <w:sz w:val="20"/>
                <w:szCs w:val="20"/>
                <w:color w:val="auto"/>
              </w:rPr>
            </w:pPr>
            <w:r>
              <w:rPr>
                <w:rFonts w:ascii="Arial" w:cs="Arial" w:eastAsia="Arial" w:hAnsi="Arial"/>
                <w:sz w:val="18"/>
                <w:szCs w:val="18"/>
                <w:color w:val="0000EE"/>
              </w:rPr>
              <w:t>Item 3.</w:t>
            </w: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rPr>
              <w:t>Quantitative and Qualitative Disclosures About Market Risk</w:t>
            </w: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780" w:type="dxa"/>
            <w:vAlign w:val="bottom"/>
            <w:gridSpan w:val="4"/>
          </w:tcPr>
          <w:p>
            <w:pPr>
              <w:spacing w:after="0" w:line="191" w:lineRule="exact"/>
              <w:rPr>
                <w:sz w:val="20"/>
                <w:szCs w:val="20"/>
                <w:color w:val="auto"/>
              </w:rPr>
            </w:pPr>
            <w:r>
              <w:rPr>
                <w:rFonts w:ascii="Arial" w:cs="Arial" w:eastAsia="Arial" w:hAnsi="Arial"/>
                <w:sz w:val="18"/>
                <w:szCs w:val="18"/>
                <w:color w:val="0000EE"/>
              </w:rPr>
              <w:t>Item 4.</w:t>
            </w: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rPr>
              <w:t>Controls and Procedures</w:t>
            </w: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16"/>
                <w:szCs w:val="16"/>
                <w:color w:val="auto"/>
              </w:rPr>
            </w:pPr>
          </w:p>
        </w:tc>
      </w:tr>
      <w:tr>
        <w:trPr>
          <w:trHeight w:val="191"/>
        </w:trPr>
        <w:tc>
          <w:tcPr>
            <w:tcW w:w="50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20" w:type="dxa"/>
            <w:vAlign w:val="bottom"/>
            <w:gridSpan w:val="11"/>
          </w:tcPr>
          <w:p>
            <w:pPr>
              <w:jc w:val="center"/>
              <w:ind w:right="2720"/>
              <w:spacing w:after="0" w:line="191" w:lineRule="exact"/>
              <w:rPr>
                <w:sz w:val="20"/>
                <w:szCs w:val="20"/>
                <w:color w:val="auto"/>
              </w:rPr>
            </w:pPr>
            <w:r>
              <w:rPr>
                <w:rFonts w:ascii="Arial" w:cs="Arial" w:eastAsia="Arial" w:hAnsi="Arial"/>
                <w:sz w:val="18"/>
                <w:szCs w:val="18"/>
                <w:b w:val="1"/>
                <w:bCs w:val="1"/>
                <w:color w:val="0000EE"/>
                <w:w w:val="99"/>
              </w:rPr>
              <w:t>PART II – OTHER INFORMATION</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4"/>
        </w:trPr>
        <w:tc>
          <w:tcPr>
            <w:tcW w:w="780" w:type="dxa"/>
            <w:vAlign w:val="bottom"/>
            <w:gridSpan w:val="4"/>
          </w:tcPr>
          <w:p>
            <w:pPr>
              <w:spacing w:after="0"/>
              <w:rPr>
                <w:sz w:val="20"/>
                <w:szCs w:val="20"/>
                <w:color w:val="auto"/>
              </w:rPr>
            </w:pPr>
            <w:r>
              <w:rPr>
                <w:rFonts w:ascii="Arial" w:cs="Arial" w:eastAsia="Arial" w:hAnsi="Arial"/>
                <w:sz w:val="18"/>
                <w:szCs w:val="18"/>
                <w:color w:val="0000EE"/>
              </w:rPr>
              <w:t>Item 1.</w:t>
            </w:r>
          </w:p>
        </w:tc>
        <w:tc>
          <w:tcPr>
            <w:tcW w:w="2880" w:type="dxa"/>
            <w:vAlign w:val="bottom"/>
            <w:gridSpan w:val="10"/>
          </w:tcPr>
          <w:p>
            <w:pPr>
              <w:spacing w:after="0"/>
              <w:rPr>
                <w:sz w:val="20"/>
                <w:szCs w:val="20"/>
                <w:color w:val="auto"/>
              </w:rPr>
            </w:pPr>
            <w:r>
              <w:rPr>
                <w:rFonts w:ascii="Arial" w:cs="Arial" w:eastAsia="Arial" w:hAnsi="Arial"/>
                <w:sz w:val="18"/>
                <w:szCs w:val="18"/>
                <w:color w:val="0000EE"/>
              </w:rPr>
              <w:t>Legal Proceedings</w:t>
            </w:r>
          </w:p>
        </w:tc>
        <w:tc>
          <w:tcPr>
            <w:tcW w:w="2780" w:type="dxa"/>
            <w:vAlign w:val="bottom"/>
            <w:tcBorders>
              <w:top w:val="single" w:sz="8" w:color="0000EE"/>
            </w:tcBorders>
            <w:gridSpan w:val="3"/>
          </w:tcPr>
          <w:p>
            <w:pPr>
              <w:spacing w:after="0"/>
              <w:rPr>
                <w:sz w:val="21"/>
                <w:szCs w:val="21"/>
                <w:color w:val="auto"/>
              </w:rPr>
            </w:pPr>
          </w:p>
        </w:tc>
        <w:tc>
          <w:tcPr>
            <w:tcW w:w="2880" w:type="dxa"/>
            <w:vAlign w:val="bottom"/>
            <w:gridSpan w:val="7"/>
          </w:tcPr>
          <w:p>
            <w:pPr>
              <w:spacing w:after="0"/>
              <w:rPr>
                <w:sz w:val="21"/>
                <w:szCs w:val="21"/>
                <w:color w:val="auto"/>
              </w:rPr>
            </w:pPr>
          </w:p>
        </w:tc>
        <w:tc>
          <w:tcPr>
            <w:tcW w:w="580" w:type="dxa"/>
            <w:vAlign w:val="bottom"/>
          </w:tcPr>
          <w:p>
            <w:pPr>
              <w:jc w:val="center"/>
              <w:ind w:left="72"/>
              <w:spacing w:after="0"/>
              <w:rPr>
                <w:sz w:val="20"/>
                <w:szCs w:val="20"/>
                <w:color w:val="auto"/>
              </w:rPr>
            </w:pPr>
            <w:r>
              <w:rPr>
                <w:rFonts w:ascii="Arial" w:cs="Arial" w:eastAsia="Arial" w:hAnsi="Arial"/>
                <w:sz w:val="18"/>
                <w:szCs w:val="18"/>
                <w:color w:val="auto"/>
                <w:w w:val="89"/>
              </w:rPr>
              <w:t>36</w:t>
            </w:r>
          </w:p>
        </w:tc>
        <w:tc>
          <w:tcPr>
            <w:tcW w:w="2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640" w:type="dxa"/>
            <w:vAlign w:val="bottom"/>
            <w:tcBorders>
              <w:bottom w:val="single" w:sz="8" w:color="0000EE"/>
            </w:tcBorders>
            <w:gridSpan w:val="2"/>
          </w:tcPr>
          <w:p>
            <w:pPr>
              <w:spacing w:after="0" w:line="191" w:lineRule="exact"/>
              <w:rPr>
                <w:sz w:val="20"/>
                <w:szCs w:val="20"/>
                <w:color w:val="auto"/>
              </w:rPr>
            </w:pPr>
            <w:r>
              <w:rPr>
                <w:rFonts w:ascii="Arial" w:cs="Arial" w:eastAsia="Arial" w:hAnsi="Arial"/>
                <w:sz w:val="18"/>
                <w:szCs w:val="18"/>
                <w:color w:val="0000EE"/>
                <w:w w:val="92"/>
              </w:rPr>
              <w:t>Item 1A.</w:t>
            </w:r>
          </w:p>
        </w:tc>
        <w:tc>
          <w:tcPr>
            <w:tcW w:w="140" w:type="dxa"/>
            <w:vAlign w:val="bottom"/>
            <w:gridSpan w:val="2"/>
          </w:tcPr>
          <w:p>
            <w:pPr>
              <w:spacing w:after="0"/>
              <w:rPr>
                <w:sz w:val="16"/>
                <w:szCs w:val="16"/>
                <w:color w:val="auto"/>
              </w:rPr>
            </w:pPr>
          </w:p>
        </w:tc>
        <w:tc>
          <w:tcPr>
            <w:tcW w:w="880" w:type="dxa"/>
            <w:vAlign w:val="bottom"/>
            <w:tcBorders>
              <w:bottom w:val="single" w:sz="8" w:color="0000EE"/>
            </w:tcBorders>
            <w:gridSpan w:val="3"/>
          </w:tcPr>
          <w:p>
            <w:pPr>
              <w:spacing w:after="0" w:line="191" w:lineRule="exact"/>
              <w:rPr>
                <w:sz w:val="20"/>
                <w:szCs w:val="20"/>
                <w:color w:val="auto"/>
              </w:rPr>
            </w:pPr>
            <w:r>
              <w:rPr>
                <w:rFonts w:ascii="Arial" w:cs="Arial" w:eastAsia="Arial" w:hAnsi="Arial"/>
                <w:sz w:val="18"/>
                <w:szCs w:val="18"/>
                <w:color w:val="0000EE"/>
                <w:w w:val="85"/>
              </w:rPr>
              <w:t>Risk Factors</w:t>
            </w:r>
          </w:p>
        </w:tc>
        <w:tc>
          <w:tcPr>
            <w:tcW w:w="7660" w:type="dxa"/>
            <w:vAlign w:val="bottom"/>
            <w:gridSpan w:val="17"/>
          </w:tcPr>
          <w:p>
            <w:pPr>
              <w:spacing w:after="0"/>
              <w:rPr>
                <w:sz w:val="16"/>
                <w:szCs w:val="16"/>
                <w:color w:val="auto"/>
              </w:rPr>
            </w:pP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36</w:t>
            </w:r>
          </w:p>
        </w:tc>
        <w:tc>
          <w:tcPr>
            <w:tcW w:w="20" w:type="dxa"/>
            <w:vAlign w:val="bottom"/>
          </w:tcPr>
          <w:p>
            <w:pPr>
              <w:spacing w:after="0"/>
              <w:rPr>
                <w:sz w:val="16"/>
                <w:szCs w:val="16"/>
                <w:color w:val="auto"/>
              </w:rPr>
            </w:pPr>
          </w:p>
        </w:tc>
      </w:tr>
      <w:tr>
        <w:trPr>
          <w:trHeight w:val="191"/>
        </w:trPr>
        <w:tc>
          <w:tcPr>
            <w:tcW w:w="780" w:type="dxa"/>
            <w:vAlign w:val="bottom"/>
            <w:gridSpan w:val="4"/>
          </w:tcPr>
          <w:p>
            <w:pPr>
              <w:spacing w:after="0" w:line="191" w:lineRule="exact"/>
              <w:rPr>
                <w:sz w:val="20"/>
                <w:szCs w:val="20"/>
                <w:color w:val="auto"/>
              </w:rPr>
            </w:pPr>
            <w:r>
              <w:rPr>
                <w:rFonts w:ascii="Arial" w:cs="Arial" w:eastAsia="Arial" w:hAnsi="Arial"/>
                <w:sz w:val="18"/>
                <w:szCs w:val="18"/>
                <w:color w:val="0000EE"/>
              </w:rPr>
              <w:t>Item 2.</w:t>
            </w: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rPr>
              <w:t>Unregistered Sales of Equity Securities and Use of Proceeds</w:t>
            </w: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36</w:t>
            </w:r>
          </w:p>
        </w:tc>
        <w:tc>
          <w:tcPr>
            <w:tcW w:w="2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3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780" w:type="dxa"/>
            <w:vAlign w:val="bottom"/>
            <w:gridSpan w:val="4"/>
          </w:tcPr>
          <w:p>
            <w:pPr>
              <w:spacing w:after="0" w:line="191" w:lineRule="exact"/>
              <w:rPr>
                <w:sz w:val="20"/>
                <w:szCs w:val="20"/>
                <w:color w:val="auto"/>
              </w:rPr>
            </w:pPr>
            <w:r>
              <w:rPr>
                <w:rFonts w:ascii="Arial" w:cs="Arial" w:eastAsia="Arial" w:hAnsi="Arial"/>
                <w:sz w:val="18"/>
                <w:szCs w:val="18"/>
                <w:color w:val="0000EE"/>
              </w:rPr>
              <w:t>Item 3.</w:t>
            </w: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rPr>
              <w:t>Defaults Upon Senior Securities</w:t>
            </w: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36</w:t>
            </w:r>
          </w:p>
        </w:tc>
        <w:tc>
          <w:tcPr>
            <w:tcW w:w="2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628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780" w:type="dxa"/>
            <w:vAlign w:val="bottom"/>
            <w:gridSpan w:val="4"/>
          </w:tcPr>
          <w:p>
            <w:pPr>
              <w:spacing w:after="0" w:line="191" w:lineRule="exact"/>
              <w:rPr>
                <w:sz w:val="20"/>
                <w:szCs w:val="20"/>
                <w:color w:val="auto"/>
              </w:rPr>
            </w:pPr>
            <w:r>
              <w:rPr>
                <w:rFonts w:ascii="Arial" w:cs="Arial" w:eastAsia="Arial" w:hAnsi="Arial"/>
                <w:sz w:val="18"/>
                <w:szCs w:val="18"/>
                <w:color w:val="0000EE"/>
              </w:rPr>
              <w:t>Item 4.</w:t>
            </w: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rPr>
              <w:t>Mine Safety Disclosures</w:t>
            </w: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37</w:t>
            </w:r>
          </w:p>
        </w:tc>
        <w:tc>
          <w:tcPr>
            <w:tcW w:w="2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82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780" w:type="dxa"/>
            <w:vAlign w:val="bottom"/>
            <w:gridSpan w:val="4"/>
          </w:tcPr>
          <w:p>
            <w:pPr>
              <w:spacing w:after="0" w:line="191" w:lineRule="exact"/>
              <w:rPr>
                <w:sz w:val="20"/>
                <w:szCs w:val="20"/>
                <w:color w:val="auto"/>
              </w:rPr>
            </w:pPr>
            <w:r>
              <w:rPr>
                <w:rFonts w:ascii="Arial" w:cs="Arial" w:eastAsia="Arial" w:hAnsi="Arial"/>
                <w:sz w:val="18"/>
                <w:szCs w:val="18"/>
                <w:color w:val="0000EE"/>
              </w:rPr>
              <w:t>Item 5.</w:t>
            </w: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rPr>
              <w:t>Other Information</w:t>
            </w: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37</w:t>
            </w:r>
          </w:p>
        </w:tc>
        <w:tc>
          <w:tcPr>
            <w:tcW w:w="2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780" w:type="dxa"/>
            <w:vAlign w:val="bottom"/>
            <w:gridSpan w:val="4"/>
          </w:tcPr>
          <w:p>
            <w:pPr>
              <w:spacing w:after="0" w:line="191" w:lineRule="exact"/>
              <w:rPr>
                <w:sz w:val="20"/>
                <w:szCs w:val="20"/>
                <w:color w:val="auto"/>
              </w:rPr>
            </w:pPr>
            <w:r>
              <w:rPr>
                <w:rFonts w:ascii="Arial" w:cs="Arial" w:eastAsia="Arial" w:hAnsi="Arial"/>
                <w:sz w:val="18"/>
                <w:szCs w:val="18"/>
                <w:color w:val="0000EE"/>
              </w:rPr>
              <w:t>Item 6.</w:t>
            </w:r>
          </w:p>
        </w:tc>
        <w:tc>
          <w:tcPr>
            <w:tcW w:w="8540" w:type="dxa"/>
            <w:vAlign w:val="bottom"/>
            <w:gridSpan w:val="20"/>
          </w:tcPr>
          <w:p>
            <w:pPr>
              <w:spacing w:after="0" w:line="191" w:lineRule="exact"/>
              <w:rPr>
                <w:sz w:val="20"/>
                <w:szCs w:val="20"/>
                <w:color w:val="auto"/>
              </w:rPr>
            </w:pPr>
            <w:r>
              <w:rPr>
                <w:rFonts w:ascii="Arial" w:cs="Arial" w:eastAsia="Arial" w:hAnsi="Arial"/>
                <w:sz w:val="18"/>
                <w:szCs w:val="18"/>
                <w:color w:val="0000EE"/>
              </w:rPr>
              <w:t>Exhibits</w:t>
            </w: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37</w:t>
            </w:r>
          </w:p>
        </w:tc>
        <w:tc>
          <w:tcPr>
            <w:tcW w:w="2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780" w:type="dxa"/>
            <w:vAlign w:val="bottom"/>
            <w:gridSpan w:val="4"/>
          </w:tcPr>
          <w:p>
            <w:pPr>
              <w:spacing w:after="0" w:line="191" w:lineRule="exact"/>
              <w:rPr>
                <w:sz w:val="20"/>
                <w:szCs w:val="20"/>
                <w:color w:val="auto"/>
              </w:rPr>
            </w:pPr>
            <w:r>
              <w:rPr>
                <w:rFonts w:ascii="Arial" w:cs="Arial" w:eastAsia="Arial" w:hAnsi="Arial"/>
                <w:sz w:val="18"/>
                <w:szCs w:val="18"/>
                <w:color w:val="0000EE"/>
                <w:w w:val="88"/>
              </w:rPr>
              <w:t>Signatures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center"/>
              <w:ind w:left="72"/>
              <w:spacing w:after="0" w:line="191" w:lineRule="exact"/>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16"/>
                <w:szCs w:val="16"/>
                <w:color w:val="auto"/>
              </w:rPr>
            </w:pPr>
          </w:p>
        </w:tc>
      </w:tr>
      <w:tr>
        <w:trPr>
          <w:trHeight w:val="936"/>
        </w:trPr>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71"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6820" w:type="dxa"/>
            <w:vAlign w:val="bottom"/>
          </w:tcPr>
          <w:p>
            <w:pPr>
              <w:ind w:left="30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20,408</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Short-term bank deposits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 Trade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20" w:type="dxa"/>
            <w:vAlign w:val="bottom"/>
            <w:tcBorders>
              <w:bottom w:val="single" w:sz="8" w:color="CCEEFF"/>
            </w:tcBorders>
          </w:tcPr>
          <w:p>
            <w:pPr>
              <w:ind w:left="280"/>
              <w:spacing w:after="0" w:line="203" w:lineRule="exact"/>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72,618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44,880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Funds in respect of employee rights upon retirement</w:t>
            </w:r>
          </w:p>
        </w:tc>
        <w:tc>
          <w:tcPr>
            <w:tcW w:w="6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20" w:type="dxa"/>
            <w:vAlign w:val="bottom"/>
            <w:tcBorders>
              <w:bottom w:val="single" w:sz="8" w:color="CCEEFF"/>
            </w:tcBorders>
            <w:shd w:val="clear" w:color="auto" w:fill="CCEEFF"/>
          </w:tcPr>
          <w:p>
            <w:pPr>
              <w:ind w:left="280"/>
              <w:spacing w:after="0" w:line="204"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87,569</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55,787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(NET OF CAPITAL DEFICIENCY)</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Accounts payable and accruals: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Trade</w:t>
            </w:r>
          </w:p>
        </w:tc>
        <w:tc>
          <w:tcPr>
            <w:tcW w:w="6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Contracts liability</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notes</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20" w:type="dxa"/>
            <w:vAlign w:val="bottom"/>
            <w:tcBorders>
              <w:bottom w:val="single" w:sz="8" w:color="CCEEFF"/>
            </w:tcBorders>
          </w:tcPr>
          <w:p>
            <w:pPr>
              <w:ind w:left="280"/>
              <w:spacing w:after="0" w:line="203"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43,359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32,429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LONG TERM LIABILITIES: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notes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Liability for employee rights upon retirement</w:t>
            </w:r>
          </w:p>
        </w:tc>
        <w:tc>
          <w:tcPr>
            <w:tcW w:w="660" w:type="dxa"/>
            <w:vAlign w:val="bottom"/>
            <w:gridSpan w:val="2"/>
          </w:tcPr>
          <w:p>
            <w:pPr>
              <w:jc w:val="right"/>
              <w:ind w:right="26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20" w:type="dxa"/>
            <w:vAlign w:val="bottom"/>
            <w:tcBorders>
              <w:bottom w:val="single" w:sz="8" w:color="CCEEFF"/>
            </w:tcBorders>
          </w:tcPr>
          <w:p>
            <w:pPr>
              <w:ind w:left="280"/>
              <w:spacing w:after="0" w:line="203" w:lineRule="exact"/>
              <w:rPr>
                <w:sz w:val="20"/>
                <w:szCs w:val="20"/>
                <w:color w:val="auto"/>
              </w:rPr>
            </w:pPr>
            <w:r>
              <w:rPr>
                <w:rFonts w:ascii="Arial" w:cs="Arial" w:eastAsia="Arial" w:hAnsi="Arial"/>
                <w:sz w:val="18"/>
                <w:szCs w:val="18"/>
                <w:color w:val="auto"/>
              </w:rPr>
              <w:t>Total long term liabilities</w:t>
            </w:r>
          </w:p>
        </w:tc>
        <w:tc>
          <w:tcPr>
            <w:tcW w:w="2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5,963</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2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49,322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66,427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(CAPITAL DEFICIENCY)</w:t>
            </w:r>
          </w:p>
        </w:tc>
        <w:tc>
          <w:tcPr>
            <w:tcW w:w="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20" w:type="dxa"/>
            <w:vAlign w:val="bottom"/>
          </w:tcPr>
          <w:p>
            <w:pPr>
              <w:ind w:left="80"/>
              <w:spacing w:after="0" w:line="204" w:lineRule="exact"/>
              <w:rPr>
                <w:sz w:val="20"/>
                <w:szCs w:val="20"/>
                <w:color w:val="auto"/>
              </w:rPr>
            </w:pPr>
            <w:r>
              <w:rPr>
                <w:rFonts w:ascii="Arial" w:cs="Arial" w:eastAsia="Arial" w:hAnsi="Arial"/>
                <w:sz w:val="18"/>
                <w:szCs w:val="18"/>
                <w:color w:val="auto"/>
              </w:rPr>
              <w:t>Total liabilities and stockholders' equity (net of capital deficiency)</w:t>
            </w:r>
          </w:p>
        </w:tc>
        <w:tc>
          <w:tcPr>
            <w:tcW w:w="240" w:type="dxa"/>
            <w:vAlign w:val="bottom"/>
          </w:tcPr>
          <w:p>
            <w:pPr>
              <w:spacing w:after="0"/>
              <w:rPr>
                <w:sz w:val="17"/>
                <w:szCs w:val="17"/>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87,569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55,787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3" w:name="page4"/>
    <w:bookmarkEnd w:id="3"/>
    <w:p>
      <w:pPr>
        <w:ind w:left="1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PROTALIX BIOTHERAPEUTICS, INC.</w:t>
      </w:r>
    </w:p>
    <w:p>
      <w:pPr>
        <w:spacing w:after="0" w:line="2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(U.S. dollars in thousands, except share and per share data)</w:t>
      </w:r>
    </w:p>
    <w:p>
      <w:pPr>
        <w:spacing w:after="0" w:line="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302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4"/>
                <w:szCs w:val="14"/>
                <w:b w:val="1"/>
                <w:bCs w:val="1"/>
                <w:color w:val="auto"/>
                <w:w w:val="99"/>
              </w:rPr>
              <w:t>September 30, 2023</w:t>
            </w:r>
          </w:p>
        </w:tc>
        <w:tc>
          <w:tcPr>
            <w:tcW w:w="118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88"/>
              </w:rPr>
              <w:t>September 30, 2022</w:t>
            </w:r>
          </w:p>
        </w:tc>
        <w:tc>
          <w:tcPr>
            <w:tcW w:w="14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4"/>
                <w:szCs w:val="14"/>
                <w:b w:val="1"/>
                <w:bCs w:val="1"/>
                <w:color w:val="auto"/>
                <w:w w:val="97"/>
              </w:rPr>
              <w:t>September 30, 2023</w:t>
            </w:r>
          </w:p>
        </w:tc>
        <w:tc>
          <w:tcPr>
            <w:tcW w:w="118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w w:val="88"/>
              </w:rPr>
              <w:t>September 30, 2022</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 FROM SELLING GOODS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30,309</w:t>
            </w: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21,222</w:t>
            </w: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10,168</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8,812</w:t>
            </w:r>
          </w:p>
        </w:tc>
        <w:tc>
          <w:tcPr>
            <w:tcW w:w="8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REVENUES FROM LICENSE AND R&amp;D SERVICES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24,699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17,799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5,371</w:t>
            </w: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55,008</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39,021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14,183</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900" w:type="dxa"/>
            <w:vAlign w:val="bottom"/>
          </w:tcPr>
          <w:p>
            <w:pPr>
              <w:spacing w:after="0"/>
              <w:rPr>
                <w:sz w:val="20"/>
                <w:szCs w:val="20"/>
                <w:color w:val="auto"/>
              </w:rPr>
            </w:pPr>
            <w:r>
              <w:rPr>
                <w:rFonts w:ascii="Arial" w:cs="Arial" w:eastAsia="Arial" w:hAnsi="Arial"/>
                <w:sz w:val="14"/>
                <w:szCs w:val="14"/>
                <w:b w:val="1"/>
                <w:bCs w:val="1"/>
                <w:color w:val="auto"/>
              </w:rPr>
              <w:t>COST OF GOODS SOLD (1)</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(14,126)</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(17,195)</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(4,893)</w:t>
            </w:r>
          </w:p>
        </w:tc>
        <w:tc>
          <w:tcPr>
            <w:tcW w:w="28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color w:val="auto"/>
              </w:rPr>
              <w:t>(7,074)</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RESEARCH AND DEVELOPMENT EXPENSES (2)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(13,991)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(23,732)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(3,669)</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(7,386)</w:t>
            </w:r>
          </w:p>
        </w:tc>
        <w:tc>
          <w:tcPr>
            <w:tcW w:w="0" w:type="dxa"/>
            <w:vAlign w:val="bottom"/>
          </w:tcPr>
          <w:p>
            <w:pPr>
              <w:spacing w:after="0"/>
              <w:rPr>
                <w:sz w:val="1"/>
                <w:szCs w:val="1"/>
                <w:color w:val="auto"/>
              </w:rPr>
            </w:pPr>
          </w:p>
        </w:tc>
      </w:tr>
      <w:tr>
        <w:trPr>
          <w:trHeight w:val="211"/>
        </w:trPr>
        <w:tc>
          <w:tcPr>
            <w:tcW w:w="4900" w:type="dxa"/>
            <w:vAlign w:val="bottom"/>
          </w:tcPr>
          <w:p>
            <w:pPr>
              <w:spacing w:after="0"/>
              <w:rPr>
                <w:sz w:val="20"/>
                <w:szCs w:val="20"/>
                <w:color w:val="auto"/>
              </w:rPr>
            </w:pPr>
            <w:r>
              <w:rPr>
                <w:rFonts w:ascii="Arial" w:cs="Arial" w:eastAsia="Arial" w:hAnsi="Arial"/>
                <w:sz w:val="14"/>
                <w:szCs w:val="14"/>
                <w:b w:val="1"/>
                <w:bCs w:val="1"/>
                <w:color w:val="auto"/>
              </w:rPr>
              <w:t>SELLING, GENERAL AND ADMINISTRATIVE EXPENSES (3)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color w:val="auto"/>
              </w:rPr>
              <w:t>(2,848)</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(10,519)</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(3,125)</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FINANCIAL EXPENSES</w:t>
            </w: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FINANCIAL INCOME</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00" w:type="dxa"/>
            <w:vAlign w:val="bottom"/>
          </w:tcPr>
          <w:p>
            <w:pPr>
              <w:spacing w:after="0"/>
              <w:rPr>
                <w:sz w:val="20"/>
                <w:szCs w:val="20"/>
                <w:color w:val="auto"/>
              </w:rPr>
            </w:pPr>
            <w:r>
              <w:rPr>
                <w:rFonts w:ascii="Arial" w:cs="Arial" w:eastAsia="Arial" w:hAnsi="Arial"/>
                <w:sz w:val="14"/>
                <w:szCs w:val="14"/>
                <w:b w:val="1"/>
                <w:bCs w:val="1"/>
                <w:color w:val="auto"/>
              </w:rPr>
              <w:t>FINANCIAL INCOME (EXPENSES), NET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INCOME (LOSS) BEFORE TAXES ON INCOME</w:t>
            </w: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(3,567)</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TAXES ON INCOME</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(LOSS) FOR THE PERIOD</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14,356</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(11,187)</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(1,852)</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(3,567)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EARNINGS (LOSS) PER SHARE OF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BASIC</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00" w:type="dxa"/>
            <w:vAlign w:val="bottom"/>
          </w:tcPr>
          <w:p>
            <w:pPr>
              <w:spacing w:after="0" w:line="151" w:lineRule="exact"/>
              <w:rPr>
                <w:sz w:val="20"/>
                <w:szCs w:val="20"/>
                <w:color w:val="auto"/>
              </w:rPr>
            </w:pPr>
            <w:r>
              <w:rPr>
                <w:rFonts w:ascii="Arial" w:cs="Arial" w:eastAsia="Arial" w:hAnsi="Arial"/>
                <w:sz w:val="14"/>
                <w:szCs w:val="14"/>
                <w:b w:val="1"/>
                <w:bCs w:val="1"/>
                <w:color w:val="auto"/>
              </w:rPr>
              <w:t>DILUTED</w:t>
            </w:r>
          </w:p>
        </w:tc>
        <w:tc>
          <w:tcPr>
            <w:tcW w:w="28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1" w:lineRule="exact"/>
              <w:rPr>
                <w:sz w:val="20"/>
                <w:szCs w:val="20"/>
                <w:color w:val="auto"/>
              </w:rPr>
            </w:pPr>
            <w:r>
              <w:rPr>
                <w:rFonts w:ascii="Arial" w:cs="Arial" w:eastAsia="Arial" w:hAnsi="Arial"/>
                <w:sz w:val="14"/>
                <w:szCs w:val="14"/>
                <w:color w:val="auto"/>
              </w:rPr>
              <w:t>0.16</w:t>
            </w:r>
          </w:p>
        </w:tc>
        <w:tc>
          <w:tcPr>
            <w:tcW w:w="140" w:type="dxa"/>
            <w:vAlign w:val="bottom"/>
          </w:tcPr>
          <w:p>
            <w:pPr>
              <w:spacing w:after="0"/>
              <w:rPr>
                <w:sz w:val="16"/>
                <w:szCs w:val="16"/>
                <w:color w:val="auto"/>
              </w:rPr>
            </w:pPr>
          </w:p>
        </w:tc>
        <w:tc>
          <w:tcPr>
            <w:tcW w:w="28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(0.24)</w:t>
            </w:r>
          </w:p>
        </w:tc>
        <w:tc>
          <w:tcPr>
            <w:tcW w:w="28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(0.04)</w:t>
            </w:r>
          </w:p>
        </w:tc>
        <w:tc>
          <w:tcPr>
            <w:tcW w:w="28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820"/>
              <w:spacing w:after="0" w:line="151"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64"/>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 SHARES OF COMMON STOCK</w:t>
            </w:r>
          </w:p>
        </w:tc>
        <w:tc>
          <w:tcPr>
            <w:tcW w:w="2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900" w:type="dxa"/>
            <w:vAlign w:val="bottom"/>
          </w:tcPr>
          <w:p>
            <w:pPr>
              <w:spacing w:after="0"/>
              <w:rPr>
                <w:sz w:val="20"/>
                <w:szCs w:val="20"/>
                <w:color w:val="auto"/>
              </w:rPr>
            </w:pPr>
            <w:r>
              <w:rPr>
                <w:rFonts w:ascii="Arial" w:cs="Arial" w:eastAsia="Arial" w:hAnsi="Arial"/>
                <w:sz w:val="14"/>
                <w:szCs w:val="14"/>
                <w:b w:val="1"/>
                <w:bCs w:val="1"/>
                <w:color w:val="auto"/>
              </w:rPr>
              <w:t>USED IN COMPUTING EARNINGS (LOSS) PER SHARE: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BASIC</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65,811,506</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47,582,733</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72,281,681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49,498,105</w:t>
            </w: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00" w:type="dxa"/>
            <w:vAlign w:val="bottom"/>
            <w:tcBorders>
              <w:bottom w:val="single" w:sz="8" w:color="CCEEFF"/>
            </w:tcBorders>
          </w:tcPr>
          <w:p>
            <w:pPr>
              <w:spacing w:after="0" w:line="151" w:lineRule="exact"/>
              <w:rPr>
                <w:sz w:val="20"/>
                <w:szCs w:val="20"/>
                <w:color w:val="auto"/>
              </w:rPr>
            </w:pPr>
            <w:r>
              <w:rPr>
                <w:rFonts w:ascii="Arial" w:cs="Arial" w:eastAsia="Arial" w:hAnsi="Arial"/>
                <w:sz w:val="14"/>
                <w:szCs w:val="14"/>
                <w:b w:val="1"/>
                <w:bCs w:val="1"/>
                <w:color w:val="auto"/>
              </w:rPr>
              <w:t>DILUTED</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81,040,281</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47,582,733</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83,782,679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49,498,105</w:t>
            </w:r>
          </w:p>
        </w:tc>
        <w:tc>
          <w:tcPr>
            <w:tcW w:w="8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(1) Includes share-based compensation</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00" w:type="dxa"/>
            <w:vAlign w:val="bottom"/>
            <w:tcBorders>
              <w:bottom w:val="single" w:sz="8" w:color="CCEEFF"/>
            </w:tcBorders>
          </w:tcPr>
          <w:p>
            <w:pPr>
              <w:ind w:left="420"/>
              <w:spacing w:after="0"/>
              <w:rPr>
                <w:sz w:val="20"/>
                <w:szCs w:val="20"/>
                <w:color w:val="auto"/>
              </w:rPr>
            </w:pPr>
            <w:r>
              <w:rPr>
                <w:rFonts w:ascii="Arial" w:cs="Arial" w:eastAsia="Arial" w:hAnsi="Arial"/>
                <w:sz w:val="14"/>
                <w:szCs w:val="14"/>
                <w:b w:val="1"/>
                <w:bCs w:val="1"/>
                <w:color w:val="auto"/>
              </w:rPr>
              <w:t>(2) Includes share-based compensation</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8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0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(3) Includes share-based compensation</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345440</wp:posOffset>
            </wp:positionV>
            <wp:extent cx="629793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10840"/>
          </w:cols>
          <w:pgMar w:left="820" w:top="6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left="1000" w:right="2340"/>
        <w:spacing w:after="0" w:line="251" w:lineRule="auto"/>
        <w:rPr>
          <w:sz w:val="20"/>
          <w:szCs w:val="20"/>
          <w:color w:val="auto"/>
        </w:rPr>
      </w:pPr>
      <w:r>
        <w:rPr>
          <w:rFonts w:ascii="Arial" w:cs="Arial" w:eastAsia="Arial" w:hAnsi="Arial"/>
          <w:sz w:val="18"/>
          <w:szCs w:val="18"/>
          <w:b w:val="1"/>
          <w:bCs w:val="1"/>
          <w:color w:val="auto"/>
        </w:rPr>
        <w:t xml:space="preserve">PROTALIX BIOTHERAPEUTICS, INC. CONDENSED CONSOLIDATED STATEMENTS OF CHANGES IN STOCKHOLDERS’ EQUITY (CAPITAL DEFICIENCY) </w:t>
      </w:r>
      <w:r>
        <w:rPr>
          <w:rFonts w:ascii="Arial" w:cs="Arial" w:eastAsia="Arial" w:hAnsi="Arial"/>
          <w:sz w:val="18"/>
          <w:szCs w:val="18"/>
          <w:color w:val="auto"/>
        </w:rPr>
        <w:t>(U.S. dollars in thousands, except share data) (Unaudited)</w:t>
      </w: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15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 (1)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4780" w:type="dxa"/>
            <w:vAlign w:val="bottom"/>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7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78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Balance at January 1, 2022</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45,556,647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46</w:t>
            </w:r>
          </w:p>
        </w:tc>
        <w:tc>
          <w:tcPr>
            <w:tcW w:w="2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368,852</w:t>
            </w:r>
          </w:p>
        </w:tc>
        <w:tc>
          <w:tcPr>
            <w:tcW w:w="380" w:type="dxa"/>
            <w:vAlign w:val="bottom"/>
            <w:gridSpan w:val="2"/>
            <w:shd w:val="clear" w:color="auto" w:fill="CCEEFF"/>
          </w:tcPr>
          <w:p>
            <w:pPr>
              <w:jc w:val="right"/>
              <w:ind w:right="87"/>
              <w:spacing w:after="0" w:line="13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(374,934)</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70"/>
              <w:spacing w:after="0" w:line="139"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(6,036)</w:t>
            </w: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b w:val="1"/>
                <w:bCs w:val="1"/>
                <w:color w:val="auto"/>
              </w:rPr>
              <w:t>Changes during the nine-month period ended September 30, 2022:</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Issuance of common stock under the Sales Agreement, net</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3,841,479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4,157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4,161</w:t>
            </w: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592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759,482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954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color w:val="auto"/>
              </w:rPr>
              <w:t>Exercise of warrants</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loss for the period</w:t>
            </w:r>
          </w:p>
        </w:tc>
        <w:tc>
          <w:tcPr>
            <w:tcW w:w="8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(11,187)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(11,187)</w:t>
            </w:r>
          </w:p>
        </w:tc>
        <w:tc>
          <w:tcPr>
            <w:tcW w:w="0" w:type="dxa"/>
            <w:vAlign w:val="bottom"/>
          </w:tcPr>
          <w:p>
            <w:pPr>
              <w:spacing w:after="0"/>
              <w:rPr>
                <w:sz w:val="1"/>
                <w:szCs w:val="1"/>
                <w:color w:val="auto"/>
              </w:rPr>
            </w:pPr>
          </w:p>
        </w:tc>
      </w:tr>
      <w:tr>
        <w:trPr>
          <w:trHeight w:val="178"/>
        </w:trPr>
        <w:tc>
          <w:tcPr>
            <w:tcW w:w="478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b w:val="1"/>
                <w:bCs w:val="1"/>
                <w:color w:val="auto"/>
              </w:rPr>
              <w:t>Balance at September 30, 2022</w:t>
            </w: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50,158,608</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50</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374,557</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(386,121)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(11,514)</w:t>
            </w:r>
          </w:p>
        </w:tc>
        <w:tc>
          <w:tcPr>
            <w:tcW w:w="0" w:type="dxa"/>
            <w:vAlign w:val="bottom"/>
          </w:tcPr>
          <w:p>
            <w:pPr>
              <w:spacing w:after="0"/>
              <w:rPr>
                <w:sz w:val="1"/>
                <w:szCs w:val="1"/>
                <w:color w:val="auto"/>
              </w:rPr>
            </w:pPr>
          </w:p>
        </w:tc>
      </w:tr>
      <w:tr>
        <w:trPr>
          <w:trHeight w:val="125"/>
        </w:trPr>
        <w:tc>
          <w:tcPr>
            <w:tcW w:w="478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 at January 1, 2023</w:t>
            </w:r>
          </w:p>
        </w:tc>
        <w:tc>
          <w:tcPr>
            <w:tcW w:w="8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53,790,167</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54</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379,167</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(389,861)</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(10,640)</w:t>
            </w: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b w:val="1"/>
                <w:bCs w:val="1"/>
                <w:color w:val="auto"/>
              </w:rPr>
              <w:t>Changes during the nine-month period ended September 30, 2023:</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Issuance of common stock under the Sales Agreement, net</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12,560,150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23,941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23,954</w:t>
            </w: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color w:val="auto"/>
              </w:rPr>
              <w:t>Convertible notes conversions</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4,691,623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7,778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7,783</w:t>
            </w: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1,195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1,371,362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886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Exercise of warrants</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538,822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45"/>
        </w:trPr>
        <w:tc>
          <w:tcPr>
            <w:tcW w:w="478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Net income for the period</w:t>
            </w: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14,356</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14,356</w:t>
            </w:r>
          </w:p>
        </w:tc>
        <w:tc>
          <w:tcPr>
            <w:tcW w:w="0" w:type="dxa"/>
            <w:vAlign w:val="bottom"/>
          </w:tcPr>
          <w:p>
            <w:pPr>
              <w:spacing w:after="0"/>
              <w:rPr>
                <w:sz w:val="1"/>
                <w:szCs w:val="1"/>
                <w:color w:val="auto"/>
              </w:rPr>
            </w:pPr>
          </w:p>
        </w:tc>
      </w:tr>
      <w:tr>
        <w:trPr>
          <w:trHeight w:val="138"/>
        </w:trPr>
        <w:tc>
          <w:tcPr>
            <w:tcW w:w="478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Balance at September 30, 2023</w:t>
            </w:r>
          </w:p>
        </w:tc>
        <w:tc>
          <w:tcPr>
            <w:tcW w:w="8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72,952,124</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73</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413,679</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(375,505)</w:t>
            </w: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38,247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2022</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780" w:type="dxa"/>
            <w:vAlign w:val="bottom"/>
            <w:vMerge w:val="continue"/>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48,712,952</w:t>
            </w:r>
          </w:p>
        </w:tc>
        <w:tc>
          <w:tcPr>
            <w:tcW w:w="18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49</w:t>
            </w:r>
          </w:p>
        </w:tc>
        <w:tc>
          <w:tcPr>
            <w:tcW w:w="180" w:type="dxa"/>
            <w:vAlign w:val="bottom"/>
            <w:vMerge w:val="continue"/>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372,616</w:t>
            </w:r>
          </w:p>
        </w:tc>
        <w:tc>
          <w:tcPr>
            <w:tcW w:w="180" w:type="dxa"/>
            <w:vAlign w:val="bottom"/>
            <w:vMerge w:val="continue"/>
          </w:tcPr>
          <w:p>
            <w:pPr>
              <w:spacing w:after="0"/>
              <w:rPr>
                <w:sz w:val="10"/>
                <w:szCs w:val="10"/>
                <w:color w:val="auto"/>
              </w:rPr>
            </w:pPr>
          </w:p>
        </w:tc>
        <w:tc>
          <w:tcPr>
            <w:tcW w:w="200" w:type="dxa"/>
            <w:vAlign w:val="bottom"/>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(382,554)</w:t>
            </w:r>
          </w:p>
        </w:tc>
        <w:tc>
          <w:tcPr>
            <w:tcW w:w="1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(9,889)</w:t>
            </w: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Changes during the three-month period ended September 30, 2022:</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color w:val="auto"/>
              </w:rPr>
              <w:t>Issuance of common stock under the Sales Agreement, net</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1,445,656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1,519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124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loss for the period</w:t>
            </w:r>
          </w:p>
        </w:tc>
        <w:tc>
          <w:tcPr>
            <w:tcW w:w="8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(3,567)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(3,567)</w:t>
            </w:r>
          </w:p>
        </w:tc>
        <w:tc>
          <w:tcPr>
            <w:tcW w:w="0" w:type="dxa"/>
            <w:vAlign w:val="bottom"/>
          </w:tcPr>
          <w:p>
            <w:pPr>
              <w:spacing w:after="0"/>
              <w:rPr>
                <w:sz w:val="1"/>
                <w:szCs w:val="1"/>
                <w:color w:val="auto"/>
              </w:rPr>
            </w:pPr>
          </w:p>
        </w:tc>
      </w:tr>
      <w:tr>
        <w:trPr>
          <w:trHeight w:val="178"/>
        </w:trPr>
        <w:tc>
          <w:tcPr>
            <w:tcW w:w="478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b w:val="1"/>
                <w:bCs w:val="1"/>
                <w:color w:val="auto"/>
              </w:rPr>
              <w:t>Balance at September 30, 2022</w:t>
            </w: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50,158,608</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50</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374,557</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(386,121)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(11,514)</w:t>
            </w:r>
          </w:p>
        </w:tc>
        <w:tc>
          <w:tcPr>
            <w:tcW w:w="0" w:type="dxa"/>
            <w:vAlign w:val="bottom"/>
          </w:tcPr>
          <w:p>
            <w:pPr>
              <w:spacing w:after="0"/>
              <w:rPr>
                <w:sz w:val="1"/>
                <w:szCs w:val="1"/>
                <w:color w:val="auto"/>
              </w:rPr>
            </w:pPr>
          </w:p>
        </w:tc>
      </w:tr>
      <w:tr>
        <w:trPr>
          <w:trHeight w:val="125"/>
        </w:trPr>
        <w:tc>
          <w:tcPr>
            <w:tcW w:w="478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 at June 30, 2023</w:t>
            </w:r>
          </w:p>
        </w:tc>
        <w:tc>
          <w:tcPr>
            <w:tcW w:w="88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71,580,762</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72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412,582</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(373,653)</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b w:val="1"/>
                <w:bCs w:val="1"/>
                <w:color w:val="auto"/>
              </w:rPr>
              <w:t>39,001</w:t>
            </w: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b w:val="1"/>
                <w:bCs w:val="1"/>
                <w:color w:val="auto"/>
              </w:rPr>
              <w:t>Changes during the three-month period ended September 30, 2023:</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45"/>
        </w:trPr>
        <w:tc>
          <w:tcPr>
            <w:tcW w:w="4780" w:type="dxa"/>
            <w:vAlign w:val="bottom"/>
          </w:tcPr>
          <w:p>
            <w:pPr>
              <w:spacing w:after="0" w:line="145" w:lineRule="exact"/>
              <w:rPr>
                <w:sz w:val="20"/>
                <w:szCs w:val="20"/>
                <w:color w:val="auto"/>
              </w:rPr>
            </w:pPr>
            <w:r>
              <w:rPr>
                <w:rFonts w:ascii="Arial" w:cs="Arial" w:eastAsia="Arial" w:hAnsi="Arial"/>
                <w:sz w:val="14"/>
                <w:szCs w:val="14"/>
                <w:color w:val="auto"/>
              </w:rPr>
              <w:t>Share-based compensation related to restricted stock awards</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1,371,362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714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5"/>
        </w:trPr>
        <w:tc>
          <w:tcPr>
            <w:tcW w:w="47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loss for the period</w:t>
            </w:r>
          </w:p>
        </w:tc>
        <w:tc>
          <w:tcPr>
            <w:tcW w:w="8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(1,852)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138"/>
        </w:trPr>
        <w:tc>
          <w:tcPr>
            <w:tcW w:w="4780" w:type="dxa"/>
            <w:vAlign w:val="bottom"/>
          </w:tcPr>
          <w:p>
            <w:pPr>
              <w:spacing w:after="0" w:line="139" w:lineRule="exact"/>
              <w:rPr>
                <w:sz w:val="20"/>
                <w:szCs w:val="20"/>
                <w:color w:val="auto"/>
              </w:rPr>
            </w:pPr>
            <w:r>
              <w:rPr>
                <w:rFonts w:ascii="Arial" w:cs="Arial" w:eastAsia="Arial" w:hAnsi="Arial"/>
                <w:sz w:val="14"/>
                <w:szCs w:val="14"/>
                <w:b w:val="1"/>
                <w:bCs w:val="1"/>
                <w:color w:val="auto"/>
              </w:rPr>
              <w:t>Balance at September 30, 2023</w:t>
            </w: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72,952,124</w:t>
            </w: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73</w:t>
            </w: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413,679</w:t>
            </w:r>
          </w:p>
        </w:tc>
        <w:tc>
          <w:tcPr>
            <w:tcW w:w="180" w:type="dxa"/>
            <w:vAlign w:val="bottom"/>
          </w:tcPr>
          <w:p>
            <w:pPr>
              <w:spacing w:after="0"/>
              <w:rPr>
                <w:sz w:val="12"/>
                <w:szCs w:val="12"/>
                <w:color w:val="auto"/>
              </w:rPr>
            </w:pPr>
          </w:p>
        </w:tc>
        <w:tc>
          <w:tcPr>
            <w:tcW w:w="20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(375,505)</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38,247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*Represents an amount equal to less than $1.</w:t>
      </w:r>
    </w:p>
    <w:p>
      <w:pPr>
        <w:spacing w:after="0" w:line="215" w:lineRule="exact"/>
        <w:rPr>
          <w:sz w:val="20"/>
          <w:szCs w:val="20"/>
          <w:color w:val="auto"/>
        </w:rPr>
      </w:pPr>
    </w:p>
    <w:p>
      <w:pPr>
        <w:ind w:right="480" w:firstLine="6"/>
        <w:spacing w:after="0" w:line="262"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 $0.001 par value; Authorized – as of September 30, 2023 and December 31, 2022 – 185,000,000 and 144,000,000 shares,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PROTALIX BIOTHERAPEUTICS,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5"/>
          </w:tcPr>
          <w:p>
            <w:pPr>
              <w:ind w:left="800"/>
              <w:spacing w:after="0"/>
              <w:rPr>
                <w:sz w:val="20"/>
                <w:szCs w:val="20"/>
                <w:color w:val="auto"/>
              </w:rPr>
            </w:pPr>
            <w:r>
              <w:rPr>
                <w:rFonts w:ascii="Arial" w:cs="Arial" w:eastAsia="Arial" w:hAnsi="Arial"/>
                <w:sz w:val="14"/>
                <w:szCs w:val="14"/>
                <w:b w:val="1"/>
                <w:bCs w:val="1"/>
                <w:color w:val="auto"/>
              </w:rPr>
              <w:t>Nine Months Ended</w:t>
            </w:r>
          </w:p>
        </w:tc>
      </w:tr>
      <w:tr>
        <w:trPr>
          <w:trHeight w:val="138"/>
        </w:trPr>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20"/>
              <w:spacing w:after="0" w:line="139" w:lineRule="exact"/>
              <w:rPr>
                <w:sz w:val="20"/>
                <w:szCs w:val="20"/>
                <w:color w:val="auto"/>
              </w:rPr>
            </w:pPr>
            <w:r>
              <w:rPr>
                <w:rFonts w:ascii="Arial" w:cs="Arial" w:eastAsia="Arial" w:hAnsi="Arial"/>
                <w:sz w:val="14"/>
                <w:szCs w:val="14"/>
                <w:b w:val="1"/>
                <w:bCs w:val="1"/>
                <w:color w:val="auto"/>
              </w:rPr>
              <w:t>September 30, 2023</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13"/>
              <w:spacing w:after="0" w:line="139" w:lineRule="exact"/>
              <w:rPr>
                <w:sz w:val="20"/>
                <w:szCs w:val="20"/>
                <w:color w:val="auto"/>
              </w:rPr>
            </w:pPr>
            <w:r>
              <w:rPr>
                <w:rFonts w:ascii="Arial" w:cs="Arial" w:eastAsia="Arial" w:hAnsi="Arial"/>
                <w:sz w:val="14"/>
                <w:szCs w:val="14"/>
                <w:b w:val="1"/>
                <w:bCs w:val="1"/>
                <w:color w:val="auto"/>
                <w:w w:val="88"/>
              </w:rPr>
              <w:t>September 30, 2022</w:t>
            </w:r>
          </w:p>
        </w:tc>
        <w:tc>
          <w:tcPr>
            <w:tcW w:w="120" w:type="dxa"/>
            <w:vAlign w:val="bottom"/>
          </w:tcPr>
          <w:p>
            <w:pPr>
              <w:spacing w:after="0"/>
              <w:rPr>
                <w:sz w:val="12"/>
                <w:szCs w:val="12"/>
                <w:color w:val="auto"/>
              </w:rPr>
            </w:pPr>
          </w:p>
        </w:tc>
      </w:tr>
      <w:tr>
        <w:trPr>
          <w:trHeight w:val="204"/>
        </w:trPr>
        <w:tc>
          <w:tcPr>
            <w:tcW w:w="67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1"/>
        </w:trPr>
        <w:tc>
          <w:tcPr>
            <w:tcW w:w="67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14,356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(11,187)</w:t>
            </w:r>
          </w:p>
        </w:tc>
      </w:tr>
      <w:tr>
        <w:trPr>
          <w:trHeight w:val="199"/>
        </w:trPr>
        <w:tc>
          <w:tcPr>
            <w:tcW w:w="6780" w:type="dxa"/>
            <w:vAlign w:val="bottom"/>
            <w:shd w:val="clear" w:color="auto" w:fill="CCEEFF"/>
          </w:tcPr>
          <w:p>
            <w:pPr>
              <w:ind w:left="220"/>
              <w:spacing w:after="0" w:line="199" w:lineRule="exact"/>
              <w:rPr>
                <w:sz w:val="20"/>
                <w:szCs w:val="20"/>
                <w:color w:val="auto"/>
              </w:rPr>
            </w:pPr>
            <w:r>
              <w:rPr>
                <w:rFonts w:ascii="Arial" w:cs="Arial" w:eastAsia="Arial" w:hAnsi="Arial"/>
                <w:sz w:val="18"/>
                <w:szCs w:val="18"/>
                <w:color w:val="auto"/>
              </w:rPr>
              <w:t>Adjustments required to reconcile net income (loss) to net cash used in operating</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1"/>
        </w:trPr>
        <w:tc>
          <w:tcPr>
            <w:tcW w:w="678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8"/>
                <w:szCs w:val="18"/>
                <w:color w:val="auto"/>
              </w:rPr>
            </w:pPr>
          </w:p>
        </w:tc>
      </w:tr>
      <w:tr>
        <w:trPr>
          <w:trHeight w:val="211"/>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r>
      <w:tr>
        <w:trPr>
          <w:trHeight w:val="211"/>
        </w:trPr>
        <w:tc>
          <w:tcPr>
            <w:tcW w:w="6780" w:type="dxa"/>
            <w:vAlign w:val="bottom"/>
          </w:tcPr>
          <w:p>
            <w:pPr>
              <w:ind w:left="220"/>
              <w:spacing w:after="0"/>
              <w:rPr>
                <w:sz w:val="20"/>
                <w:szCs w:val="20"/>
                <w:color w:val="auto"/>
              </w:rPr>
            </w:pPr>
            <w:r>
              <w:rPr>
                <w:rFonts w:ascii="Arial" w:cs="Arial" w:eastAsia="Arial" w:hAnsi="Arial"/>
                <w:sz w:val="18"/>
                <w:szCs w:val="18"/>
                <w:color w:val="auto"/>
              </w:rPr>
              <w:t>Financial income, net (mainly exchange differences)</w:t>
            </w: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(1,083)</w:t>
            </w:r>
          </w:p>
        </w:tc>
      </w:tr>
      <w:tr>
        <w:trPr>
          <w:trHeight w:val="211"/>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accrued liability for employee rights upon retirement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r>
      <w:tr>
        <w:trPr>
          <w:trHeight w:val="211"/>
        </w:trPr>
        <w:tc>
          <w:tcPr>
            <w:tcW w:w="6780" w:type="dxa"/>
            <w:vAlign w:val="bottom"/>
          </w:tcPr>
          <w:p>
            <w:pPr>
              <w:ind w:left="220"/>
              <w:spacing w:after="0"/>
              <w:rPr>
                <w:sz w:val="20"/>
                <w:szCs w:val="20"/>
                <w:color w:val="auto"/>
              </w:rPr>
            </w:pPr>
            <w:r>
              <w:rPr>
                <w:rFonts w:ascii="Arial" w:cs="Arial" w:eastAsia="Arial" w:hAnsi="Arial"/>
                <w:sz w:val="18"/>
                <w:szCs w:val="18"/>
                <w:color w:val="auto"/>
              </w:rPr>
              <w:t>Changes in deferred tax asset</w:t>
            </w: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1"/>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on amounts funded in respect of employee rights upon retirement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11"/>
        </w:trPr>
        <w:tc>
          <w:tcPr>
            <w:tcW w:w="6780" w:type="dxa"/>
            <w:vAlign w:val="bottom"/>
          </w:tcPr>
          <w:p>
            <w:pPr>
              <w:ind w:left="220"/>
              <w:spacing w:after="0"/>
              <w:rPr>
                <w:sz w:val="20"/>
                <w:szCs w:val="20"/>
                <w:color w:val="auto"/>
              </w:rPr>
            </w:pPr>
            <w:r>
              <w:rPr>
                <w:rFonts w:ascii="Arial" w:cs="Arial" w:eastAsia="Arial" w:hAnsi="Arial"/>
                <w:sz w:val="18"/>
                <w:szCs w:val="18"/>
                <w:color w:val="auto"/>
              </w:rPr>
              <w:t>Gain on conversions of convertible notes</w:t>
            </w: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1"/>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 and debt discount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r>
      <w:tr>
        <w:trPr>
          <w:trHeight w:val="211"/>
        </w:trPr>
        <w:tc>
          <w:tcPr>
            <w:tcW w:w="67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contracts liability</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(13,178)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(5,547)</w:t>
            </w:r>
          </w:p>
        </w:tc>
      </w:tr>
      <w:tr>
        <w:trPr>
          <w:trHeight w:val="211"/>
        </w:trPr>
        <w:tc>
          <w:tcPr>
            <w:tcW w:w="6780" w:type="dxa"/>
            <w:vAlign w:val="bottom"/>
          </w:tcPr>
          <w:p>
            <w:pPr>
              <w:ind w:left="320"/>
              <w:spacing w:after="0"/>
              <w:rPr>
                <w:sz w:val="20"/>
                <w:szCs w:val="20"/>
                <w:color w:val="auto"/>
              </w:rPr>
            </w:pPr>
            <w:r>
              <w:rPr>
                <w:rFonts w:ascii="Arial" w:cs="Arial" w:eastAsia="Arial" w:hAnsi="Arial"/>
                <w:sz w:val="18"/>
                <w:szCs w:val="18"/>
                <w:color w:val="auto"/>
              </w:rPr>
              <w:t>Increase in accounts receivable-trade and other assets</w:t>
            </w: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(5,692)</w:t>
            </w:r>
          </w:p>
        </w:tc>
      </w:tr>
      <w:tr>
        <w:trPr>
          <w:trHeight w:val="211"/>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lease right of use assets, net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r>
      <w:tr>
        <w:trPr>
          <w:trHeight w:val="211"/>
        </w:trPr>
        <w:tc>
          <w:tcPr>
            <w:tcW w:w="6780" w:type="dxa"/>
            <w:vAlign w:val="bottom"/>
          </w:tcPr>
          <w:p>
            <w:pPr>
              <w:ind w:left="320"/>
              <w:spacing w:after="0"/>
              <w:rPr>
                <w:sz w:val="20"/>
                <w:szCs w:val="20"/>
                <w:color w:val="auto"/>
              </w:rPr>
            </w:pPr>
            <w:r>
              <w:rPr>
                <w:rFonts w:ascii="Arial" w:cs="Arial" w:eastAsia="Arial" w:hAnsi="Arial"/>
                <w:sz w:val="18"/>
                <w:szCs w:val="18"/>
                <w:color w:val="auto"/>
              </w:rPr>
              <w:t>Decrease (increase) in inventories</w:t>
            </w: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18"/>
                <w:szCs w:val="18"/>
                <w:color w:val="auto"/>
              </w:rPr>
            </w:pPr>
          </w:p>
        </w:tc>
      </w:tr>
      <w:tr>
        <w:trPr>
          <w:trHeight w:val="211"/>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accounts payable and accruals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(4,438)</w:t>
            </w:r>
          </w:p>
        </w:tc>
      </w:tr>
      <w:tr>
        <w:trPr>
          <w:trHeight w:val="204"/>
        </w:trPr>
        <w:tc>
          <w:tcPr>
            <w:tcW w:w="6780" w:type="dxa"/>
            <w:vAlign w:val="bottom"/>
            <w:tcBorders>
              <w:bottom w:val="single" w:sz="8" w:color="CCEEFF"/>
            </w:tcBorders>
          </w:tcPr>
          <w:p>
            <w:pPr>
              <w:ind w:left="240"/>
              <w:spacing w:after="0" w:line="203"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(4,913)</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(22,389)</w:t>
            </w:r>
          </w:p>
        </w:tc>
        <w:tc>
          <w:tcPr>
            <w:tcW w:w="120" w:type="dxa"/>
            <w:vAlign w:val="bottom"/>
            <w:tcBorders>
              <w:bottom w:val="single" w:sz="8" w:color="CCEEFF"/>
            </w:tcBorders>
          </w:tcPr>
          <w:p>
            <w:pPr>
              <w:spacing w:after="0"/>
              <w:rPr>
                <w:sz w:val="17"/>
                <w:szCs w:val="17"/>
                <w:color w:val="auto"/>
              </w:rPr>
            </w:pPr>
          </w:p>
        </w:tc>
      </w:tr>
      <w:tr>
        <w:trPr>
          <w:trHeight w:val="204"/>
        </w:trPr>
        <w:tc>
          <w:tcPr>
            <w:tcW w:w="6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1"/>
        </w:trPr>
        <w:tc>
          <w:tcPr>
            <w:tcW w:w="6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bank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(16,000)</w:t>
            </w:r>
          </w:p>
        </w:tc>
      </w:tr>
      <w:tr>
        <w:trPr>
          <w:trHeight w:val="211"/>
        </w:trPr>
        <w:tc>
          <w:tcPr>
            <w:tcW w:w="6780" w:type="dxa"/>
            <w:vAlign w:val="bottom"/>
          </w:tcPr>
          <w:p>
            <w:pPr>
              <w:ind w:left="220"/>
              <w:spacing w:after="0"/>
              <w:rPr>
                <w:sz w:val="20"/>
                <w:szCs w:val="20"/>
                <w:color w:val="auto"/>
              </w:rPr>
            </w:pPr>
            <w:r>
              <w:rPr>
                <w:rFonts w:ascii="Arial" w:cs="Arial" w:eastAsia="Arial" w:hAnsi="Arial"/>
                <w:sz w:val="18"/>
                <w:szCs w:val="18"/>
                <w:color w:val="auto"/>
              </w:rPr>
              <w:t>Proceeds from sale of short-term deposits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r>
      <w:tr>
        <w:trPr>
          <w:trHeight w:val="211"/>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r>
      <w:tr>
        <w:trPr>
          <w:trHeight w:val="211"/>
        </w:trPr>
        <w:tc>
          <w:tcPr>
            <w:tcW w:w="6780" w:type="dxa"/>
            <w:vAlign w:val="bottom"/>
          </w:tcPr>
          <w:p>
            <w:pPr>
              <w:ind w:left="220"/>
              <w:spacing w:after="0"/>
              <w:rPr>
                <w:sz w:val="20"/>
                <w:szCs w:val="20"/>
                <w:color w:val="auto"/>
              </w:rPr>
            </w:pPr>
            <w:r>
              <w:rPr>
                <w:rFonts w:ascii="Arial" w:cs="Arial" w:eastAsia="Arial" w:hAnsi="Arial"/>
                <w:sz w:val="18"/>
                <w:szCs w:val="18"/>
                <w:color w:val="auto"/>
              </w:rPr>
              <w:t>Amounts paid (funded) in respect of employee rights upon retirement, net</w:t>
            </w:r>
          </w:p>
        </w:tc>
        <w:tc>
          <w:tcPr>
            <w:tcW w:w="1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r>
      <w:tr>
        <w:trPr>
          <w:trHeight w:val="204"/>
        </w:trPr>
        <w:tc>
          <w:tcPr>
            <w:tcW w:w="6780" w:type="dxa"/>
            <w:vAlign w:val="bottom"/>
            <w:tcBorders>
              <w:top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(16,369)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(9,988)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4"/>
        </w:trPr>
        <w:tc>
          <w:tcPr>
            <w:tcW w:w="6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1"/>
        </w:trPr>
        <w:tc>
          <w:tcPr>
            <w:tcW w:w="678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under the Sales Agreement,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23,954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18"/>
                <w:szCs w:val="18"/>
                <w:color w:val="auto"/>
              </w:rPr>
            </w:pPr>
          </w:p>
        </w:tc>
      </w:tr>
      <w:tr>
        <w:trPr>
          <w:trHeight w:val="211"/>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warrants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04"/>
        </w:trPr>
        <w:tc>
          <w:tcPr>
            <w:tcW w:w="678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24,666</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4,163</w:t>
            </w:r>
          </w:p>
        </w:tc>
        <w:tc>
          <w:tcPr>
            <w:tcW w:w="120" w:type="dxa"/>
            <w:vAlign w:val="bottom"/>
            <w:tcBorders>
              <w:bottom w:val="single" w:sz="8" w:color="CCEEFF"/>
            </w:tcBorders>
          </w:tcPr>
          <w:p>
            <w:pPr>
              <w:spacing w:after="0"/>
              <w:rPr>
                <w:sz w:val="17"/>
                <w:szCs w:val="17"/>
                <w:color w:val="auto"/>
              </w:rPr>
            </w:pPr>
          </w:p>
        </w:tc>
      </w:tr>
      <w:tr>
        <w:trPr>
          <w:trHeight w:val="204"/>
        </w:trPr>
        <w:tc>
          <w:tcPr>
            <w:tcW w:w="67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99"/>
              </w:rPr>
              <w:t>EFFECT OF EXCHANGE RATE CHANGES ON CASH AND CASH EQUIVALENTS</w:t>
            </w: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7"/>
                <w:szCs w:val="17"/>
                <w:color w:val="auto"/>
              </w:rPr>
            </w:pPr>
          </w:p>
        </w:tc>
      </w:tr>
      <w:tr>
        <w:trPr>
          <w:trHeight w:val="204"/>
        </w:trPr>
        <w:tc>
          <w:tcPr>
            <w:tcW w:w="6780" w:type="dxa"/>
            <w:vAlign w:val="bottom"/>
          </w:tcPr>
          <w:p>
            <w:pPr>
              <w:spacing w:after="0" w:line="204"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7"/>
                <w:szCs w:val="17"/>
                <w:color w:val="auto"/>
              </w:rPr>
            </w:pPr>
          </w:p>
        </w:tc>
        <w:tc>
          <w:tcPr>
            <w:tcW w:w="1320" w:type="dxa"/>
            <w:vAlign w:val="bottom"/>
          </w:tcPr>
          <w:p>
            <w:pPr>
              <w:jc w:val="right"/>
              <w:spacing w:after="0" w:line="204" w:lineRule="exact"/>
              <w:rPr>
                <w:sz w:val="20"/>
                <w:szCs w:val="20"/>
                <w:color w:val="auto"/>
              </w:rPr>
            </w:pPr>
            <w:r>
              <w:rPr>
                <w:rFonts w:ascii="Arial" w:cs="Arial" w:eastAsia="Arial" w:hAnsi="Arial"/>
                <w:sz w:val="18"/>
                <w:szCs w:val="18"/>
                <w:color w:val="auto"/>
              </w:rPr>
              <w:t>3,297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4" w:lineRule="exact"/>
              <w:rPr>
                <w:sz w:val="20"/>
                <w:szCs w:val="20"/>
                <w:color w:val="auto"/>
              </w:rPr>
            </w:pPr>
            <w:r>
              <w:rPr>
                <w:rFonts w:ascii="Arial" w:cs="Arial" w:eastAsia="Arial" w:hAnsi="Arial"/>
                <w:sz w:val="18"/>
                <w:szCs w:val="18"/>
                <w:color w:val="auto"/>
              </w:rPr>
              <w:t>(28,265)</w:t>
            </w:r>
          </w:p>
        </w:tc>
        <w:tc>
          <w:tcPr>
            <w:tcW w:w="120" w:type="dxa"/>
            <w:vAlign w:val="bottom"/>
          </w:tcPr>
          <w:p>
            <w:pPr>
              <w:spacing w:after="0"/>
              <w:rPr>
                <w:sz w:val="17"/>
                <w:szCs w:val="17"/>
                <w:color w:val="auto"/>
              </w:rPr>
            </w:pP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OF 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38,985</w:t>
            </w:r>
          </w:p>
        </w:tc>
        <w:tc>
          <w:tcPr>
            <w:tcW w:w="120" w:type="dxa"/>
            <w:vAlign w:val="bottom"/>
            <w:shd w:val="clear" w:color="auto" w:fill="CCEEFF"/>
          </w:tcPr>
          <w:p>
            <w:pPr>
              <w:spacing w:after="0"/>
              <w:rPr>
                <w:sz w:val="18"/>
                <w:szCs w:val="18"/>
                <w:color w:val="auto"/>
              </w:rPr>
            </w:pPr>
          </w:p>
        </w:tc>
      </w:tr>
      <w:tr>
        <w:trPr>
          <w:trHeight w:val="204"/>
        </w:trPr>
        <w:tc>
          <w:tcPr>
            <w:tcW w:w="6780" w:type="dxa"/>
            <w:vAlign w:val="bottom"/>
          </w:tcPr>
          <w:p>
            <w:pPr>
              <w:spacing w:after="0" w:line="204" w:lineRule="exact"/>
              <w:rPr>
                <w:sz w:val="20"/>
                <w:szCs w:val="20"/>
                <w:color w:val="auto"/>
              </w:rPr>
            </w:pPr>
            <w:r>
              <w:rPr>
                <w:rFonts w:ascii="Arial" w:cs="Arial" w:eastAsia="Arial" w:hAnsi="Arial"/>
                <w:sz w:val="18"/>
                <w:szCs w:val="18"/>
                <w:b w:val="1"/>
                <w:bCs w:val="1"/>
                <w:color w:val="auto"/>
              </w:rPr>
              <w:t>BALANCE OF CASH AND CASH EQUIVALENTS AT END OF PERIOD</w:t>
            </w:r>
          </w:p>
        </w:tc>
        <w:tc>
          <w:tcPr>
            <w:tcW w:w="1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20,408</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10,720</w:t>
            </w:r>
          </w:p>
        </w:tc>
        <w:tc>
          <w:tcPr>
            <w:tcW w:w="12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00"/>
          </w:cols>
          <w:pgMar w:left="980" w:top="655" w:right="10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(Continued) – 2</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70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w w:val="88"/>
              </w:rPr>
              <w:t>September 30, 2023</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ind w:left="20"/>
              <w:spacing w:after="0" w:line="139" w:lineRule="exact"/>
              <w:rPr>
                <w:sz w:val="20"/>
                <w:szCs w:val="20"/>
                <w:color w:val="auto"/>
              </w:rPr>
            </w:pPr>
            <w:r>
              <w:rPr>
                <w:rFonts w:ascii="Arial" w:cs="Arial" w:eastAsia="Arial" w:hAnsi="Arial"/>
                <w:sz w:val="14"/>
                <w:szCs w:val="14"/>
                <w:b w:val="1"/>
                <w:bCs w:val="1"/>
                <w:color w:val="auto"/>
                <w:w w:val="91"/>
              </w:rPr>
              <w:t>September 30, 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20" w:type="dxa"/>
            <w:vAlign w:val="bottom"/>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 INVOLVING CASH FLOWS:</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02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6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20" w:type="dxa"/>
            <w:vAlign w:val="bottom"/>
            <w:tcBorders>
              <w:top w:val="single" w:sz="8" w:color="CCEEFF"/>
              <w:bottom w:val="single" w:sz="8" w:color="CCEEFF"/>
            </w:tcBorders>
            <w:shd w:val="clear" w:color="auto" w:fill="CCEEFF"/>
          </w:tcPr>
          <w:p>
            <w:pPr>
              <w:ind w:left="200"/>
              <w:spacing w:after="0" w:line="190" w:lineRule="exact"/>
              <w:rPr>
                <w:sz w:val="20"/>
                <w:szCs w:val="20"/>
                <w:color w:val="auto"/>
              </w:rPr>
            </w:pPr>
            <w:r>
              <w:rPr>
                <w:rFonts w:ascii="Arial" w:cs="Arial" w:eastAsia="Arial" w:hAnsi="Arial"/>
                <w:sz w:val="18"/>
                <w:szCs w:val="18"/>
                <w:color w:val="auto"/>
                <w:w w:val="94"/>
              </w:rPr>
              <w:t>Operating lease right of use assets obtained in exchange for new operating lease liabilities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1,395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396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0"/>
              <w:spacing w:after="0"/>
              <w:rPr>
                <w:sz w:val="20"/>
                <w:szCs w:val="20"/>
                <w:color w:val="auto"/>
              </w:rPr>
            </w:pPr>
            <w:r>
              <w:rPr>
                <w:rFonts w:ascii="Arial" w:cs="Arial" w:eastAsia="Arial" w:hAnsi="Arial"/>
                <w:sz w:val="18"/>
                <w:szCs w:val="18"/>
                <w:color w:val="auto"/>
              </w:rPr>
              <w:t>Convertible notes conversions</w:t>
            </w:r>
          </w:p>
        </w:tc>
        <w:tc>
          <w:tcPr>
            <w:tcW w:w="6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0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7,783</w:t>
            </w:r>
          </w:p>
        </w:tc>
        <w:tc>
          <w:tcPr>
            <w:tcW w:w="16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SUPPLEMENTARY DISCLOSURE ON CASH FLOWS</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02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6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2,743</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20" w:type="dxa"/>
            <w:vAlign w:val="bottom"/>
            <w:tcBorders>
              <w:top w:val="single" w:sz="8" w:color="CCEEFF"/>
              <w:bottom w:val="single" w:sz="8" w:color="CCEEFF"/>
            </w:tcBorders>
            <w:shd w:val="clear" w:color="auto" w:fill="CCEEFF"/>
          </w:tcPr>
          <w:p>
            <w:pPr>
              <w:ind w:left="200"/>
              <w:spacing w:after="0" w:line="190" w:lineRule="exact"/>
              <w:rPr>
                <w:sz w:val="20"/>
                <w:szCs w:val="20"/>
                <w:color w:val="auto"/>
              </w:rPr>
            </w:pPr>
            <w:r>
              <w:rPr>
                <w:rFonts w:ascii="Arial" w:cs="Arial" w:eastAsia="Arial" w:hAnsi="Arial"/>
                <w:sz w:val="18"/>
                <w:szCs w:val="18"/>
                <w:color w:val="auto"/>
              </w:rPr>
              <w:t>Interest received</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303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136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75" w:lineRule="exact"/>
        <w:rPr>
          <w:sz w:val="20"/>
          <w:szCs w:val="20"/>
          <w:color w:val="auto"/>
        </w:rPr>
      </w:pPr>
    </w:p>
    <w:p>
      <w:pPr>
        <w:ind w:left="960" w:hanging="321"/>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81" w:lineRule="exact"/>
        <w:rPr>
          <w:rFonts w:ascii="Arial" w:cs="Arial" w:eastAsia="Arial" w:hAnsi="Arial"/>
          <w:sz w:val="18"/>
          <w:szCs w:val="18"/>
          <w:b w:val="1"/>
          <w:bCs w:val="1"/>
          <w:color w:val="auto"/>
        </w:rPr>
      </w:pPr>
    </w:p>
    <w:p>
      <w:pPr>
        <w:ind w:left="960"/>
        <w:spacing w:after="0" w:line="237" w:lineRule="auto"/>
        <w:rPr>
          <w:rFonts w:ascii="Arial" w:cs="Arial" w:eastAsia="Arial" w:hAnsi="Arial"/>
          <w:sz w:val="18"/>
          <w:szCs w:val="18"/>
          <w:b w:val="1"/>
          <w:bCs w:val="1"/>
          <w:color w:val="auto"/>
        </w:rPr>
      </w:pPr>
      <w:r>
        <w:rPr>
          <w:rFonts w:ascii="Arial" w:cs="Arial" w:eastAsia="Arial" w:hAnsi="Arial"/>
          <w:sz w:val="16"/>
          <w:szCs w:val="16"/>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Arial" w:cs="Arial" w:eastAsia="Arial" w:hAnsi="Arial"/>
          <w:sz w:val="24"/>
          <w:szCs w:val="24"/>
          <w:color w:val="auto"/>
          <w:vertAlign w:val="superscript"/>
        </w:rPr>
        <w:t>®</w:t>
      </w:r>
      <w:r>
        <w:rPr>
          <w:rFonts w:ascii="Arial" w:cs="Arial" w:eastAsia="Arial" w:hAnsi="Arial"/>
          <w:sz w:val="16"/>
          <w:szCs w:val="16"/>
          <w:color w:val="auto"/>
        </w:rPr>
        <w:t xml:space="preserve"> protein expression system (“ProCellEx”). The Company’s current focus is to facilitate the commercialization efforts of Chiesi Farmaceutici S.p.A. (“Chiesi”), the Company’s development and commercialization partner for pegunigalsidase alfa, or Elfabrio</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(which the Company referred to as PRX-102 during its development stage), for the treatment of Fabry disease, a rare, genetic lysosomal disorder. To date, the Company has successfully developed taliglucerase alfa (marketed under the name Elelyso</w:t>
      </w:r>
      <w:r>
        <w:rPr>
          <w:rFonts w:ascii="Arial" w:cs="Arial" w:eastAsia="Arial" w:hAnsi="Arial"/>
          <w:sz w:val="24"/>
          <w:szCs w:val="24"/>
          <w:color w:val="auto"/>
          <w:vertAlign w:val="superscript"/>
        </w:rPr>
        <w:t>®</w:t>
      </w:r>
      <w:r>
        <w:rPr>
          <w:rFonts w:ascii="Arial" w:cs="Arial" w:eastAsia="Arial" w:hAnsi="Arial"/>
          <w:sz w:val="16"/>
          <w:szCs w:val="16"/>
          <w:color w:val="auto"/>
        </w:rPr>
        <w:t xml:space="preserve"> except in Brazil where it is marketed as BioManguinhos alfataliglicerase), an enzyme replacement therapy for the treatment of Gaucher disease that has been approved for marketing in the United States, Brazil, Israel and other markets.</w:t>
      </w:r>
    </w:p>
    <w:p>
      <w:pPr>
        <w:spacing w:after="0" w:line="189" w:lineRule="exact"/>
        <w:rPr>
          <w:rFonts w:ascii="Arial" w:cs="Arial" w:eastAsia="Arial" w:hAnsi="Arial"/>
          <w:sz w:val="18"/>
          <w:szCs w:val="18"/>
          <w:b w:val="1"/>
          <w:bCs w:val="1"/>
          <w:color w:val="auto"/>
        </w:rPr>
      </w:pPr>
    </w:p>
    <w:p>
      <w:pPr>
        <w:ind w:left="960" w:right="2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Company’s strategy is to develop proprietary recombinant proteins designed to address high, unmet needs in the rare disease space that are therapeutically superior to existing recombinant proteins currently marketed for the same indications. Consistent with this strategy, the Company has a number of product candidates in varying stages of the clinical development process.</w:t>
      </w:r>
    </w:p>
    <w:p>
      <w:pPr>
        <w:spacing w:after="0" w:line="153" w:lineRule="exact"/>
        <w:rPr>
          <w:rFonts w:ascii="Arial" w:cs="Arial" w:eastAsia="Arial" w:hAnsi="Arial"/>
          <w:sz w:val="18"/>
          <w:szCs w:val="18"/>
          <w:b w:val="1"/>
          <w:bCs w:val="1"/>
          <w:color w:val="auto"/>
        </w:rPr>
      </w:pPr>
    </w:p>
    <w:p>
      <w:pPr>
        <w:jc w:val="both"/>
        <w:ind w:left="960" w:right="140"/>
        <w:spacing w:after="0" w:line="280" w:lineRule="auto"/>
        <w:rPr>
          <w:rFonts w:ascii="Arial" w:cs="Arial" w:eastAsia="Arial" w:hAnsi="Arial"/>
          <w:sz w:val="18"/>
          <w:szCs w:val="18"/>
          <w:b w:val="1"/>
          <w:bCs w:val="1"/>
          <w:color w:val="auto"/>
        </w:rPr>
      </w:pPr>
      <w:r>
        <w:rPr>
          <w:rFonts w:ascii="Arial" w:cs="Arial" w:eastAsia="Arial" w:hAnsi="Arial"/>
          <w:sz w:val="16"/>
          <w:szCs w:val="16"/>
          <w:color w:val="auto"/>
        </w:rPr>
        <w:t>On May 5, 2023, the European Commission (“EC”) announced that it had approved the Marketing Authorization Application (“MAA”) for Elfabrio and on May 9, 2023, the U.S. Food and Drug Administration (“FDA”) announced that it had approved the Biologics License Application (“BLA”) for Elfabrio, each for adult patients with Fabry disease. Both approvals cover the</w:t>
      </w:r>
    </w:p>
    <w:p>
      <w:pPr>
        <w:ind w:left="960" w:right="40"/>
        <w:spacing w:after="0" w:line="279" w:lineRule="auto"/>
        <w:rPr>
          <w:rFonts w:ascii="Arial" w:cs="Arial" w:eastAsia="Arial" w:hAnsi="Arial"/>
          <w:sz w:val="18"/>
          <w:szCs w:val="18"/>
          <w:b w:val="1"/>
          <w:bCs w:val="1"/>
          <w:color w:val="auto"/>
        </w:rPr>
      </w:pPr>
      <w:r>
        <w:rPr>
          <w:rFonts w:ascii="Arial" w:cs="Arial" w:eastAsia="Arial" w:hAnsi="Arial"/>
          <w:sz w:val="16"/>
          <w:szCs w:val="16"/>
          <w:color w:val="auto"/>
        </w:rPr>
        <w:t>1 mg/kg every two weeks dosage. The European Medicines Agency (“EMA”) approval followed the February 2023 adoption of a positive opinion and recommendation of marketing authorization for Elfabrio by the EMA’s Committee for Medicinal Products for Human Use the (“CHMP”). Elfabrio was approved by the FDA with a boxed warning for hypersensitivity reactions/anaphylaxis, consistent with Enzyme Replacement Therapy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44" w:lineRule="exact"/>
        <w:rPr>
          <w:rFonts w:ascii="Arial" w:cs="Arial" w:eastAsia="Arial" w:hAnsi="Arial"/>
          <w:sz w:val="18"/>
          <w:szCs w:val="18"/>
          <w:b w:val="1"/>
          <w:bCs w:val="1"/>
          <w:color w:val="auto"/>
        </w:rPr>
      </w:pPr>
    </w:p>
    <w:p>
      <w:pPr>
        <w:ind w:left="960" w:right="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August and September of 2023, Elfabrio was approved in Great Britain and Switzerland, respectively, for long-term enzyme replacement therapy in adult patients with a confirmed diagnosis of Fabry disease.</w:t>
      </w:r>
    </w:p>
    <w:p>
      <w:pPr>
        <w:spacing w:after="0" w:line="141" w:lineRule="exact"/>
        <w:rPr>
          <w:rFonts w:ascii="Arial" w:cs="Arial" w:eastAsia="Arial" w:hAnsi="Arial"/>
          <w:sz w:val="18"/>
          <w:szCs w:val="18"/>
          <w:b w:val="1"/>
          <w:bCs w:val="1"/>
          <w:color w:val="auto"/>
        </w:rPr>
      </w:pPr>
    </w:p>
    <w:p>
      <w:pPr>
        <w:ind w:left="960" w:right="10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Company has entered into two exclusive global licensing and supply agreements for Elfabrio with its development and commercialization partner for PRX-102, Chiesi Farmaceutici S.p.A. (“Chiesi”). On October 19, 2017, Protalix Ltd., the Company’s wholly-owned subsidiary, entered into an Exclusive License and Supply Agreement with Chiesi (the “Chiesi Ex-US Agreement”), pursuant to which Chiesi was granted an exclusive license for all markets outside of the United States to commercialize Elfabrio. On July 23, 2018, Protalix Ltd. entered into an Exclusive License and Supply Agreement with Chiesi (the Chiesi US Agreement, with respect to the commercialization of Elfabrio in the United States.</w:t>
      </w:r>
    </w:p>
    <w:p>
      <w:pPr>
        <w:spacing w:after="0" w:line="153" w:lineRule="exact"/>
        <w:rPr>
          <w:rFonts w:ascii="Arial" w:cs="Arial" w:eastAsia="Arial" w:hAnsi="Arial"/>
          <w:sz w:val="18"/>
          <w:szCs w:val="18"/>
          <w:b w:val="1"/>
          <w:bCs w:val="1"/>
          <w:color w:val="auto"/>
        </w:rPr>
      </w:pPr>
    </w:p>
    <w:p>
      <w:pPr>
        <w:ind w:left="960"/>
        <w:spacing w:after="0" w:line="296" w:lineRule="auto"/>
        <w:rPr>
          <w:rFonts w:ascii="Arial" w:cs="Arial" w:eastAsia="Arial" w:hAnsi="Arial"/>
          <w:sz w:val="18"/>
          <w:szCs w:val="18"/>
          <w:b w:val="1"/>
          <w:bCs w:val="1"/>
          <w:color w:val="auto"/>
        </w:rPr>
      </w:pPr>
      <w:r>
        <w:rPr>
          <w:rFonts w:ascii="Arial" w:cs="Arial" w:eastAsia="Arial" w:hAnsi="Arial"/>
          <w:sz w:val="15"/>
          <w:szCs w:val="15"/>
          <w:color w:val="auto"/>
        </w:rPr>
        <w:t xml:space="preserve">Elfabrio, an enzyme replacement therapy, or ERT, was the subject of a phase III clinical program studying the drug as a treatment of patients with Fabry disease, a rare, genetic lysosomal disorder. The phase III clinical program included three separate studies, which are referred to as the </w:t>
      </w:r>
      <w:r>
        <w:rPr>
          <w:rFonts w:ascii="Arial" w:cs="Arial" w:eastAsia="Arial" w:hAnsi="Arial"/>
          <w:sz w:val="15"/>
          <w:szCs w:val="15"/>
          <w:i w:val="1"/>
          <w:iCs w:val="1"/>
          <w:color w:val="auto"/>
        </w:rPr>
        <w:t>BALANCE</w:t>
      </w:r>
      <w:r>
        <w:rPr>
          <w:rFonts w:ascii="Arial" w:cs="Arial" w:eastAsia="Arial" w:hAnsi="Arial"/>
          <w:sz w:val="15"/>
          <w:szCs w:val="15"/>
          <w:color w:val="auto"/>
        </w:rPr>
        <w:t xml:space="preserve"> study, the </w:t>
      </w:r>
      <w:r>
        <w:rPr>
          <w:rFonts w:ascii="Arial" w:cs="Arial" w:eastAsia="Arial" w:hAnsi="Arial"/>
          <w:sz w:val="15"/>
          <w:szCs w:val="15"/>
          <w:i w:val="1"/>
          <w:iCs w:val="1"/>
          <w:color w:val="auto"/>
        </w:rPr>
        <w:t>BRIDGE</w:t>
      </w:r>
      <w:r>
        <w:rPr>
          <w:rFonts w:ascii="Arial" w:cs="Arial" w:eastAsia="Arial" w:hAnsi="Arial"/>
          <w:sz w:val="15"/>
          <w:szCs w:val="15"/>
          <w:color w:val="auto"/>
        </w:rPr>
        <w:t xml:space="preserve"> study and the </w:t>
      </w:r>
      <w:r>
        <w:rPr>
          <w:rFonts w:ascii="Arial" w:cs="Arial" w:eastAsia="Arial" w:hAnsi="Arial"/>
          <w:sz w:val="15"/>
          <w:szCs w:val="15"/>
          <w:i w:val="1"/>
          <w:iCs w:val="1"/>
          <w:color w:val="auto"/>
        </w:rPr>
        <w:t>BRIGHT</w:t>
      </w:r>
      <w:r>
        <w:rPr>
          <w:rFonts w:ascii="Arial" w:cs="Arial" w:eastAsia="Arial" w:hAnsi="Arial"/>
          <w:sz w:val="15"/>
          <w:szCs w:val="15"/>
          <w:color w:val="auto"/>
        </w:rPr>
        <w:t xml:space="preserve"> study. The phase III clinical program analyzed two potential dosing regimens: 1 mg/kg every two weeks and 2 mg/kg every four weeks. In addition, the phase III clinical program included two extension studies in which subjects that participated in our phase I/II clinical trials and</w:t>
      </w:r>
    </w:p>
    <w:p>
      <w:pPr>
        <w:spacing w:after="0" w:line="3" w:lineRule="exact"/>
        <w:rPr>
          <w:sz w:val="20"/>
          <w:szCs w:val="20"/>
          <w:color w:val="auto"/>
        </w:rPr>
      </w:pPr>
    </w:p>
    <w:p>
      <w:pPr>
        <w:ind w:left="960" w:right="520"/>
        <w:spacing w:after="0" w:line="275" w:lineRule="auto"/>
        <w:rPr>
          <w:sz w:val="20"/>
          <w:szCs w:val="20"/>
          <w:color w:val="auto"/>
        </w:rPr>
      </w:pPr>
      <w:r>
        <w:rPr>
          <w:rFonts w:ascii="Arial" w:cs="Arial" w:eastAsia="Arial" w:hAnsi="Arial"/>
          <w:sz w:val="16"/>
          <w:szCs w:val="16"/>
          <w:color w:val="auto"/>
        </w:rPr>
        <w:t>phase III clinical trials had the opportunity to enroll and continue to be treated with PRX-102. As of March 1, 2023, sponsorship of the two open-label extension studies was transferred to Chiesi, which is now administering the extension studies. Over time, and as Elfabrio is approved for marketing in different jurisdictions,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8" w:lineRule="exact"/>
        <w:rPr>
          <w:sz w:val="20"/>
          <w:szCs w:val="20"/>
          <w:color w:val="auto"/>
        </w:rPr>
      </w:pPr>
    </w:p>
    <w:p>
      <w:pPr>
        <w:ind w:left="960" w:right="120"/>
        <w:spacing w:after="0" w:line="262" w:lineRule="auto"/>
        <w:rPr>
          <w:sz w:val="20"/>
          <w:szCs w:val="20"/>
          <w:color w:val="auto"/>
        </w:rPr>
      </w:pPr>
      <w:r>
        <w:rPr>
          <w:rFonts w:ascii="Arial" w:cs="Arial" w:eastAsia="Arial" w:hAnsi="Arial"/>
          <w:sz w:val="18"/>
          <w:szCs w:val="18"/>
          <w:color w:val="auto"/>
        </w:rPr>
        <w:t>participants withdraw from the open-label extension studies. Some of the withdrawals transfer to a commercial setting, others withdraw for other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-219710</wp:posOffset>
            </wp:positionV>
            <wp:extent cx="279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48" w:lineRule="exact"/>
        <w:rPr>
          <w:sz w:val="20"/>
          <w:szCs w:val="20"/>
          <w:color w:val="auto"/>
        </w:rPr>
      </w:pPr>
    </w:p>
    <w:p>
      <w:pPr>
        <w:ind w:left="960" w:right="20"/>
        <w:spacing w:after="0" w:line="253" w:lineRule="auto"/>
        <w:rPr>
          <w:sz w:val="20"/>
          <w:szCs w:val="20"/>
          <w:color w:val="auto"/>
        </w:rPr>
      </w:pPr>
      <w:r>
        <w:rPr>
          <w:rFonts w:ascii="Arial" w:cs="Arial" w:eastAsia="Arial" w:hAnsi="Arial"/>
          <w:sz w:val="18"/>
          <w:szCs w:val="18"/>
          <w:color w:val="auto"/>
        </w:rPr>
        <w:t>The BLA for Elfabrio for the treatment of adult patients with Fabry disease was resubmitted to the FDA on November 9, 2022. An initial BLA for Elfabrio was submitted to the FDA on May 27, 2020 under the FDA’s Accelerated Approval pathway, but resulted in a Complete Response Letter (“CRL”).</w:t>
      </w:r>
    </w:p>
    <w:p>
      <w:pPr>
        <w:spacing w:after="0" w:line="163" w:lineRule="exact"/>
        <w:rPr>
          <w:sz w:val="20"/>
          <w:szCs w:val="20"/>
          <w:color w:val="auto"/>
        </w:rPr>
      </w:pPr>
    </w:p>
    <w:p>
      <w:pPr>
        <w:ind w:left="960" w:right="220"/>
        <w:spacing w:after="0" w:line="262" w:lineRule="auto"/>
        <w:rPr>
          <w:sz w:val="20"/>
          <w:szCs w:val="20"/>
          <w:color w:val="auto"/>
        </w:rPr>
      </w:pPr>
      <w:r>
        <w:rPr>
          <w:rFonts w:ascii="Arial" w:cs="Arial" w:eastAsia="Arial" w:hAnsi="Arial"/>
          <w:sz w:val="18"/>
          <w:szCs w:val="18"/>
          <w:color w:val="auto"/>
        </w:rPr>
        <w:t>The MAA was submitted to the EMA on February 7, 2022, after the October 8, 2021 meeting we held, together with Chiesi, with the Rapporteur and Co-Rapporteur of the EMA regarding PRX-102.</w:t>
      </w:r>
    </w:p>
    <w:p>
      <w:pPr>
        <w:spacing w:after="0" w:line="168" w:lineRule="exact"/>
        <w:rPr>
          <w:sz w:val="20"/>
          <w:szCs w:val="20"/>
          <w:color w:val="auto"/>
        </w:rPr>
      </w:pPr>
    </w:p>
    <w:p>
      <w:pPr>
        <w:ind w:left="960" w:right="60"/>
        <w:spacing w:after="0" w:line="282" w:lineRule="auto"/>
        <w:rPr>
          <w:sz w:val="20"/>
          <w:szCs w:val="20"/>
          <w:color w:val="auto"/>
        </w:rPr>
      </w:pPr>
      <w:r>
        <w:rPr>
          <w:rFonts w:ascii="Arial" w:cs="Arial" w:eastAsia="Arial" w:hAnsi="Arial"/>
          <w:sz w:val="16"/>
          <w:szCs w:val="16"/>
          <w:color w:val="auto"/>
        </w:rPr>
        <w:t xml:space="preserve">The FDA publicly released the internal review documents for Elfabrio (pegunigalsidase alfa-iwxj) injection BLA 761161.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(Study PB-102-F01/02) with confirmatory evidence provided by the </w:t>
      </w:r>
      <w:r>
        <w:rPr>
          <w:rFonts w:ascii="Arial" w:cs="Arial" w:eastAsia="Arial" w:hAnsi="Arial"/>
          <w:sz w:val="16"/>
          <w:szCs w:val="16"/>
          <w:i w:val="1"/>
          <w:iCs w:val="1"/>
          <w:color w:val="auto"/>
        </w:rPr>
        <w:t xml:space="preserve">BALANCE </w:t>
      </w:r>
      <w:r>
        <w:rPr>
          <w:rFonts w:ascii="Arial" w:cs="Arial" w:eastAsia="Arial" w:hAnsi="Arial"/>
          <w:sz w:val="16"/>
          <w:szCs w:val="16"/>
          <w:color w:val="auto"/>
        </w:rPr>
        <w:t>study (also referred to as Study PB-102-F20). The FDA review team also concluded that the</w:t>
      </w:r>
      <w:r>
        <w:rPr>
          <w:rFonts w:ascii="Arial" w:cs="Arial" w:eastAsia="Arial" w:hAnsi="Arial"/>
          <w:sz w:val="16"/>
          <w:szCs w:val="16"/>
          <w:i w:val="1"/>
          <w:iCs w:val="1"/>
          <w:color w:val="auto"/>
        </w:rPr>
        <w:t xml:space="preserve"> BALANCE </w:t>
      </w:r>
      <w:r>
        <w:rPr>
          <w:rFonts w:ascii="Arial" w:cs="Arial" w:eastAsia="Arial" w:hAnsi="Arial"/>
          <w:sz w:val="16"/>
          <w:szCs w:val="16"/>
          <w:color w:val="auto"/>
        </w:rPr>
        <w:t>study met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its primary efficacy endpoint, which assessed the annualized rate of change in eGFR (estimated glomerular filtration rate) over 104 weeks. However, the FDA also determined that the results from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did not support a non-inferiority claim to the comparator product due to the lack of data to support a non-inferiority margin.</w:t>
      </w:r>
    </w:p>
    <w:p>
      <w:pPr>
        <w:spacing w:after="0" w:line="157" w:lineRule="exact"/>
        <w:rPr>
          <w:sz w:val="20"/>
          <w:szCs w:val="20"/>
          <w:color w:val="auto"/>
        </w:rPr>
      </w:pPr>
    </w:p>
    <w:p>
      <w:pPr>
        <w:ind w:left="960"/>
        <w:spacing w:after="0" w:line="248" w:lineRule="auto"/>
        <w:rPr>
          <w:sz w:val="20"/>
          <w:szCs w:val="20"/>
          <w:color w:val="auto"/>
        </w:rPr>
      </w:pPr>
      <w:r>
        <w:rPr>
          <w:rFonts w:ascii="Arial" w:cs="Arial" w:eastAsia="Arial" w:hAnsi="Arial"/>
          <w:sz w:val="18"/>
          <w:szCs w:val="18"/>
          <w:color w:val="auto"/>
        </w:rPr>
        <w:t>The Company has licensed the rights to commercialize taliglucerase alfa worldwide (other than Brazil) to Pfizer Inc. (“Pfizer”), and in Brazil to Fundação Oswaldo Cruz (“Fiocruz”), an arm of the Brazilian Ministry of Health (the “Brazilian MoH”). Otherwise, except with respect to taliglucerase alfa and Elfabrio, the Company holds the worldwide commercialization rights to its other proprietary development candidates. In addition, the Company continuously evaluates potential strategic marketing partnerships as well as collaboration programs with biotechnology and pharmaceutical companies and academic research institutions.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Company’s product pipeline currently includes, among other candidates:</w:t>
      </w:r>
    </w:p>
    <w:p>
      <w:pPr>
        <w:spacing w:after="0" w:line="202" w:lineRule="exact"/>
        <w:rPr>
          <w:sz w:val="20"/>
          <w:szCs w:val="20"/>
          <w:color w:val="auto"/>
        </w:rPr>
      </w:pPr>
    </w:p>
    <w:p>
      <w:pPr>
        <w:ind w:left="960" w:right="280" w:hanging="4"/>
        <w:spacing w:after="0" w:line="262" w:lineRule="auto"/>
        <w:tabs>
          <w:tab w:leader="none" w:pos="1277" w:val="left"/>
        </w:tabs>
        <w:numPr>
          <w:ilvl w:val="0"/>
          <w:numId w:val="5"/>
        </w:numPr>
        <w:rPr>
          <w:rFonts w:ascii="Arial" w:cs="Arial" w:eastAsia="Arial" w:hAnsi="Arial"/>
          <w:sz w:val="18"/>
          <w:szCs w:val="18"/>
          <w:color w:val="auto"/>
        </w:rPr>
      </w:pPr>
      <w:r>
        <w:rPr>
          <w:rFonts w:ascii="Arial" w:cs="Arial" w:eastAsia="Arial" w:hAnsi="Arial"/>
          <w:sz w:val="18"/>
          <w:szCs w:val="18"/>
          <w:color w:val="auto"/>
        </w:rPr>
        <w:t>PRX-115, the Company’s plant cell-expressed recombinant PEGylated uricase (urate oxidase) – a chemically modified enzyme to treat severe gout; and</w:t>
      </w:r>
    </w:p>
    <w:p>
      <w:pPr>
        <w:spacing w:after="0" w:line="154" w:lineRule="exact"/>
        <w:rPr>
          <w:rFonts w:ascii="Arial" w:cs="Arial" w:eastAsia="Arial" w:hAnsi="Arial"/>
          <w:sz w:val="18"/>
          <w:szCs w:val="18"/>
          <w:color w:val="auto"/>
        </w:rPr>
      </w:pPr>
    </w:p>
    <w:p>
      <w:pPr>
        <w:ind w:left="960" w:right="120" w:hanging="4"/>
        <w:spacing w:after="0" w:line="262" w:lineRule="auto"/>
        <w:tabs>
          <w:tab w:leader="none" w:pos="1277" w:val="left"/>
        </w:tabs>
        <w:numPr>
          <w:ilvl w:val="0"/>
          <w:numId w:val="5"/>
        </w:numPr>
        <w:rPr>
          <w:rFonts w:ascii="Arial" w:cs="Arial" w:eastAsia="Arial" w:hAnsi="Arial"/>
          <w:sz w:val="18"/>
          <w:szCs w:val="18"/>
          <w:color w:val="auto"/>
        </w:rPr>
      </w:pPr>
      <w:r>
        <w:rPr>
          <w:rFonts w:ascii="Arial" w:cs="Arial" w:eastAsia="Arial" w:hAnsi="Arial"/>
          <w:sz w:val="18"/>
          <w:szCs w:val="18"/>
          <w:color w:val="auto"/>
        </w:rPr>
        <w:t>PRX-119, the Company’s plant cell-expressed PEGylated recombinant human DNase I product candidate being designed to elongate half-life in the circulation for NETs-related diseases.</w:t>
      </w:r>
    </w:p>
    <w:p>
      <w:pPr>
        <w:spacing w:after="0" w:line="168" w:lineRule="exact"/>
        <w:rPr>
          <w:sz w:val="20"/>
          <w:szCs w:val="20"/>
          <w:color w:val="auto"/>
        </w:rPr>
      </w:pPr>
    </w:p>
    <w:p>
      <w:pPr>
        <w:ind w:left="960" w:right="40"/>
        <w:spacing w:after="0" w:line="262" w:lineRule="auto"/>
        <w:rPr>
          <w:sz w:val="20"/>
          <w:szCs w:val="20"/>
          <w:color w:val="auto"/>
        </w:rPr>
      </w:pPr>
      <w:r>
        <w:rPr>
          <w:rFonts w:ascii="Arial" w:cs="Arial" w:eastAsia="Arial" w:hAnsi="Arial"/>
          <w:sz w:val="18"/>
          <w:szCs w:val="18"/>
          <w:color w:val="auto"/>
        </w:rPr>
        <w:t>On March 21, 2023, the first patient was dosed in the Company’s phase I First-in-Human (“FIH”) clinical trial of PRX-115. As of September 30, 2023, 32 patients have been dosed in this trial.</w:t>
      </w:r>
    </w:p>
    <w:p>
      <w:pPr>
        <w:spacing w:after="0" w:line="142" w:lineRule="exact"/>
        <w:rPr>
          <w:sz w:val="20"/>
          <w:szCs w:val="20"/>
          <w:color w:val="auto"/>
        </w:rPr>
      </w:pPr>
    </w:p>
    <w:p>
      <w:pPr>
        <w:ind w:left="960" w:right="180"/>
        <w:spacing w:after="0" w:line="300" w:lineRule="auto"/>
        <w:rPr>
          <w:sz w:val="20"/>
          <w:szCs w:val="20"/>
          <w:color w:val="auto"/>
        </w:rPr>
      </w:pPr>
      <w:r>
        <w:rPr>
          <w:rFonts w:ascii="Arial" w:cs="Arial" w:eastAsia="Arial" w:hAnsi="Arial"/>
          <w:sz w:val="16"/>
          <w:szCs w:val="16"/>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2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On July 2, 2021, the Company entered into an At The Market Offering Agreement (the “2021 Sales Agreement”) with</w:t>
      </w:r>
    </w:p>
    <w:p>
      <w:pPr>
        <w:spacing w:after="0" w:line="39" w:lineRule="exact"/>
        <w:rPr>
          <w:sz w:val="20"/>
          <w:szCs w:val="20"/>
          <w:color w:val="auto"/>
        </w:rPr>
      </w:pPr>
    </w:p>
    <w:p>
      <w:pPr>
        <w:ind w:left="960" w:right="40"/>
        <w:spacing w:after="0" w:line="243" w:lineRule="auto"/>
        <w:rPr>
          <w:sz w:val="20"/>
          <w:szCs w:val="20"/>
          <w:color w:val="auto"/>
        </w:rPr>
      </w:pPr>
      <w:r>
        <w:rPr>
          <w:rFonts w:ascii="Arial" w:cs="Arial" w:eastAsia="Arial" w:hAnsi="Arial"/>
          <w:sz w:val="17"/>
          <w:szCs w:val="17"/>
          <w:color w:val="auto"/>
        </w:rPr>
        <w:t>H.C. Wainwright &amp; Co., LLC, as the Company’s sales agent (the “Agent”) which was amended on May 2, 2022. Pursuant to the terms of the 2021 Sales Agreement, the Company was able to sell, from time to time through the Agent, shares of its common stock, par value $0.001 per share (the “Common Stock”), having an aggregate offering price of up to $20.0 million (the “ATM Shares”). Upon execution of the 2021 Sales Agreement, the Company terminated the ATM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it had entered into on October 1, 2020 with BofA Securities, Inc. (“BofA Securities”). During the term of the sales agreement with BofA Securities, the Company sold a total of 3,296,123 shares of Common Stock for total gross proceeds of approximately $13.8 million.</w:t>
      </w:r>
    </w:p>
    <w:p>
      <w:pPr>
        <w:spacing w:after="0" w:line="158" w:lineRule="exact"/>
        <w:rPr>
          <w:sz w:val="20"/>
          <w:szCs w:val="20"/>
          <w:color w:val="auto"/>
        </w:rPr>
      </w:pPr>
    </w:p>
    <w:p>
      <w:pPr>
        <w:ind w:left="960" w:right="40"/>
        <w:spacing w:after="0" w:line="253" w:lineRule="auto"/>
        <w:rPr>
          <w:sz w:val="20"/>
          <w:szCs w:val="20"/>
          <w:color w:val="auto"/>
        </w:rPr>
      </w:pPr>
      <w:r>
        <w:rPr>
          <w:rFonts w:ascii="Arial" w:cs="Arial" w:eastAsia="Arial" w:hAnsi="Arial"/>
          <w:sz w:val="18"/>
          <w:szCs w:val="18"/>
          <w:color w:val="auto"/>
        </w:rPr>
        <w:t>During the term of the 2021 Sales Agreement which ended during the quarter ended March 31, 2023, the Company sold a total of 13,980,060 ATM Shares for total gross proceeds of approximately $20.0 million under the 2021 Sales Agreement, thereby completing the ATM program under said agreement.</w:t>
      </w:r>
    </w:p>
    <w:p>
      <w:pPr>
        <w:sectPr>
          <w:pgSz w:w="11900" w:h="16838" w:orient="portrait"/>
          <w:cols w:equalWidth="0" w:num="1">
            <w:col w:w="9920"/>
          </w:cols>
          <w:pgMar w:left="980" w:top="655" w:right="99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629793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8" w:lineRule="exact"/>
        <w:rPr>
          <w:sz w:val="20"/>
          <w:szCs w:val="20"/>
          <w:color w:val="auto"/>
        </w:rPr>
      </w:pPr>
    </w:p>
    <w:p>
      <w:pPr>
        <w:ind w:left="960"/>
        <w:spacing w:after="0" w:line="292" w:lineRule="auto"/>
        <w:rPr>
          <w:sz w:val="20"/>
          <w:szCs w:val="20"/>
          <w:color w:val="auto"/>
        </w:rPr>
      </w:pPr>
      <w:r>
        <w:rPr>
          <w:rFonts w:ascii="Arial" w:cs="Arial" w:eastAsia="Arial" w:hAnsi="Arial"/>
          <w:sz w:val="16"/>
          <w:szCs w:val="16"/>
          <w:color w:val="auto"/>
        </w:rPr>
        <w:t>On February 27, 2023, the Company entered into an At The Market Offering Agreement (the “2023 Sales Agreement”) with the Agent. Pursuant to the terms of the 2023 Sales Agreement, the Company may sell, from time to time through the Agent, ATM Shares having an aggregate offering price of up to $20.0 million. As of September 30, 2023, shares of Common Stock for total gross proceeds of approximately $6.4 million remain available to be sold under the 2023 Sales Agreement.</w:t>
      </w:r>
    </w:p>
    <w:p>
      <w:pPr>
        <w:spacing w:after="0" w:line="120" w:lineRule="exact"/>
        <w:rPr>
          <w:sz w:val="20"/>
          <w:szCs w:val="20"/>
          <w:color w:val="auto"/>
        </w:rPr>
      </w:pPr>
    </w:p>
    <w:p>
      <w:pPr>
        <w:ind w:left="960" w:right="40"/>
        <w:spacing w:after="0" w:line="281" w:lineRule="auto"/>
        <w:rPr>
          <w:sz w:val="20"/>
          <w:szCs w:val="20"/>
          <w:color w:val="auto"/>
        </w:rPr>
      </w:pPr>
      <w:r>
        <w:rPr>
          <w:rFonts w:ascii="Arial" w:cs="Arial" w:eastAsia="Arial" w:hAnsi="Arial"/>
          <w:sz w:val="16"/>
          <w:szCs w:val="16"/>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and to receive additional payments of up to $320.0 million, in the aggregate, in regulatory and commercial milestone payments. Under the Chiesi US Agreement, Protalix Ltd. is entitled to payments of up to a maximum of $20.0 million to cover development costs for pegunigalsidase alfa and to receive additional payments of up to a maximum of $760.0 million, in the aggregate, in regulatory and commercial milestone payments. To date, Protalix Ltd. has received the complete amount of development costs to which it is entitled under the Chiesi Agreements. In addition, following the approval of Elfabrio by the FDA, the Company received a milestone payment equal to $20.0 million.</w:t>
      </w:r>
    </w:p>
    <w:p>
      <w:pPr>
        <w:spacing w:after="0" w:line="106" w:lineRule="exact"/>
        <w:rPr>
          <w:sz w:val="20"/>
          <w:szCs w:val="20"/>
          <w:color w:val="auto"/>
        </w:rPr>
      </w:pPr>
    </w:p>
    <w:p>
      <w:pPr>
        <w:ind w:left="960"/>
        <w:spacing w:after="0" w:line="282" w:lineRule="auto"/>
        <w:rPr>
          <w:sz w:val="20"/>
          <w:szCs w:val="20"/>
          <w:color w:val="auto"/>
        </w:rPr>
      </w:pPr>
      <w:r>
        <w:rPr>
          <w:rFonts w:ascii="Arial" w:cs="Arial" w:eastAsia="Arial" w:hAnsi="Arial"/>
          <w:sz w:val="16"/>
          <w:szCs w:val="16"/>
          <w:color w:val="auto"/>
        </w:rPr>
        <w:t>Under the terms of both of the Chiesi Agreements, Protalix Ltd. is required to manufacture all of the Elfabrio drug substance needed under the agreements, subject to certain exceptions, and Chiesi will purchase Elfabrio drug product from Protalix, subject to certain terms and conditions. The consideration for Protalix Ltd. is based on the drug product supplied to Chiesi and the average selling price of the drug product in the relevant territory multiplied by tiered payments as described in the relevant agreement. Under the Chiesi Ex-US Agreement, Chiesi is required to make tiered payments for drug product purchased from Protalix of 15% to 35%, depending on the amount of annual net sales outside of the United States, and under the Chiesi US Agreement, Chiesi is required to make tiered payments for drug product purchased from Protalix of 15% to 40%, depending on the amount of annual net sales in the United States.</w:t>
      </w:r>
    </w:p>
    <w:p>
      <w:pPr>
        <w:spacing w:after="0" w:line="104" w:lineRule="exact"/>
        <w:rPr>
          <w:sz w:val="20"/>
          <w:szCs w:val="20"/>
          <w:color w:val="auto"/>
        </w:rPr>
      </w:pPr>
    </w:p>
    <w:p>
      <w:pPr>
        <w:ind w:left="960" w:right="20"/>
        <w:spacing w:after="0" w:line="283" w:lineRule="auto"/>
        <w:rPr>
          <w:sz w:val="20"/>
          <w:szCs w:val="20"/>
          <w:color w:val="auto"/>
        </w:rPr>
      </w:pPr>
      <w:r>
        <w:rPr>
          <w:rFonts w:ascii="Arial" w:cs="Arial" w:eastAsia="Arial" w:hAnsi="Arial"/>
          <w:sz w:val="16"/>
          <w:szCs w:val="16"/>
          <w:color w:val="auto"/>
        </w:rPr>
        <w:t>On August 29, 2022, the Company entered into a Fill/Finish Agreement (the “F/F Agreement”) and a Letter Agreement (the “Letter Agreement”), in each case with Chiesi. The Company agreed to supply Chiesi with drug substance for PRX-102 and, following relevant technology and technical information transfer activities, Chiesi has agreed, among other things, to provide the Company with commercial fill/finish services for PRX-102, including to support the anticipated global launch of PRX-102. The 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w:t>
      </w:r>
    </w:p>
    <w:p>
      <w:pPr>
        <w:spacing w:after="0" w:line="90" w:lineRule="exact"/>
        <w:rPr>
          <w:sz w:val="20"/>
          <w:szCs w:val="20"/>
          <w:color w:val="auto"/>
        </w:rPr>
      </w:pPr>
    </w:p>
    <w:p>
      <w:pPr>
        <w:ind w:left="960"/>
        <w:spacing w:after="0" w:line="248" w:lineRule="auto"/>
        <w:rPr>
          <w:sz w:val="20"/>
          <w:szCs w:val="20"/>
          <w:color w:val="auto"/>
        </w:rPr>
      </w:pPr>
      <w:r>
        <w:rPr>
          <w:rFonts w:ascii="Arial" w:cs="Arial" w:eastAsia="Arial" w:hAnsi="Arial"/>
          <w:sz w:val="18"/>
          <w:szCs w:val="18"/>
          <w:color w:val="auto"/>
        </w:rPr>
        <w:t>On May 13, 2021, the Company signed a binding term sheet with Chiesi pursuant to which the Company and Chiesi amended the Chiesi Agreements in order to provide the Company with near-term capital. Chiesi agreed to make a $10.0 million payment to the Company before the end of the second quarter of 2021 in exchange for a $25.0 million reduction in a longer term regulatory milestone payment provided in the Chiesi EX-US Agreement. All other regulatory and commercial milestone payments remain unchanged. The Company received the payment in June 2021. The Company also agreed to negotiate certain manufacturing related matters.</w:t>
      </w:r>
    </w:p>
    <w:p>
      <w:pPr>
        <w:spacing w:after="0" w:line="128" w:lineRule="exact"/>
        <w:rPr>
          <w:sz w:val="20"/>
          <w:szCs w:val="20"/>
          <w:color w:val="auto"/>
        </w:rPr>
      </w:pPr>
    </w:p>
    <w:p>
      <w:pPr>
        <w:ind w:left="960"/>
        <w:spacing w:after="0" w:line="282" w:lineRule="auto"/>
        <w:rPr>
          <w:sz w:val="20"/>
          <w:szCs w:val="20"/>
          <w:color w:val="auto"/>
        </w:rPr>
      </w:pPr>
      <w:r>
        <w:rPr>
          <w:rFonts w:ascii="Arial" w:cs="Arial" w:eastAsia="Arial" w:hAnsi="Arial"/>
          <w:sz w:val="16"/>
          <w:szCs w:val="16"/>
          <w:color w:val="auto"/>
        </w:rPr>
        <w:t>Since its approval by the FDA, taliglucerase alfa has been marketed by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04" w:lineRule="exact"/>
        <w:rPr>
          <w:sz w:val="20"/>
          <w:szCs w:val="20"/>
          <w:color w:val="auto"/>
        </w:rPr>
      </w:pPr>
    </w:p>
    <w:p>
      <w:pPr>
        <w:ind w:left="960" w:right="360"/>
        <w:spacing w:after="0" w:line="279" w:lineRule="auto"/>
        <w:rPr>
          <w:sz w:val="20"/>
          <w:szCs w:val="20"/>
          <w:color w:val="auto"/>
        </w:rPr>
      </w:pPr>
      <w:r>
        <w:rPr>
          <w:rFonts w:ascii="Arial" w:cs="Arial" w:eastAsia="Arial" w:hAnsi="Arial"/>
          <w:sz w:val="16"/>
          <w:szCs w:val="16"/>
          <w:color w:val="auto"/>
        </w:rPr>
        <w:t>On June 18, 2013, the Company entered into a Supply and Technology Transfer Agreement with Fiocruz (the “Brazil Agreement”) for taliglucerase alfa.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BioManguinhos alfataliglicerase to Fiocruz and patients continue to be treated with BioManguinhos alfataliglicerase in Brazil.</w:t>
      </w:r>
    </w:p>
    <w:p>
      <w:pPr>
        <w:spacing w:after="0" w:line="172" w:lineRule="exact"/>
        <w:rPr>
          <w:sz w:val="20"/>
          <w:szCs w:val="20"/>
          <w:color w:val="auto"/>
        </w:rPr>
      </w:pPr>
    </w:p>
    <w:p>
      <w:pPr>
        <w:ind w:left="960" w:right="80"/>
        <w:spacing w:after="0" w:line="307" w:lineRule="auto"/>
        <w:rPr>
          <w:sz w:val="20"/>
          <w:szCs w:val="20"/>
          <w:color w:val="auto"/>
        </w:rPr>
      </w:pPr>
      <w:r>
        <w:rPr>
          <w:rFonts w:ascii="Arial" w:cs="Arial" w:eastAsia="Arial" w:hAnsi="Arial"/>
          <w:sz w:val="15"/>
          <w:szCs w:val="15"/>
          <w:color w:val="auto"/>
        </w:rPr>
        <w:t>The Company expects to continue to incur significant expenditures in the near future due to research and developments efforts with respect to the product candidates. Under the terms of the Company’s outstanding 7.50% Senior Secured Convertible Notes due 2024 (the “2024 Notes”), the Company is required to comply with certain financial covenants, including the maintenance of a minimum cash balance of at least $7.5 million. As of September 30, 2023, the Company is in compliance with all such covenants. The Company believes that its cash and cash equivalents as of September 30, 2023, are sufficient to satisfy the Company’s capital needs for at least 12 months from the date that these financial statements are issued.</w:t>
      </w:r>
    </w:p>
    <w:p>
      <w:pPr>
        <w:spacing w:after="0" w:line="68" w:lineRule="exact"/>
        <w:rPr>
          <w:sz w:val="20"/>
          <w:szCs w:val="20"/>
          <w:color w:val="auto"/>
        </w:rPr>
      </w:pPr>
    </w:p>
    <w:p>
      <w:pPr>
        <w:ind w:left="960" w:hanging="321"/>
        <w:spacing w:after="0"/>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55" w:lineRule="exact"/>
        <w:rPr>
          <w:rFonts w:ascii="Arial" w:cs="Arial" w:eastAsia="Arial" w:hAnsi="Arial"/>
          <w:sz w:val="18"/>
          <w:szCs w:val="18"/>
          <w:b w:val="1"/>
          <w:bCs w:val="1"/>
          <w:color w:val="auto"/>
        </w:rPr>
      </w:pPr>
    </w:p>
    <w:p>
      <w:pPr>
        <w:ind w:left="960" w:right="1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66" w:lineRule="exact"/>
        <w:rPr>
          <w:rFonts w:ascii="Arial" w:cs="Arial" w:eastAsia="Arial" w:hAnsi="Arial"/>
          <w:sz w:val="18"/>
          <w:szCs w:val="18"/>
          <w:b w:val="1"/>
          <w:bCs w:val="1"/>
          <w:color w:val="auto"/>
        </w:rPr>
      </w:pPr>
    </w:p>
    <w:p>
      <w:pPr>
        <w:ind w:left="9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These unaudited condensed consolidated financial statements should be read in conjunction with the audited consolidated financial statements in the Annual Report on Form 10-K for the year ended December 31, 2022, filed by the Company with the U.S. Securities and Exchange Commission (the “Commission”). The comparative balance sheet at December 31, 2022 has been derived from the audited financial statements at that date. There have been no material changes in our significant accounting policies as described in our consolidated financial statements for the year ended December 31, 2022.</w:t>
      </w:r>
    </w:p>
    <w:p>
      <w:pPr>
        <w:spacing w:after="0" w:line="160" w:lineRule="exact"/>
        <w:rPr>
          <w:rFonts w:ascii="Arial" w:cs="Arial" w:eastAsia="Arial" w:hAnsi="Arial"/>
          <w:sz w:val="18"/>
          <w:szCs w:val="18"/>
          <w:b w:val="1"/>
          <w:bCs w:val="1"/>
          <w:color w:val="auto"/>
        </w:rPr>
      </w:pPr>
    </w:p>
    <w:p>
      <w:pPr>
        <w:ind w:left="960" w:hanging="321"/>
        <w:spacing w:after="0"/>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1" w:lineRule="exact"/>
        <w:rPr>
          <w:rFonts w:ascii="Arial" w:cs="Arial" w:eastAsia="Arial" w:hAnsi="Arial"/>
          <w:sz w:val="18"/>
          <w:szCs w:val="18"/>
          <w:b w:val="1"/>
          <w:bCs w:val="1"/>
          <w:color w:val="auto"/>
        </w:rPr>
      </w:pPr>
    </w:p>
    <w:p>
      <w:pPr>
        <w:ind w:left="960" w:right="120"/>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43" w:lineRule="exact"/>
        <w:rPr>
          <w:rFonts w:ascii="Arial" w:cs="Arial" w:eastAsia="Arial" w:hAnsi="Arial"/>
          <w:sz w:val="18"/>
          <w:szCs w:val="18"/>
          <w:b w:val="1"/>
          <w:bCs w:val="1"/>
          <w:color w:val="auto"/>
        </w:rPr>
      </w:pPr>
    </w:p>
    <w:p>
      <w:pPr>
        <w:ind w:left="960" w:right="8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Revenues are recorded in the amount of consideration to which the Company expects to be entitled in exchange for performance obligations upon transfer of control to the customer.</w:t>
      </w:r>
    </w:p>
    <w:p>
      <w:pPr>
        <w:spacing w:after="0" w:line="141" w:lineRule="exact"/>
        <w:rPr>
          <w:rFonts w:ascii="Arial" w:cs="Arial" w:eastAsia="Arial" w:hAnsi="Arial"/>
          <w:sz w:val="18"/>
          <w:szCs w:val="18"/>
          <w:b w:val="1"/>
          <w:bCs w:val="1"/>
          <w:color w:val="auto"/>
        </w:rPr>
      </w:pPr>
    </w:p>
    <w:p>
      <w:pPr>
        <w:ind w:left="1260" w:hanging="304"/>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Revenues from selling products</w:t>
      </w:r>
    </w:p>
    <w:p>
      <w:pPr>
        <w:spacing w:after="0" w:line="175" w:lineRule="exact"/>
        <w:rPr>
          <w:rFonts w:ascii="Arial" w:cs="Arial" w:eastAsia="Arial" w:hAnsi="Arial"/>
          <w:sz w:val="18"/>
          <w:szCs w:val="18"/>
          <w:color w:val="auto"/>
        </w:rPr>
      </w:pPr>
    </w:p>
    <w:p>
      <w:pPr>
        <w:jc w:val="both"/>
        <w:ind w:left="1280"/>
        <w:spacing w:after="0" w:line="253" w:lineRule="auto"/>
        <w:rPr>
          <w:rFonts w:ascii="Arial" w:cs="Arial" w:eastAsia="Arial" w:hAnsi="Arial"/>
          <w:sz w:val="18"/>
          <w:szCs w:val="18"/>
          <w:color w:val="auto"/>
        </w:rPr>
      </w:pPr>
      <w:r>
        <w:rPr>
          <w:rFonts w:ascii="Arial" w:cs="Arial" w:eastAsia="Arial" w:hAnsi="Arial"/>
          <w:sz w:val="18"/>
          <w:szCs w:val="18"/>
          <w:color w:val="auto"/>
        </w:rPr>
        <w:t>The Company recognizes revenues from selling goods at a point in time when control over the product is transferred to customers (upon delivery), at the net selling price, which reflects reserves for variable consideration, potential discounts and allowances.</w:t>
      </w:r>
    </w:p>
    <w:p>
      <w:pPr>
        <w:spacing w:after="0" w:line="163" w:lineRule="exact"/>
        <w:rPr>
          <w:rFonts w:ascii="Arial" w:cs="Arial" w:eastAsia="Arial" w:hAnsi="Arial"/>
          <w:sz w:val="18"/>
          <w:szCs w:val="18"/>
          <w:color w:val="auto"/>
        </w:rPr>
      </w:pPr>
    </w:p>
    <w:p>
      <w:pPr>
        <w:ind w:left="1280" w:right="20"/>
        <w:spacing w:after="0" w:line="247" w:lineRule="auto"/>
        <w:rPr>
          <w:rFonts w:ascii="Arial" w:cs="Arial" w:eastAsia="Arial" w:hAnsi="Arial"/>
          <w:sz w:val="18"/>
          <w:szCs w:val="18"/>
          <w:color w:val="auto"/>
        </w:rPr>
      </w:pPr>
      <w:r>
        <w:rPr>
          <w:rFonts w:ascii="Arial" w:cs="Arial" w:eastAsia="Arial" w:hAnsi="Arial"/>
          <w:sz w:val="18"/>
          <w:szCs w:val="18"/>
          <w:color w:val="auto"/>
        </w:rPr>
        <w:t>The transaction price is the consideration to which the Company expects to be entitled from the customer. The consideration promised in a contract with the Company’s customers may include fixed amounts and variable amounts. The Company estimates the variable consideration and includes it in the transaction price using the most likely outcome method, and only to the extent it is highly probable that a significant reversal of cumulative revenue recognized will not occur when the uncertainty associated with the variable consideration is subsequently resolved. Prior to recognizing revenue from variable consideration, the Company uses significant judgment to determine the probability of significant reversal of such revenue.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left="1000" w:right="2060"/>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8" w:lineRule="exact"/>
        <w:rPr>
          <w:sz w:val="20"/>
          <w:szCs w:val="20"/>
          <w:color w:val="auto"/>
        </w:rPr>
      </w:pPr>
    </w:p>
    <w:p>
      <w:pPr>
        <w:ind w:left="1280" w:hanging="32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from Chiesi Agreements</w:t>
      </w:r>
    </w:p>
    <w:p>
      <w:pPr>
        <w:spacing w:after="0" w:line="175" w:lineRule="exact"/>
        <w:rPr>
          <w:rFonts w:ascii="Arial" w:cs="Arial" w:eastAsia="Arial" w:hAnsi="Arial"/>
          <w:sz w:val="18"/>
          <w:szCs w:val="18"/>
          <w:color w:val="auto"/>
        </w:rPr>
      </w:pPr>
    </w:p>
    <w:p>
      <w:pPr>
        <w:ind w:left="1280"/>
        <w:spacing w:after="0" w:line="325" w:lineRule="auto"/>
        <w:rPr>
          <w:rFonts w:ascii="Arial" w:cs="Arial" w:eastAsia="Arial" w:hAnsi="Arial"/>
          <w:sz w:val="18"/>
          <w:szCs w:val="18"/>
          <w:color w:val="auto"/>
        </w:rPr>
      </w:pPr>
      <w:r>
        <w:rPr>
          <w:rFonts w:ascii="Arial" w:cs="Arial" w:eastAsia="Arial" w:hAnsi="Arial"/>
          <w:sz w:val="16"/>
          <w:szCs w:val="16"/>
          <w:color w:val="auto"/>
        </w:rPr>
        <w:t>The Company has identified two performance obligations in the Chiesi Agreements as follows: (i) the license and research and development services and (ii) the contingent performance obligation regarding future manufacturing.</w:t>
      </w:r>
    </w:p>
    <w:p>
      <w:pPr>
        <w:spacing w:after="0" w:line="95" w:lineRule="exact"/>
        <w:rPr>
          <w:rFonts w:ascii="Arial" w:cs="Arial" w:eastAsia="Arial" w:hAnsi="Arial"/>
          <w:sz w:val="18"/>
          <w:szCs w:val="18"/>
          <w:color w:val="auto"/>
        </w:rPr>
      </w:pPr>
    </w:p>
    <w:p>
      <w:pPr>
        <w:ind w:left="1280" w:right="20"/>
        <w:spacing w:after="0" w:line="300" w:lineRule="auto"/>
        <w:rPr>
          <w:rFonts w:ascii="Arial" w:cs="Arial" w:eastAsia="Arial" w:hAnsi="Arial"/>
          <w:sz w:val="18"/>
          <w:szCs w:val="18"/>
          <w:color w:val="auto"/>
        </w:rPr>
      </w:pPr>
      <w:r>
        <w:rPr>
          <w:rFonts w:ascii="Arial" w:cs="Arial" w:eastAsia="Arial" w:hAnsi="Arial"/>
          <w:sz w:val="16"/>
          <w:szCs w:val="16"/>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27" w:lineRule="exact"/>
        <w:rPr>
          <w:rFonts w:ascii="Arial" w:cs="Arial" w:eastAsia="Arial" w:hAnsi="Arial"/>
          <w:sz w:val="18"/>
          <w:szCs w:val="18"/>
          <w:color w:val="auto"/>
        </w:rPr>
      </w:pPr>
    </w:p>
    <w:p>
      <w:pPr>
        <w:ind w:left="1280" w:right="220"/>
        <w:spacing w:after="0" w:line="287" w:lineRule="auto"/>
        <w:rPr>
          <w:rFonts w:ascii="Arial" w:cs="Arial" w:eastAsia="Arial" w:hAnsi="Arial"/>
          <w:sz w:val="18"/>
          <w:szCs w:val="18"/>
          <w:color w:val="auto"/>
        </w:rPr>
      </w:pPr>
      <w:r>
        <w:rPr>
          <w:rFonts w:ascii="Arial" w:cs="Arial" w:eastAsia="Arial" w:hAnsi="Arial"/>
          <w:sz w:val="16"/>
          <w:szCs w:val="16"/>
          <w:color w:val="auto"/>
        </w:rPr>
        <w:t>The manufacturing was contingent on regulatory approvals of the drug and the Company deems these services to be separately identifiable from other performance obligations in the contract. Manufacturing services post-regulatory approval are not interdependent or interrelated with the license, research and development services. Following the regulatory approvals for Elfabrio received in May 2023, the Company started recognizing revenue from manufacturing, see also revenue from selling products above.</w:t>
      </w:r>
    </w:p>
    <w:p>
      <w:pPr>
        <w:spacing w:after="0" w:line="126" w:lineRule="exact"/>
        <w:rPr>
          <w:rFonts w:ascii="Arial" w:cs="Arial" w:eastAsia="Arial" w:hAnsi="Arial"/>
          <w:sz w:val="18"/>
          <w:szCs w:val="18"/>
          <w:color w:val="auto"/>
        </w:rPr>
      </w:pPr>
    </w:p>
    <w:p>
      <w:pPr>
        <w:ind w:left="1280" w:right="80"/>
        <w:spacing w:after="0" w:line="282" w:lineRule="auto"/>
        <w:rPr>
          <w:rFonts w:ascii="Arial" w:cs="Arial" w:eastAsia="Arial" w:hAnsi="Arial"/>
          <w:sz w:val="18"/>
          <w:szCs w:val="18"/>
          <w:color w:val="auto"/>
        </w:rPr>
      </w:pPr>
      <w:r>
        <w:rPr>
          <w:rFonts w:ascii="Arial" w:cs="Arial" w:eastAsia="Arial" w:hAnsi="Arial"/>
          <w:sz w:val="16"/>
          <w:szCs w:val="16"/>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 Following the approval of Elfabrio by the FDA, the Company received a milestone payment equal to $20.0 million (see also note 4).</w:t>
      </w:r>
    </w:p>
    <w:p>
      <w:pPr>
        <w:spacing w:after="0" w:line="130" w:lineRule="exact"/>
        <w:rPr>
          <w:rFonts w:ascii="Arial" w:cs="Arial" w:eastAsia="Arial" w:hAnsi="Arial"/>
          <w:sz w:val="18"/>
          <w:szCs w:val="18"/>
          <w:color w:val="auto"/>
        </w:rPr>
      </w:pPr>
    </w:p>
    <w:p>
      <w:pPr>
        <w:jc w:val="both"/>
        <w:ind w:left="1280" w:right="160"/>
        <w:spacing w:after="0" w:line="363" w:lineRule="auto"/>
        <w:rPr>
          <w:rFonts w:ascii="Arial" w:cs="Arial" w:eastAsia="Arial" w:hAnsi="Arial"/>
          <w:sz w:val="18"/>
          <w:szCs w:val="18"/>
          <w:color w:val="auto"/>
        </w:rPr>
      </w:pPr>
      <w:r>
        <w:rPr>
          <w:rFonts w:ascii="Arial" w:cs="Arial" w:eastAsia="Arial" w:hAnsi="Arial"/>
          <w:sz w:val="15"/>
          <w:szCs w:val="15"/>
          <w:color w:val="auto"/>
        </w:rPr>
        <w:t>Since the customer benefits from the research and development services as the entity performs the service, revenue from granting the license and the research and development services was recognized over time using the cost-to-cost method.</w:t>
      </w:r>
    </w:p>
    <w:p>
      <w:pPr>
        <w:spacing w:after="0" w:line="84" w:lineRule="exact"/>
        <w:rPr>
          <w:rFonts w:ascii="Arial" w:cs="Arial" w:eastAsia="Arial" w:hAnsi="Arial"/>
          <w:sz w:val="18"/>
          <w:szCs w:val="18"/>
          <w:color w:val="auto"/>
        </w:rPr>
      </w:pPr>
    </w:p>
    <w:p>
      <w:pPr>
        <w:ind w:left="1280" w:right="140"/>
        <w:spacing w:after="0" w:line="262" w:lineRule="auto"/>
        <w:rPr>
          <w:rFonts w:ascii="Arial" w:cs="Arial" w:eastAsia="Arial" w:hAnsi="Arial"/>
          <w:sz w:val="18"/>
          <w:szCs w:val="18"/>
          <w:color w:val="auto"/>
        </w:rPr>
      </w:pPr>
      <w:r>
        <w:rPr>
          <w:rFonts w:ascii="Arial" w:cs="Arial" w:eastAsia="Arial" w:hAnsi="Arial"/>
          <w:sz w:val="18"/>
          <w:szCs w:val="18"/>
          <w:color w:val="auto"/>
        </w:rPr>
        <w:t>Revenue from additional research and development services ordered by Chiesi is recognized over time using the cost-to-cost method.</w:t>
      </w:r>
    </w:p>
    <w:p>
      <w:pPr>
        <w:spacing w:after="0" w:line="141" w:lineRule="exact"/>
        <w:rPr>
          <w:rFonts w:ascii="Arial" w:cs="Arial" w:eastAsia="Arial" w:hAnsi="Arial"/>
          <w:sz w:val="18"/>
          <w:szCs w:val="18"/>
          <w:color w:val="auto"/>
        </w:rPr>
      </w:pPr>
    </w:p>
    <w:p>
      <w:pPr>
        <w:ind w:left="1280" w:hanging="32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from R&amp;D services</w:t>
      </w:r>
    </w:p>
    <w:p>
      <w:pPr>
        <w:spacing w:after="0" w:line="175" w:lineRule="exact"/>
        <w:rPr>
          <w:rFonts w:ascii="Arial" w:cs="Arial" w:eastAsia="Arial" w:hAnsi="Arial"/>
          <w:sz w:val="18"/>
          <w:szCs w:val="18"/>
          <w:color w:val="auto"/>
        </w:rPr>
      </w:pPr>
    </w:p>
    <w:p>
      <w:pPr>
        <w:ind w:left="1280" w:right="260"/>
        <w:spacing w:after="0" w:line="325" w:lineRule="auto"/>
        <w:rPr>
          <w:rFonts w:ascii="Arial" w:cs="Arial" w:eastAsia="Arial" w:hAnsi="Arial"/>
          <w:sz w:val="18"/>
          <w:szCs w:val="18"/>
          <w:color w:val="auto"/>
        </w:rPr>
      </w:pPr>
      <w:r>
        <w:rPr>
          <w:rFonts w:ascii="Arial" w:cs="Arial" w:eastAsia="Arial" w:hAnsi="Arial"/>
          <w:sz w:val="16"/>
          <w:szCs w:val="16"/>
          <w:color w:val="auto"/>
        </w:rPr>
        <w:t>Revenue from the research and development services was recognized over time using the cost-to-cost method since the customer benefits from the research and development services as the entity performs the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at September 30, 2023 and December 31, 2022 consisted of the following:</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574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57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39"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39"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7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4,198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3,508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740" w:type="dxa"/>
            <w:vAlign w:val="bottom"/>
          </w:tcPr>
          <w:p>
            <w:pPr>
              <w:spacing w:after="0" w:line="204" w:lineRule="exact"/>
              <w:rPr>
                <w:sz w:val="20"/>
                <w:szCs w:val="20"/>
                <w:color w:val="auto"/>
              </w:rPr>
            </w:pPr>
            <w:r>
              <w:rPr>
                <w:rFonts w:ascii="Arial" w:cs="Arial" w:eastAsia="Arial" w:hAnsi="Arial"/>
                <w:sz w:val="18"/>
                <w:szCs w:val="18"/>
                <w:color w:val="auto"/>
              </w:rPr>
              <w:t>Total inventory</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21,583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16,804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81" w:lineRule="exact"/>
        <w:rPr>
          <w:sz w:val="20"/>
          <w:szCs w:val="20"/>
          <w:color w:val="auto"/>
        </w:rPr>
      </w:pPr>
    </w:p>
    <w:p>
      <w:pPr>
        <w:ind w:left="640" w:right="140"/>
        <w:spacing w:after="0" w:line="253" w:lineRule="auto"/>
        <w:rPr>
          <w:sz w:val="20"/>
          <w:szCs w:val="20"/>
          <w:color w:val="auto"/>
        </w:rPr>
      </w:pPr>
      <w:r>
        <w:rPr>
          <w:rFonts w:ascii="Arial" w:cs="Arial" w:eastAsia="Arial" w:hAnsi="Arial"/>
          <w:sz w:val="18"/>
          <w:szCs w:val="18"/>
          <w:color w:val="auto"/>
        </w:rPr>
        <w:t>The Company measures fair value and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00"/>
          </w:cols>
          <w:pgMar w:left="980" w:top="655" w:right="10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left="1100" w:right="1960"/>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8"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color w:val="auto"/>
        </w:rPr>
        <w:t>The accounting standard establishes a fair value hierarchy that prioritizes observable and unobservable inputs used to measure fair value into three broad levels, which are described below:</w:t>
      </w:r>
    </w:p>
    <w:p>
      <w:pPr>
        <w:spacing w:after="0" w:line="142" w:lineRule="exact"/>
        <w:rPr>
          <w:sz w:val="20"/>
          <w:szCs w:val="20"/>
          <w:color w:val="auto"/>
        </w:rPr>
      </w:pPr>
    </w:p>
    <w:p>
      <w:pPr>
        <w:jc w:val="both"/>
        <w:ind w:left="640" w:right="80"/>
        <w:spacing w:after="0" w:line="262"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2: Observable prices that are based on inputs not quoted on active markets, but corroborated by market data.</w:t>
      </w:r>
    </w:p>
    <w:p>
      <w:pPr>
        <w:spacing w:after="0" w:line="198" w:lineRule="exact"/>
        <w:rPr>
          <w:sz w:val="20"/>
          <w:szCs w:val="20"/>
          <w:color w:val="auto"/>
        </w:rPr>
      </w:pPr>
    </w:p>
    <w:p>
      <w:pPr>
        <w:ind w:left="640" w:right="20"/>
        <w:spacing w:after="0" w:line="262"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42" w:lineRule="exact"/>
        <w:rPr>
          <w:sz w:val="20"/>
          <w:szCs w:val="20"/>
          <w:color w:val="auto"/>
        </w:rPr>
      </w:pPr>
    </w:p>
    <w:p>
      <w:pPr>
        <w:ind w:left="640" w:right="20"/>
        <w:spacing w:after="0" w:line="325"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08" w:lineRule="exact"/>
        <w:rPr>
          <w:sz w:val="20"/>
          <w:szCs w:val="20"/>
          <w:color w:val="auto"/>
        </w:rPr>
      </w:pPr>
    </w:p>
    <w:p>
      <w:pPr>
        <w:ind w:left="640" w:right="300"/>
        <w:spacing w:after="0" w:line="262" w:lineRule="auto"/>
        <w:rPr>
          <w:sz w:val="20"/>
          <w:szCs w:val="20"/>
          <w:color w:val="auto"/>
        </w:rPr>
      </w:pPr>
      <w:r>
        <w:rPr>
          <w:rFonts w:ascii="Arial" w:cs="Arial" w:eastAsia="Arial" w:hAnsi="Arial"/>
          <w:sz w:val="18"/>
          <w:szCs w:val="18"/>
          <w:color w:val="auto"/>
        </w:rPr>
        <w:t>The fair value of the financial instruments included in the working capital of the Company is usually identical or close to their carrying value.</w:t>
      </w:r>
    </w:p>
    <w:p>
      <w:pPr>
        <w:spacing w:after="0" w:line="142" w:lineRule="exact"/>
        <w:rPr>
          <w:sz w:val="20"/>
          <w:szCs w:val="20"/>
          <w:color w:val="auto"/>
        </w:rPr>
      </w:pPr>
    </w:p>
    <w:p>
      <w:pPr>
        <w:jc w:val="both"/>
        <w:ind w:left="620" w:right="100"/>
        <w:spacing w:after="0" w:line="300" w:lineRule="auto"/>
        <w:rPr>
          <w:sz w:val="20"/>
          <w:szCs w:val="20"/>
          <w:color w:val="auto"/>
        </w:rPr>
      </w:pPr>
      <w:r>
        <w:rPr>
          <w:rFonts w:ascii="Arial" w:cs="Arial" w:eastAsia="Arial" w:hAnsi="Arial"/>
          <w:sz w:val="16"/>
          <w:szCs w:val="16"/>
          <w:color w:val="auto"/>
        </w:rPr>
        <w:t>Based on a Level 3 measurement, as of September 30, 2023, the fair value of the $20.4 million aggregate principal amount of the Company’s outstanding 2024 Notes is approximately $24.5 million. The value of these notes was estimated by implementing the binomial model. The liability component was valued based on the Income Approach. The following parameters were used:</w:t>
      </w:r>
    </w:p>
    <w:p>
      <w:pPr>
        <w:spacing w:after="0" w:line="223"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7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2024 Notes</w:t>
            </w:r>
          </w:p>
        </w:tc>
        <w:tc>
          <w:tcPr>
            <w:tcW w:w="200" w:type="dxa"/>
            <w:vAlign w:val="bottom"/>
            <w:tcBorders>
              <w:bottom w:val="single" w:sz="8" w:color="CCEEFF"/>
            </w:tcBorders>
          </w:tcPr>
          <w:p>
            <w:pPr>
              <w:spacing w:after="0"/>
              <w:rPr>
                <w:sz w:val="14"/>
                <w:szCs w:val="14"/>
                <w:color w:val="auto"/>
              </w:rPr>
            </w:pPr>
          </w:p>
        </w:tc>
      </w:tr>
      <w:tr>
        <w:trPr>
          <w:trHeight w:val="204"/>
        </w:trPr>
        <w:tc>
          <w:tcPr>
            <w:tcW w:w="70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Stock price (USD)</w:t>
            </w:r>
          </w:p>
        </w:tc>
        <w:tc>
          <w:tcPr>
            <w:tcW w:w="6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7"/>
                <w:szCs w:val="17"/>
                <w:color w:val="auto"/>
              </w:rPr>
            </w:pPr>
          </w:p>
        </w:tc>
      </w:tr>
      <w:tr>
        <w:trPr>
          <w:trHeight w:val="211"/>
        </w:trPr>
        <w:tc>
          <w:tcPr>
            <w:tcW w:w="7060" w:type="dxa"/>
            <w:vAlign w:val="bottom"/>
          </w:tcPr>
          <w:p>
            <w:pPr>
              <w:spacing w:after="0"/>
              <w:rPr>
                <w:sz w:val="20"/>
                <w:szCs w:val="20"/>
                <w:color w:val="auto"/>
              </w:rPr>
            </w:pPr>
            <w:r>
              <w:rPr>
                <w:rFonts w:ascii="Arial" w:cs="Arial" w:eastAsia="Arial" w:hAnsi="Arial"/>
                <w:sz w:val="18"/>
                <w:szCs w:val="18"/>
                <w:color w:val="auto"/>
              </w:rPr>
              <w:t>Expected term</w:t>
            </w:r>
          </w:p>
        </w:tc>
        <w:tc>
          <w:tcPr>
            <w:tcW w:w="680" w:type="dxa"/>
            <w:vAlign w:val="bottom"/>
          </w:tcPr>
          <w:p>
            <w:pPr>
              <w:jc w:val="right"/>
              <w:spacing w:after="0"/>
              <w:rPr>
                <w:sz w:val="20"/>
                <w:szCs w:val="20"/>
                <w:color w:val="auto"/>
              </w:rPr>
            </w:pPr>
            <w:r>
              <w:rPr>
                <w:rFonts w:ascii="Arial" w:cs="Arial" w:eastAsia="Arial" w:hAnsi="Arial"/>
                <w:sz w:val="18"/>
                <w:szCs w:val="18"/>
                <w:color w:val="auto"/>
              </w:rPr>
              <w:t>0.93</w:t>
            </w:r>
          </w:p>
        </w:tc>
        <w:tc>
          <w:tcPr>
            <w:tcW w:w="200" w:type="dxa"/>
            <w:vAlign w:val="bottom"/>
          </w:tcPr>
          <w:p>
            <w:pPr>
              <w:spacing w:after="0"/>
              <w:rPr>
                <w:sz w:val="18"/>
                <w:szCs w:val="18"/>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1"/>
        </w:trPr>
        <w:tc>
          <w:tcPr>
            <w:tcW w:w="7060" w:type="dxa"/>
            <w:vAlign w:val="bottom"/>
          </w:tcPr>
          <w:p>
            <w:pPr>
              <w:spacing w:after="0"/>
              <w:rPr>
                <w:sz w:val="20"/>
                <w:szCs w:val="20"/>
                <w:color w:val="auto"/>
              </w:rPr>
            </w:pPr>
            <w:r>
              <w:rPr>
                <w:rFonts w:ascii="Arial" w:cs="Arial" w:eastAsia="Arial" w:hAnsi="Arial"/>
                <w:sz w:val="18"/>
                <w:szCs w:val="18"/>
                <w:color w:val="auto"/>
              </w:rPr>
              <w:t>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62.84</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Yield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disaggregation of revenues:</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326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dollars in thousands)</w:t>
            </w:r>
          </w:p>
        </w:tc>
        <w:tc>
          <w:tcPr>
            <w:tcW w:w="160" w:type="dxa"/>
            <w:vAlign w:val="bottom"/>
          </w:tcPr>
          <w:p>
            <w:pPr>
              <w:spacing w:after="0"/>
              <w:rPr>
                <w:sz w:val="14"/>
                <w:szCs w:val="14"/>
                <w:color w:val="auto"/>
              </w:rPr>
            </w:pP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Three Months Ended September 30,</w:t>
            </w:r>
          </w:p>
        </w:tc>
        <w:tc>
          <w:tcPr>
            <w:tcW w:w="2260" w:type="dxa"/>
            <w:vAlign w:val="bottom"/>
            <w:gridSpan w:val="6"/>
          </w:tcPr>
          <w:p>
            <w:pPr>
              <w:ind w:left="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38"/>
        </w:trPr>
        <w:tc>
          <w:tcPr>
            <w:tcW w:w="32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3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39"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39"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39"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Pfizer</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2,304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4,541</w:t>
            </w:r>
          </w:p>
        </w:tc>
        <w:tc>
          <w:tcPr>
            <w:tcW w:w="240" w:type="dxa"/>
            <w:vAlign w:val="bottom"/>
            <w:shd w:val="clear" w:color="auto" w:fill="CCEEFF"/>
          </w:tcPr>
          <w:p>
            <w:pPr>
              <w:jc w:val="right"/>
              <w:ind w:right="55"/>
              <w:spacing w:after="0" w:line="204"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7,972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11,279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Arial" w:cs="Arial" w:eastAsia="Arial" w:hAnsi="Arial"/>
                <w:sz w:val="18"/>
                <w:szCs w:val="18"/>
                <w:color w:val="auto"/>
              </w:rPr>
              <w:t>Brazil</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2,320</w:t>
            </w:r>
          </w:p>
        </w:tc>
        <w:tc>
          <w:tcPr>
            <w:tcW w:w="4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1,708</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5,120</w:t>
            </w:r>
          </w:p>
        </w:tc>
        <w:tc>
          <w:tcPr>
            <w:tcW w:w="4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Chiesi</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4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17,217</w:t>
            </w:r>
          </w:p>
        </w:tc>
        <w:tc>
          <w:tcPr>
            <w:tcW w:w="4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tcPr>
          <w:p>
            <w:pPr>
              <w:spacing w:after="0" w:line="204" w:lineRule="exact"/>
              <w:rPr>
                <w:sz w:val="20"/>
                <w:szCs w:val="20"/>
                <w:color w:val="auto"/>
              </w:rPr>
            </w:pPr>
            <w:r>
              <w:rPr>
                <w:rFonts w:ascii="Arial" w:cs="Arial" w:eastAsia="Arial" w:hAnsi="Arial"/>
                <w:sz w:val="18"/>
                <w:szCs w:val="18"/>
                <w:color w:val="auto"/>
              </w:rPr>
              <w:t>Total revenues from selling goods</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10,168</w:t>
            </w:r>
          </w:p>
        </w:tc>
        <w:tc>
          <w:tcPr>
            <w:tcW w:w="2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8,812</w:t>
            </w:r>
          </w:p>
        </w:tc>
        <w:tc>
          <w:tcPr>
            <w:tcW w:w="240" w:type="dxa"/>
            <w:vAlign w:val="bottom"/>
            <w:tcBorders>
              <w:top w:val="single" w:sz="8" w:color="auto"/>
              <w:bottom w:val="single" w:sz="8" w:color="auto"/>
            </w:tcBorders>
          </w:tcPr>
          <w:p>
            <w:pPr>
              <w:jc w:val="right"/>
              <w:ind w:right="55"/>
              <w:spacing w:after="0" w:line="204"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30,309</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21,222</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2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7"/>
              </w:rPr>
              <w:t>Revenues from license and R&amp;D services</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177</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5,371</w:t>
            </w:r>
          </w:p>
        </w:tc>
        <w:tc>
          <w:tcPr>
            <w:tcW w:w="240" w:type="dxa"/>
            <w:vAlign w:val="bottom"/>
            <w:tcBorders>
              <w:bottom w:val="single" w:sz="8" w:color="auto"/>
            </w:tcBorders>
            <w:shd w:val="clear" w:color="auto" w:fill="CCEEFF"/>
          </w:tcPr>
          <w:p>
            <w:pPr>
              <w:jc w:val="right"/>
              <w:ind w:right="55"/>
              <w:spacing w:after="0" w:line="19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24,699</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17,799</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 TRANSACTIONS</w:t>
      </w:r>
    </w:p>
    <w:p>
      <w:pPr>
        <w:spacing w:after="0" w:line="189" w:lineRule="exact"/>
        <w:rPr>
          <w:sz w:val="20"/>
          <w:szCs w:val="20"/>
          <w:color w:val="auto"/>
        </w:rPr>
      </w:pPr>
    </w:p>
    <w:p>
      <w:pPr>
        <w:ind w:left="1300" w:hanging="63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Capital</w:t>
      </w:r>
    </w:p>
    <w:p>
      <w:pPr>
        <w:spacing w:after="0" w:line="221" w:lineRule="exact"/>
        <w:rPr>
          <w:sz w:val="20"/>
          <w:szCs w:val="20"/>
          <w:color w:val="auto"/>
        </w:rPr>
      </w:pPr>
    </w:p>
    <w:p>
      <w:pPr>
        <w:ind w:left="1280"/>
        <w:spacing w:after="0" w:line="287" w:lineRule="auto"/>
        <w:rPr>
          <w:sz w:val="20"/>
          <w:szCs w:val="20"/>
          <w:color w:val="auto"/>
        </w:rPr>
      </w:pPr>
      <w:r>
        <w:rPr>
          <w:rFonts w:ascii="Arial" w:cs="Arial" w:eastAsia="Arial" w:hAnsi="Arial"/>
          <w:sz w:val="16"/>
          <w:szCs w:val="16"/>
          <w:color w:val="auto"/>
        </w:rPr>
        <w:t>On June 28, 2023, the Company held its 2023 Annual Meeting of Stockholders, which was adjourned and reconvened on July 13, 2023 (the “Annual Meeting”). At the Annual Meeting, the Company’s stockholders, among other matters, approved an amendment to the Company’s Certificate of Incorporation, as amended, to increase the number of shares of Common Stock authorized for issuance from 144,000,000 to 185,000,000 (the “Charter Amendment”). The Charter Amendment was filed with the Secretary of State of the State of Delaware on July 25, 2023.</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800"/>
          </w:cols>
          <w:pgMar w:left="980" w:top="655" w:right="11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left="1000" w:right="2060"/>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2" w:lineRule="exact"/>
        <w:rPr>
          <w:sz w:val="20"/>
          <w:szCs w:val="20"/>
          <w:color w:val="auto"/>
        </w:rPr>
      </w:pPr>
    </w:p>
    <w:p>
      <w:pPr>
        <w:ind w:left="1300" w:hanging="63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At-the-Market (ATM) Offering</w:t>
      </w:r>
    </w:p>
    <w:p>
      <w:pPr>
        <w:spacing w:after="0" w:line="22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During the nine months ended September 30, 2023, the Company sold, in the aggregate, 12,560,150 shares of Common</w:t>
      </w:r>
    </w:p>
    <w:p>
      <w:pPr>
        <w:spacing w:after="0" w:line="3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Stock under the 2023 Sales Agreement. The Company generated aggregate gross proceeds equal to approximately</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$24.9 million in connection with such sales. All such sales were completed during the quarters ended March 31, 2023 and</w:t>
      </w:r>
    </w:p>
    <w:p>
      <w:pPr>
        <w:spacing w:after="0" w:line="2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June 30, 2023. No sales were completed during the three-months ended September 30, 2023.</w:t>
      </w:r>
    </w:p>
    <w:p>
      <w:pPr>
        <w:spacing w:after="0" w:line="197" w:lineRule="exact"/>
        <w:rPr>
          <w:sz w:val="20"/>
          <w:szCs w:val="20"/>
          <w:color w:val="auto"/>
        </w:rPr>
      </w:pPr>
    </w:p>
    <w:p>
      <w:pPr>
        <w:ind w:left="1280" w:hanging="641"/>
        <w:spacing w:after="0"/>
        <w:tabs>
          <w:tab w:leader="none" w:pos="1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Warrants</w:t>
      </w:r>
    </w:p>
    <w:p>
      <w:pPr>
        <w:spacing w:after="0" w:line="221" w:lineRule="exact"/>
        <w:rPr>
          <w:rFonts w:ascii="Arial" w:cs="Arial" w:eastAsia="Arial" w:hAnsi="Arial"/>
          <w:sz w:val="18"/>
          <w:szCs w:val="18"/>
          <w:b w:val="1"/>
          <w:bCs w:val="1"/>
          <w:color w:val="auto"/>
        </w:rPr>
      </w:pPr>
    </w:p>
    <w:p>
      <w:pPr>
        <w:ind w:left="1280" w:right="60"/>
        <w:spacing w:after="0" w:line="300" w:lineRule="auto"/>
        <w:rPr>
          <w:rFonts w:ascii="Arial" w:cs="Arial" w:eastAsia="Arial" w:hAnsi="Arial"/>
          <w:sz w:val="18"/>
          <w:szCs w:val="18"/>
          <w:b w:val="1"/>
          <w:bCs w:val="1"/>
          <w:color w:val="auto"/>
        </w:rPr>
      </w:pPr>
      <w:r>
        <w:rPr>
          <w:rFonts w:ascii="Arial" w:cs="Arial" w:eastAsia="Arial" w:hAnsi="Arial"/>
          <w:sz w:val="16"/>
          <w:szCs w:val="16"/>
          <w:color w:val="auto"/>
        </w:rPr>
        <w:t>On May 8, 2023, the Company issued 301,810 shares of Common Stock in connection with the cash exercise of a warrant issued on March 18, 2020, as part of the Company’s private placement of Common Stock and warrants. The Company generated net proceeds equal to $0.7 million from the exercise of the warrant.</w:t>
      </w:r>
    </w:p>
    <w:p>
      <w:pPr>
        <w:spacing w:after="0" w:line="154" w:lineRule="exact"/>
        <w:rPr>
          <w:rFonts w:ascii="Arial" w:cs="Arial" w:eastAsia="Arial" w:hAnsi="Arial"/>
          <w:sz w:val="18"/>
          <w:szCs w:val="18"/>
          <w:b w:val="1"/>
          <w:bCs w:val="1"/>
          <w:color w:val="auto"/>
        </w:rPr>
      </w:pPr>
    </w:p>
    <w:p>
      <w:pPr>
        <w:ind w:left="1280" w:right="280"/>
        <w:spacing w:after="0" w:line="300" w:lineRule="auto"/>
        <w:rPr>
          <w:rFonts w:ascii="Arial" w:cs="Arial" w:eastAsia="Arial" w:hAnsi="Arial"/>
          <w:sz w:val="18"/>
          <w:szCs w:val="18"/>
          <w:b w:val="1"/>
          <w:bCs w:val="1"/>
          <w:color w:val="auto"/>
        </w:rPr>
      </w:pPr>
      <w:r>
        <w:rPr>
          <w:rFonts w:ascii="Arial" w:cs="Arial" w:eastAsia="Arial" w:hAnsi="Arial"/>
          <w:sz w:val="16"/>
          <w:szCs w:val="16"/>
          <w:color w:val="auto"/>
        </w:rPr>
        <w:t>On May 10, 2023, the Company issued 237,012 shares of Common Stock in connection with the cashless exercise of a warrant to purchase 845,000 shares of Common Stock issued on March 18, 2020, as part of the Company’s private placement of Common Stock and warrants. The Company did not generate any proceeds from the cashless exercise.</w:t>
      </w:r>
    </w:p>
    <w:p>
      <w:pPr>
        <w:spacing w:after="0" w:line="154"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No warrants were exercised during the three months ended September 30, 2023.</w:t>
      </w:r>
    </w:p>
    <w:p>
      <w:pPr>
        <w:spacing w:after="0" w:line="209" w:lineRule="exact"/>
        <w:rPr>
          <w:rFonts w:ascii="Arial" w:cs="Arial" w:eastAsia="Arial" w:hAnsi="Arial"/>
          <w:sz w:val="18"/>
          <w:szCs w:val="18"/>
          <w:b w:val="1"/>
          <w:bCs w:val="1"/>
          <w:color w:val="auto"/>
        </w:rPr>
      </w:pPr>
    </w:p>
    <w:p>
      <w:pPr>
        <w:ind w:left="1280" w:hanging="641"/>
        <w:spacing w:after="0"/>
        <w:tabs>
          <w:tab w:leader="none" w:pos="1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2024 Notes</w:t>
      </w:r>
    </w:p>
    <w:p>
      <w:pPr>
        <w:spacing w:after="0" w:line="221" w:lineRule="exact"/>
        <w:rPr>
          <w:rFonts w:ascii="Arial" w:cs="Arial" w:eastAsia="Arial" w:hAnsi="Arial"/>
          <w:sz w:val="18"/>
          <w:szCs w:val="18"/>
          <w:b w:val="1"/>
          <w:bCs w:val="1"/>
          <w:color w:val="auto"/>
        </w:rPr>
      </w:pPr>
    </w:p>
    <w:p>
      <w:pPr>
        <w:ind w:left="1280" w:right="1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During the nine months ended September 30, 2023, the Company issued, in the aggregate, 4,691,623 shares of Common Stock in connection with the conversions of 2024 Notes. In connection with such conversions, during the nine months ended September 30, 2023, the Company paid to the converting holders $0.9 million representing cash payments due to accrued but unpaid interest, make-whole interest payments and payments in lieu of fractional shares. As a result of the conversions, the total principal amount of the 2024 Notes decreased by approximately $8.3 million.</w:t>
      </w:r>
    </w:p>
    <w:p>
      <w:pPr>
        <w:spacing w:after="0" w:line="166"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No 2024 Notes were converted during the three months ended September 30, 2023.</w:t>
      </w:r>
    </w:p>
    <w:p>
      <w:pPr>
        <w:spacing w:after="0" w:line="209" w:lineRule="exact"/>
        <w:rPr>
          <w:rFonts w:ascii="Arial" w:cs="Arial" w:eastAsia="Arial" w:hAnsi="Arial"/>
          <w:sz w:val="18"/>
          <w:szCs w:val="18"/>
          <w:b w:val="1"/>
          <w:bCs w:val="1"/>
          <w:color w:val="auto"/>
        </w:rPr>
      </w:pPr>
    </w:p>
    <w:p>
      <w:pPr>
        <w:ind w:left="1280" w:hanging="641"/>
        <w:spacing w:after="0"/>
        <w:tabs>
          <w:tab w:leader="none" w:pos="1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21" w:lineRule="exact"/>
        <w:rPr>
          <w:rFonts w:ascii="Arial" w:cs="Arial" w:eastAsia="Arial" w:hAnsi="Arial"/>
          <w:sz w:val="18"/>
          <w:szCs w:val="18"/>
          <w:b w:val="1"/>
          <w:bCs w:val="1"/>
          <w:color w:val="auto"/>
        </w:rPr>
      </w:pPr>
    </w:p>
    <w:p>
      <w:pPr>
        <w:ind w:left="1940" w:right="240" w:hanging="641"/>
        <w:spacing w:after="0" w:line="292" w:lineRule="auto"/>
        <w:tabs>
          <w:tab w:leader="none" w:pos="1940" w:val="left"/>
        </w:tabs>
        <w:numPr>
          <w:ilvl w:val="2"/>
          <w:numId w:val="10"/>
        </w:numPr>
        <w:rPr>
          <w:rFonts w:ascii="Arial" w:cs="Arial" w:eastAsia="Arial" w:hAnsi="Arial"/>
          <w:sz w:val="16"/>
          <w:szCs w:val="16"/>
          <w:color w:val="auto"/>
        </w:rPr>
      </w:pPr>
      <w:r>
        <w:rPr>
          <w:rFonts w:ascii="Arial" w:cs="Arial" w:eastAsia="Arial" w:hAnsi="Arial"/>
          <w:sz w:val="16"/>
          <w:szCs w:val="16"/>
          <w:color w:val="auto"/>
        </w:rPr>
        <w:t>On June 28, 2023, at the Annual Meeting, the Company’s stockholders, among other matters, adopted amendments to the Company’s Amended and Restated 2006 Employee Stock Incentive Plan, as amended (the “Plan”) to increase the number of shares of Common Stock available under Plan from 8,475,171 shares to 12,475,171 shares and to amend certain other terms of the Plan.</w:t>
      </w:r>
    </w:p>
    <w:p>
      <w:pPr>
        <w:spacing w:after="0" w:line="159" w:lineRule="exact"/>
        <w:rPr>
          <w:rFonts w:ascii="Arial" w:cs="Arial" w:eastAsia="Arial" w:hAnsi="Arial"/>
          <w:sz w:val="16"/>
          <w:szCs w:val="16"/>
          <w:color w:val="auto"/>
        </w:rPr>
      </w:pPr>
    </w:p>
    <w:p>
      <w:pPr>
        <w:ind w:left="1940" w:hanging="641"/>
        <w:spacing w:after="0" w:line="285" w:lineRule="auto"/>
        <w:tabs>
          <w:tab w:leader="none" w:pos="1940" w:val="left"/>
        </w:tabs>
        <w:numPr>
          <w:ilvl w:val="2"/>
          <w:numId w:val="10"/>
        </w:numPr>
        <w:rPr>
          <w:rFonts w:ascii="Arial" w:cs="Arial" w:eastAsia="Arial" w:hAnsi="Arial"/>
          <w:sz w:val="16"/>
          <w:szCs w:val="16"/>
          <w:color w:val="auto"/>
        </w:rPr>
      </w:pPr>
      <w:r>
        <w:rPr>
          <w:rFonts w:ascii="Arial" w:cs="Arial" w:eastAsia="Arial" w:hAnsi="Arial"/>
          <w:sz w:val="16"/>
          <w:szCs w:val="16"/>
          <w:color w:val="auto"/>
        </w:rPr>
        <w:t>On August 15, 2023, the Company granted, with the approval of the Company’s compensation committee, 1,371,362 shares of restricted Common Stock, in the aggregate, to certain of the Company’s officers under the Plan. Of such grants, 200,000 shares of restricted Common Stock vested upon grant, 600,000 shares of restricted Common Stock vest over a two-year period in eight equal quarterly increments and the remaining 571,362 shares of restricted Common Stock vest over a three-year period in 12 equal quarterly increments. The Company estimated the fair value of the restricted stock on the date of grant to be approximately $2.7 million.</w:t>
      </w:r>
    </w:p>
    <w:p>
      <w:pPr>
        <w:spacing w:after="0" w:line="166" w:lineRule="exact"/>
        <w:rPr>
          <w:rFonts w:ascii="Arial" w:cs="Arial" w:eastAsia="Arial" w:hAnsi="Arial"/>
          <w:sz w:val="16"/>
          <w:szCs w:val="16"/>
          <w:color w:val="auto"/>
        </w:rPr>
      </w:pPr>
    </w:p>
    <w:p>
      <w:pPr>
        <w:ind w:left="1900" w:right="20" w:hanging="628"/>
        <w:spacing w:after="0" w:line="282" w:lineRule="auto"/>
        <w:tabs>
          <w:tab w:leader="none" w:pos="1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On August 15, 2023, the Company granted, with the approval of the Company’s compensation committee, 10-year options to purchase 1,056,315 shares of Common Stock, in the aggregate, to certain of the Company’s officers and other employees under the Plan. The options have an exercise price equal to $1.99 per share and vest over a three-year period in 12 equal quarterly increments. Vesting of the options granted to executive officers is subject to automatic acceleration in full upon a Corporate Transaction or a Change in Control, as those terms are defined in the Plan, and are subject to certain other terms and conditions. The Company estimated the aggregate fair value of the options on the date of grant using the Black-Scholes option-pricing model to be approximately $1.5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00"/>
          </w:cols>
          <w:pgMar w:left="980" w:top="655" w:right="10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8" w:lineRule="exact"/>
        <w:rPr>
          <w:sz w:val="20"/>
          <w:szCs w:val="20"/>
          <w:color w:val="auto"/>
        </w:rPr>
      </w:pPr>
    </w:p>
    <w:p>
      <w:pPr>
        <w:ind w:left="1900"/>
        <w:spacing w:after="0" w:line="283" w:lineRule="auto"/>
        <w:rPr>
          <w:sz w:val="20"/>
          <w:szCs w:val="20"/>
          <w:color w:val="auto"/>
        </w:rPr>
      </w:pPr>
      <w:r>
        <w:rPr>
          <w:rFonts w:ascii="Arial" w:cs="Arial" w:eastAsia="Arial" w:hAnsi="Arial"/>
          <w:sz w:val="16"/>
          <w:szCs w:val="16"/>
          <w:color w:val="auto"/>
        </w:rPr>
        <w:t>On September 14, 2023, the Company granted, with the approval of the Company’s compensation committee, 10-year options to purchase 85,715 shares of Common Stock, in the aggregate, to the new Chairman of the Company’s Board of Directors under the Plan. The options have an exercise price equal to $1.75 per share and vest over a three-year period in 12 equal quarterly increments. Vesting of the options is subject to automatic acceleration in full upon a Corporate Transaction or a Change in Control, as those terms are defined in the Plan, and are subject to certain other terms and conditions. The Company estimated the aggregate fair value of the options on the date of grant using the Black-Scholes option-pricing model to be approximately $0.1 million.</w:t>
      </w:r>
    </w:p>
    <w:p>
      <w:pPr>
        <w:spacing w:after="0" w:line="170" w:lineRule="exact"/>
        <w:rPr>
          <w:sz w:val="20"/>
          <w:szCs w:val="20"/>
          <w:color w:val="auto"/>
        </w:rPr>
      </w:pPr>
    </w:p>
    <w:p>
      <w:pPr>
        <w:ind w:left="1900"/>
        <w:spacing w:after="0" w:line="282" w:lineRule="auto"/>
        <w:rPr>
          <w:sz w:val="20"/>
          <w:szCs w:val="20"/>
          <w:color w:val="auto"/>
        </w:rPr>
      </w:pPr>
      <w:r>
        <w:rPr>
          <w:rFonts w:ascii="Arial" w:cs="Arial" w:eastAsia="Arial" w:hAnsi="Arial"/>
          <w:sz w:val="16"/>
          <w:szCs w:val="16"/>
          <w:color w:val="auto"/>
        </w:rPr>
        <w:t>On September 29, 2023, the Company granted, with the approval of the Company’s compensation committee, 10-year options to purchase 308,380 shares of Common Stock, in the aggregate, to the non-executive directors of the Company’s Board of Directors, other than the Chairman, under the Plan. The options have an exercise price equal to $1.66 per share and vest over a three-year period in 12 equal quarterly increments. Vesting of the options is subject to automatic acceleration in full upon a Corporate Transaction or a Change in Control, as those terms are defined in the Plan, and are subject to certain other terms and conditions. The Company estimated the aggregate fair value of the options on the date of grant using the Black-Scholes option-pricing model to be approximately $0.4 million.</w:t>
      </w:r>
    </w:p>
    <w:p>
      <w:pPr>
        <w:spacing w:after="0" w:line="170" w:lineRule="exact"/>
        <w:rPr>
          <w:sz w:val="20"/>
          <w:szCs w:val="20"/>
          <w:color w:val="auto"/>
        </w:rPr>
      </w:pPr>
    </w:p>
    <w:p>
      <w:pPr>
        <w:ind w:left="1900" w:right="20"/>
        <w:spacing w:after="0" w:line="328" w:lineRule="auto"/>
        <w:rPr>
          <w:sz w:val="20"/>
          <w:szCs w:val="20"/>
          <w:color w:val="auto"/>
        </w:rPr>
      </w:pPr>
      <w:r>
        <w:rPr>
          <w:rFonts w:ascii="Arial" w:cs="Arial" w:eastAsia="Arial" w:hAnsi="Arial"/>
          <w:sz w:val="15"/>
          <w:szCs w:val="15"/>
          <w:color w:val="auto"/>
        </w:rPr>
        <w:t>The fair value of each option granted during the three-month period ended September 30, 2023 is estimated at the date of grant using the Black-Scholes option-pricing model. The following weighted average assumptions were applied in determining the fair value of the options described in this Note 5(e)(3) on their respective grant dates: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grants date fair value (USD)</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r>
      <w:tr>
        <w:trPr>
          <w:trHeight w:val="211"/>
        </w:trPr>
        <w:tc>
          <w:tcPr>
            <w:tcW w:w="5280" w:type="dxa"/>
            <w:vAlign w:val="bottom"/>
          </w:tcPr>
          <w:p>
            <w:pPr>
              <w:spacing w:after="0"/>
              <w:rPr>
                <w:sz w:val="20"/>
                <w:szCs w:val="20"/>
                <w:color w:val="auto"/>
              </w:rPr>
            </w:pPr>
            <w:r>
              <w:rPr>
                <w:rFonts w:ascii="Arial" w:cs="Arial" w:eastAsia="Arial" w:hAnsi="Arial"/>
                <w:sz w:val="18"/>
                <w:szCs w:val="18"/>
                <w:color w:val="auto"/>
              </w:rPr>
              <w:t>Exercise price (USD)</w:t>
            </w:r>
          </w:p>
        </w:tc>
        <w:tc>
          <w:tcPr>
            <w:tcW w:w="242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5280" w:type="dxa"/>
            <w:vAlign w:val="bottom"/>
          </w:tcPr>
          <w:p>
            <w:pPr>
              <w:spacing w:after="0"/>
              <w:rPr>
                <w:sz w:val="20"/>
                <w:szCs w:val="20"/>
                <w:color w:val="auto"/>
              </w:rPr>
            </w:pPr>
            <w:r>
              <w:rPr>
                <w:rFonts w:ascii="Arial" w:cs="Arial" w:eastAsia="Arial" w:hAnsi="Arial"/>
                <w:sz w:val="18"/>
                <w:szCs w:val="18"/>
                <w:color w:val="auto"/>
              </w:rPr>
              <w:t>Volatility</w:t>
            </w:r>
          </w:p>
        </w:tc>
        <w:tc>
          <w:tcPr>
            <w:tcW w:w="2420" w:type="dxa"/>
            <w:vAlign w:val="bottom"/>
          </w:tcPr>
          <w:p>
            <w:pPr>
              <w:jc w:val="right"/>
              <w:spacing w:after="0"/>
              <w:rPr>
                <w:sz w:val="20"/>
                <w:szCs w:val="20"/>
                <w:color w:val="auto"/>
              </w:rPr>
            </w:pPr>
            <w:r>
              <w:rPr>
                <w:rFonts w:ascii="Arial" w:cs="Arial" w:eastAsia="Arial" w:hAnsi="Arial"/>
                <w:sz w:val="18"/>
                <w:szCs w:val="18"/>
                <w:color w:val="auto"/>
              </w:rPr>
              <w:t>79.40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Expected life (Years)</w:t>
            </w:r>
          </w:p>
        </w:tc>
        <w:tc>
          <w:tcPr>
            <w:tcW w:w="2420" w:type="dxa"/>
            <w:vAlign w:val="bottom"/>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EARNINGS (LOSS) PER SHARE</w:t>
      </w:r>
    </w:p>
    <w:p>
      <w:pPr>
        <w:spacing w:after="0" w:line="221" w:lineRule="exact"/>
        <w:rPr>
          <w:sz w:val="20"/>
          <w:szCs w:val="20"/>
          <w:color w:val="auto"/>
        </w:rPr>
      </w:pPr>
    </w:p>
    <w:p>
      <w:pPr>
        <w:ind w:left="640" w:right="660"/>
        <w:spacing w:after="0" w:line="262" w:lineRule="auto"/>
        <w:rPr>
          <w:sz w:val="20"/>
          <w:szCs w:val="20"/>
          <w:color w:val="auto"/>
        </w:rPr>
      </w:pPr>
      <w:r>
        <w:rPr>
          <w:rFonts w:ascii="Arial" w:cs="Arial" w:eastAsia="Arial" w:hAnsi="Arial"/>
          <w:sz w:val="18"/>
          <w:szCs w:val="18"/>
          <w:color w:val="auto"/>
        </w:rPr>
        <w:t>Basic earnings (loss) per share is calculated by dividing the net income (loss) by the weighted average number of shares of Common Stock outstanding during each period.</w:t>
      </w:r>
    </w:p>
    <w:p>
      <w:pPr>
        <w:spacing w:after="0" w:line="142" w:lineRule="exact"/>
        <w:rPr>
          <w:sz w:val="20"/>
          <w:szCs w:val="20"/>
          <w:color w:val="auto"/>
        </w:rPr>
      </w:pPr>
    </w:p>
    <w:p>
      <w:pPr>
        <w:ind w:left="640" w:right="220"/>
        <w:spacing w:after="0" w:line="253" w:lineRule="auto"/>
        <w:rPr>
          <w:sz w:val="20"/>
          <w:szCs w:val="20"/>
          <w:color w:val="auto"/>
        </w:rPr>
      </w:pPr>
      <w:r>
        <w:rPr>
          <w:rFonts w:ascii="Arial" w:cs="Arial" w:eastAsia="Arial" w:hAnsi="Arial"/>
          <w:sz w:val="18"/>
          <w:szCs w:val="18"/>
          <w:color w:val="auto"/>
        </w:rPr>
        <w:t>Diluted earnings per share is calculated by dividing the net income by the weighted-average number of shares of Common Stock outstanding during each period increased to include the number of additional shares of Common Stock that would have been outstanding if the potentially dilutive shares had been issued.</w:t>
      </w:r>
    </w:p>
    <w:p>
      <w:pPr>
        <w:spacing w:after="0" w:line="163" w:lineRule="exact"/>
        <w:rPr>
          <w:sz w:val="20"/>
          <w:szCs w:val="20"/>
          <w:color w:val="auto"/>
        </w:rPr>
      </w:pPr>
    </w:p>
    <w:p>
      <w:pPr>
        <w:ind w:left="640" w:right="140"/>
        <w:spacing w:after="0" w:line="250" w:lineRule="auto"/>
        <w:rPr>
          <w:sz w:val="20"/>
          <w:szCs w:val="20"/>
          <w:color w:val="auto"/>
        </w:rPr>
      </w:pPr>
      <w:r>
        <w:rPr>
          <w:rFonts w:ascii="Arial" w:cs="Arial" w:eastAsia="Arial" w:hAnsi="Arial"/>
          <w:sz w:val="18"/>
          <w:szCs w:val="18"/>
          <w:color w:val="auto"/>
        </w:rPr>
        <w:t>In computing diluted earnings per share, basic earnings per share are adjusted to take into account the potential dilution that could occur upon: (i) the exercise of options granted under employee stock compensation plans using the treasury stock method; (ii) the exercise of warrants using the treasury stock method; and (iii) the conversion of the convertible notes using the “if-converted” method.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left="1020" w:right="2040"/>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Basic and diluted net earnings (loss) per share attributable to common stockholders were calculated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2"/>
              </w:rPr>
              <w:t>Three Months Ended September 30,</w:t>
            </w:r>
          </w:p>
        </w:tc>
        <w:tc>
          <w:tcPr>
            <w:tcW w:w="22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9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 except share data)</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r>
      <w:tr>
        <w:trPr>
          <w:trHeight w:val="204"/>
        </w:trPr>
        <w:tc>
          <w:tcPr>
            <w:tcW w:w="30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1"/>
        </w:trPr>
        <w:tc>
          <w:tcPr>
            <w:tcW w:w="302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(3,567)$</w:t>
            </w:r>
          </w:p>
        </w:tc>
        <w:tc>
          <w:tcPr>
            <w:tcW w:w="960" w:type="dxa"/>
            <w:vAlign w:val="bottom"/>
          </w:tcPr>
          <w:p>
            <w:pPr>
              <w:jc w:val="right"/>
              <w:spacing w:after="0"/>
              <w:rPr>
                <w:sz w:val="20"/>
                <w:szCs w:val="20"/>
                <w:color w:val="auto"/>
              </w:rPr>
            </w:pPr>
            <w:r>
              <w:rPr>
                <w:rFonts w:ascii="Arial" w:cs="Arial" w:eastAsia="Arial" w:hAnsi="Arial"/>
                <w:sz w:val="18"/>
                <w:szCs w:val="18"/>
                <w:color w:val="auto"/>
              </w:rPr>
              <w:t>14,356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(11,187)</w:t>
            </w:r>
          </w:p>
        </w:tc>
      </w:tr>
      <w:tr>
        <w:trPr>
          <w:trHeight w:val="211"/>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3020" w:type="dxa"/>
            <w:vAlign w:val="bottom"/>
          </w:tcPr>
          <w:p>
            <w:pPr>
              <w:spacing w:after="0"/>
              <w:rPr>
                <w:sz w:val="20"/>
                <w:szCs w:val="20"/>
                <w:color w:val="auto"/>
              </w:rPr>
            </w:pPr>
            <w:r>
              <w:rPr>
                <w:rFonts w:ascii="Arial" w:cs="Arial" w:eastAsia="Arial" w:hAnsi="Arial"/>
                <w:sz w:val="18"/>
                <w:szCs w:val="18"/>
                <w:color w:val="auto"/>
              </w:rPr>
              <w:t>Financial expenses of 2024 Notes*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4"/>
        </w:trPr>
        <w:tc>
          <w:tcPr>
            <w:tcW w:w="302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w w:val="95"/>
              </w:rPr>
              <w:t>Net income (loss) for diluted calculation</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(3,618)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(3,567)$</w:t>
            </w:r>
          </w:p>
        </w:tc>
        <w:tc>
          <w:tcPr>
            <w:tcW w:w="9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12,746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(11,187)</w:t>
            </w: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ind w:left="1000"/>
        <w:spacing w:after="0"/>
        <w:rPr>
          <w:sz w:val="20"/>
          <w:szCs w:val="20"/>
          <w:color w:val="auto"/>
        </w:rPr>
      </w:pPr>
      <w:r>
        <w:rPr>
          <w:rFonts w:ascii="Arial" w:cs="Arial" w:eastAsia="Arial" w:hAnsi="Arial"/>
          <w:sz w:val="18"/>
          <w:szCs w:val="18"/>
          <w:color w:val="auto"/>
        </w:rPr>
        <w:t>Denominator:</w:t>
      </w:r>
    </w:p>
    <w:tbl>
      <w:tblPr>
        <w:tblLayout w:type="fixed"/>
        <w:tblInd w:w="1000" w:type="dxa"/>
        <w:tblCellMar>
          <w:top w:w="0" w:type="dxa"/>
          <w:left w:w="0" w:type="dxa"/>
          <w:bottom w:w="0" w:type="dxa"/>
          <w:right w:w="0" w:type="dxa"/>
        </w:tblCellMar>
      </w:tblPr>
      <w:tr>
        <w:trPr>
          <w:trHeight w:val="203"/>
        </w:trPr>
        <w:tc>
          <w:tcPr>
            <w:tcW w:w="3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Weighted average shares of Common Stock</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outstanding for basic calculation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72,281,681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49,498,105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65,811,506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47,582,733</w:t>
            </w:r>
          </w:p>
        </w:tc>
        <w:tc>
          <w:tcPr>
            <w:tcW w:w="0" w:type="dxa"/>
            <w:vAlign w:val="bottom"/>
          </w:tcPr>
          <w:p>
            <w:pPr>
              <w:spacing w:after="0"/>
              <w:rPr>
                <w:sz w:val="1"/>
                <w:szCs w:val="1"/>
                <w:color w:val="auto"/>
              </w:rPr>
            </w:pPr>
          </w:p>
        </w:tc>
      </w:tr>
      <w:tr>
        <w:trPr>
          <w:trHeight w:val="199"/>
        </w:trPr>
        <w:tc>
          <w:tcPr>
            <w:tcW w:w="3300" w:type="dxa"/>
            <w:vAlign w:val="bottom"/>
          </w:tcPr>
          <w:p>
            <w:pPr>
              <w:spacing w:after="0" w:line="199" w:lineRule="exact"/>
              <w:rPr>
                <w:sz w:val="20"/>
                <w:szCs w:val="20"/>
                <w:color w:val="auto"/>
              </w:rPr>
            </w:pPr>
            <w:r>
              <w:rPr>
                <w:rFonts w:ascii="Arial" w:cs="Arial" w:eastAsia="Arial" w:hAnsi="Arial"/>
                <w:sz w:val="18"/>
                <w:szCs w:val="18"/>
                <w:color w:val="auto"/>
              </w:rPr>
              <w:t>Weighted average dilutive effect of 2024</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Notes</w:t>
            </w:r>
          </w:p>
        </w:tc>
        <w:tc>
          <w:tcPr>
            <w:tcW w:w="1040" w:type="dxa"/>
            <w:vAlign w:val="bottom"/>
          </w:tcPr>
          <w:p>
            <w:pPr>
              <w:jc w:val="right"/>
              <w:spacing w:after="0"/>
              <w:rPr>
                <w:sz w:val="20"/>
                <w:szCs w:val="20"/>
                <w:color w:val="auto"/>
              </w:rPr>
            </w:pPr>
            <w:r>
              <w:rPr>
                <w:rFonts w:ascii="Arial" w:cs="Arial" w:eastAsia="Arial" w:hAnsi="Arial"/>
                <w:sz w:val="18"/>
                <w:szCs w:val="18"/>
                <w:color w:val="auto"/>
              </w:rPr>
              <w:t>11,500,998</w:t>
            </w: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13,981,660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Weighted average dilutive effect of stock</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1,247,115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300" w:type="dxa"/>
            <w:vAlign w:val="bottom"/>
          </w:tcPr>
          <w:p>
            <w:pPr>
              <w:spacing w:after="0" w:line="199" w:lineRule="exact"/>
              <w:rPr>
                <w:sz w:val="20"/>
                <w:szCs w:val="20"/>
                <w:color w:val="auto"/>
              </w:rPr>
            </w:pPr>
            <w:r>
              <w:rPr>
                <w:rFonts w:ascii="Arial" w:cs="Arial" w:eastAsia="Arial" w:hAnsi="Arial"/>
                <w:sz w:val="18"/>
                <w:szCs w:val="18"/>
                <w:color w:val="auto"/>
                <w:w w:val="92"/>
              </w:rPr>
              <w:t>Weighted average shares of Common Stock</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83,782,679</w:t>
            </w:r>
          </w:p>
        </w:tc>
        <w:tc>
          <w:tcPr>
            <w:tcW w:w="3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49,498,105</w:t>
            </w:r>
          </w:p>
        </w:tc>
        <w:tc>
          <w:tcPr>
            <w:tcW w:w="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81,040,281</w:t>
            </w:r>
          </w:p>
        </w:tc>
        <w:tc>
          <w:tcPr>
            <w:tcW w:w="3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47,582,733</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8"/>
                <w:szCs w:val="18"/>
                <w:color w:val="auto"/>
              </w:rPr>
              <w:t>outstanding for diluted calculation</w:t>
            </w:r>
          </w:p>
        </w:tc>
        <w:tc>
          <w:tcPr>
            <w:tcW w:w="104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960" w:right="120" w:hanging="4"/>
        <w:spacing w:after="0" w:line="282" w:lineRule="auto"/>
        <w:tabs>
          <w:tab w:leader="none" w:pos="1065"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Financial expenses on 2024 Notes consists of add back of financial expense incurred during the period and inclusion of make-whole interest payments that will be incurred upon conversion.</w:t>
      </w:r>
    </w:p>
    <w:p>
      <w:pPr>
        <w:spacing w:after="0" w:line="142" w:lineRule="exact"/>
        <w:rPr>
          <w:sz w:val="20"/>
          <w:szCs w:val="20"/>
          <w:color w:val="auto"/>
        </w:rPr>
      </w:pPr>
    </w:p>
    <w:p>
      <w:pPr>
        <w:ind w:left="640" w:right="40"/>
        <w:spacing w:after="0" w:line="253" w:lineRule="auto"/>
        <w:rPr>
          <w:sz w:val="20"/>
          <w:szCs w:val="20"/>
          <w:color w:val="auto"/>
        </w:rPr>
      </w:pPr>
      <w:r>
        <w:rPr>
          <w:rFonts w:ascii="Arial" w:cs="Arial" w:eastAsia="Arial" w:hAnsi="Arial"/>
          <w:sz w:val="18"/>
          <w:szCs w:val="18"/>
          <w:color w:val="auto"/>
        </w:rPr>
        <w:t>Diluted earnings (loss) per share do not include 19,429,910 and 18,399,260 shares of Common Stock underlying outstanding stock options and warrants of the Company for the three and nine months ended September 30, 2023, respectively, because the effect would be anti-dilutive.</w:t>
      </w:r>
    </w:p>
    <w:p>
      <w:pPr>
        <w:spacing w:after="0" w:line="150" w:lineRule="exact"/>
        <w:rPr>
          <w:sz w:val="20"/>
          <w:szCs w:val="20"/>
          <w:color w:val="auto"/>
        </w:rPr>
      </w:pPr>
    </w:p>
    <w:p>
      <w:pPr>
        <w:ind w:left="640" w:right="40"/>
        <w:spacing w:after="0" w:line="253" w:lineRule="auto"/>
        <w:rPr>
          <w:sz w:val="20"/>
          <w:szCs w:val="20"/>
          <w:color w:val="auto"/>
        </w:rPr>
      </w:pPr>
      <w:r>
        <w:rPr>
          <w:rFonts w:ascii="Arial" w:cs="Arial" w:eastAsia="Arial" w:hAnsi="Arial"/>
          <w:sz w:val="18"/>
          <w:szCs w:val="18"/>
          <w:color w:val="auto"/>
        </w:rPr>
        <w:t>Diluted earnings (loss) per share do not include 33,922,624 and 33,295,154 shares of Common Stock underlying outstanding stock options, warrants and the 2024 Notes for the three and nine months ended September 30, 2022, respectively, because the effect would be anti-dilutive.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TAXES ON INCOME</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taxes on income:</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5040" w:type="dxa"/>
            <w:vAlign w:val="bottom"/>
            <w:vMerge w:val="restart"/>
          </w:tcPr>
          <w:p>
            <w:pPr>
              <w:spacing w:after="0"/>
              <w:rPr>
                <w:sz w:val="20"/>
                <w:szCs w:val="20"/>
                <w:color w:val="auto"/>
              </w:rPr>
            </w:pPr>
            <w:r>
              <w:rPr>
                <w:rFonts w:ascii="Arial" w:cs="Arial" w:eastAsia="Arial" w:hAnsi="Arial"/>
                <w:sz w:val="14"/>
                <w:szCs w:val="14"/>
                <w:i w:val="1"/>
                <w:iCs w:val="1"/>
                <w:color w:val="auto"/>
              </w:rPr>
              <w:t>(U.S. dollars in thousands)</w:t>
            </w:r>
          </w:p>
        </w:tc>
        <w:tc>
          <w:tcPr>
            <w:tcW w:w="160" w:type="dxa"/>
            <w:vAlign w:val="bottom"/>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38"/>
        </w:trPr>
        <w:tc>
          <w:tcPr>
            <w:tcW w:w="50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2"/>
          </w:tcPr>
          <w:p>
            <w:pPr>
              <w:ind w:left="60"/>
              <w:spacing w:after="0" w:line="139" w:lineRule="exact"/>
              <w:rPr>
                <w:sz w:val="20"/>
                <w:szCs w:val="20"/>
                <w:color w:val="auto"/>
              </w:rPr>
            </w:pPr>
            <w:r>
              <w:rPr>
                <w:rFonts w:ascii="Arial" w:cs="Arial" w:eastAsia="Arial" w:hAnsi="Arial"/>
                <w:sz w:val="14"/>
                <w:szCs w:val="14"/>
                <w:b w:val="1"/>
                <w:bCs w:val="1"/>
                <w:color w:val="auto"/>
                <w:w w:val="94"/>
              </w:rPr>
              <w:t>September 30, 2023</w:t>
            </w:r>
          </w:p>
        </w:tc>
        <w:tc>
          <w:tcPr>
            <w:tcW w:w="14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w w:val="91"/>
              </w:rPr>
              <w:t>September 30, 2023</w:t>
            </w:r>
          </w:p>
        </w:tc>
        <w:tc>
          <w:tcPr>
            <w:tcW w:w="0" w:type="dxa"/>
            <w:vAlign w:val="bottom"/>
          </w:tcPr>
          <w:p>
            <w:pPr>
              <w:spacing w:after="0"/>
              <w:rPr>
                <w:sz w:val="1"/>
                <w:szCs w:val="1"/>
                <w:color w:val="auto"/>
              </w:rPr>
            </w:pPr>
          </w:p>
        </w:tc>
      </w:tr>
      <w:tr>
        <w:trPr>
          <w:trHeight w:val="204"/>
        </w:trPr>
        <w:tc>
          <w:tcPr>
            <w:tcW w:w="50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taxes on income</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11"/>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taxes on income</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4"/>
        </w:trPr>
        <w:tc>
          <w:tcPr>
            <w:tcW w:w="504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Total taxes on income</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40"/>
        <w:spacing w:after="0" w:line="285" w:lineRule="auto"/>
        <w:rPr>
          <w:sz w:val="20"/>
          <w:szCs w:val="20"/>
          <w:color w:val="auto"/>
        </w:rPr>
      </w:pPr>
      <w:r>
        <w:rPr>
          <w:rFonts w:ascii="Arial" w:cs="Arial" w:eastAsia="Arial" w:hAnsi="Arial"/>
          <w:sz w:val="16"/>
          <w:szCs w:val="16"/>
          <w:color w:val="auto"/>
        </w:rPr>
        <w:t>The Company had an effective tax rate of 4% for the nine months ended September 30, 2023, compared to an effective tax rate of 0% for the nine months ended September 30, 2022. For the nine months ended September 30, 2023, the difference between the Company’s effective tax rate and the U.S. federal statutory rate of 21% was the result of the provision for current taxes on income mainly derived from U.S. taxable GILTI income mainly in respect of milestone payments and Section 174 of the U.S. Tax Cuts and Jobs Act, which was enacted in December 2017 (the “TCJA”), partially offset by the release of the valuation allowance on net operating losses (NOLs) in the United States.</w:t>
      </w:r>
    </w:p>
    <w:p>
      <w:pPr>
        <w:spacing w:after="0" w:line="127" w:lineRule="exact"/>
        <w:rPr>
          <w:sz w:val="20"/>
          <w:szCs w:val="20"/>
          <w:color w:val="auto"/>
        </w:rPr>
      </w:pPr>
    </w:p>
    <w:p>
      <w:pPr>
        <w:ind w:left="640"/>
        <w:spacing w:after="0" w:line="278" w:lineRule="auto"/>
        <w:rPr>
          <w:sz w:val="20"/>
          <w:szCs w:val="20"/>
          <w:color w:val="auto"/>
        </w:rPr>
      </w:pPr>
      <w:r>
        <w:rPr>
          <w:rFonts w:ascii="Arial" w:cs="Arial" w:eastAsia="Arial" w:hAnsi="Arial"/>
          <w:sz w:val="16"/>
          <w:szCs w:val="16"/>
          <w:color w:val="auto"/>
        </w:rPr>
        <w:t>Following the regulatory approvals for Elfabrio in May 2023, the receipt of the $20.0 million milestone payment and the launch of Elfabrio in the United States, the Company released valuation allowance previously recorded on deferred tax assets in respect of its NOLs in the United States resulting in a net tax benefit of $3.1 million. The Company concluded that, based upon the preponderance of positive evidence over negative evidence and the anticipated ability to use the deferred tax assets, it was more likely than not that these deferred tax assets would be realizable due to forecasted profits. The Company considered the following:</w:t>
      </w:r>
    </w:p>
    <w:p>
      <w:pPr>
        <w:spacing w:after="0" w:line="1" w:lineRule="exact"/>
        <w:rPr>
          <w:sz w:val="20"/>
          <w:szCs w:val="20"/>
          <w:color w:val="auto"/>
        </w:rPr>
      </w:pPr>
    </w:p>
    <w:p>
      <w:pPr>
        <w:ind w:left="4880" w:right="2340" w:hanging="4241"/>
        <w:spacing w:after="0" w:line="249" w:lineRule="auto"/>
        <w:tabs>
          <w:tab w:leader="none" w:pos="8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cumulative profits for tax over the previous 12 quarters in its U.S. operations; (ii) the impact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629793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880"/>
          </w:cols>
          <w:pgMar w:left="980" w:top="655" w:right="10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left="1020" w:right="2040"/>
        <w:spacing w:after="0" w:line="262" w:lineRule="auto"/>
        <w:rPr>
          <w:sz w:val="20"/>
          <w:szCs w:val="20"/>
          <w:color w:val="auto"/>
        </w:rPr>
      </w:pPr>
      <w:r>
        <w:rPr>
          <w:rFonts w:ascii="Arial" w:cs="Arial" w:eastAsia="Arial" w:hAnsi="Arial"/>
          <w:sz w:val="18"/>
          <w:szCs w:val="18"/>
          <w:b w:val="1"/>
          <w:bCs w:val="1"/>
          <w:color w:val="auto"/>
        </w:rPr>
        <w:t xml:space="preserve">PROTALIX BIOTHERAPEUTICS, INC. NOTES TO CONDENSED CONSOLIDATED FINANCIAL STATEMENTS </w:t>
      </w:r>
      <w:r>
        <w:rPr>
          <w:rFonts w:ascii="Arial" w:cs="Arial" w:eastAsia="Arial" w:hAnsi="Arial"/>
          <w:sz w:val="18"/>
          <w:szCs w:val="18"/>
          <w:color w:val="auto"/>
        </w:rPr>
        <w:t>(Unaudited)</w:t>
      </w:r>
    </w:p>
    <w:p>
      <w:pPr>
        <w:spacing w:after="0" w:line="398" w:lineRule="exact"/>
        <w:rPr>
          <w:sz w:val="20"/>
          <w:szCs w:val="20"/>
          <w:color w:val="auto"/>
        </w:rPr>
      </w:pPr>
    </w:p>
    <w:p>
      <w:pPr>
        <w:ind w:left="640" w:right="220"/>
        <w:spacing w:after="0" w:line="325" w:lineRule="auto"/>
        <w:rPr>
          <w:sz w:val="20"/>
          <w:szCs w:val="20"/>
          <w:color w:val="auto"/>
        </w:rPr>
      </w:pPr>
      <w:r>
        <w:rPr>
          <w:rFonts w:ascii="Arial" w:cs="Arial" w:eastAsia="Arial" w:hAnsi="Arial"/>
          <w:sz w:val="16"/>
          <w:szCs w:val="16"/>
          <w:color w:val="auto"/>
        </w:rPr>
        <w:t>Section 174 of the TCJA which requires the Company to capitalize and amortize its research and development expenses over 15 years; and (iii) its forecasted profits in the United States following the regulatory approvals of Elfabrio.</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SUPPLEMENTARY FINANCIAL STATEMENT INFORMATION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Balance sheets: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5840" w:type="dxa"/>
            <w:vAlign w:val="bottom"/>
            <w:vMerge w:val="restart"/>
          </w:tcPr>
          <w:p>
            <w:pPr>
              <w:spacing w:after="0"/>
              <w:rPr>
                <w:sz w:val="20"/>
                <w:szCs w:val="20"/>
                <w:color w:val="auto"/>
              </w:rPr>
            </w:pPr>
            <w:r>
              <w:rPr>
                <w:rFonts w:ascii="Arial" w:cs="Arial" w:eastAsia="Arial" w:hAnsi="Arial"/>
                <w:sz w:val="14"/>
                <w:szCs w:val="14"/>
                <w:i w:val="1"/>
                <w:iCs w:val="1"/>
                <w:color w:val="auto"/>
              </w:rPr>
              <w:t>(U.S. dollars in thousands)</w:t>
            </w:r>
          </w:p>
        </w:tc>
        <w:tc>
          <w:tcPr>
            <w:tcW w:w="1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38"/>
        </w:trPr>
        <w:tc>
          <w:tcPr>
            <w:tcW w:w="58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39"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39"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4"/>
        </w:trPr>
        <w:tc>
          <w:tcPr>
            <w:tcW w:w="58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Accounts payable and accruals – other:</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Provision for vacation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Royalties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Reserve for deductions from revenue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suppliers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4"/>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18,740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12,271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1" w:lineRule="exact"/>
        <w:rPr>
          <w:sz w:val="20"/>
          <w:szCs w:val="20"/>
          <w:color w:val="auto"/>
        </w:rPr>
      </w:pPr>
    </w:p>
    <w:p>
      <w:pPr>
        <w:ind w:left="1280" w:hanging="64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4, 2023 the Company collected approximately $6.4 million from sales to Chiesi.</w:t>
      </w:r>
    </w:p>
    <w:p>
      <w:pPr>
        <w:spacing w:after="0" w:line="215" w:lineRule="exact"/>
        <w:rPr>
          <w:rFonts w:ascii="Arial" w:cs="Arial" w:eastAsia="Arial" w:hAnsi="Arial"/>
          <w:sz w:val="18"/>
          <w:szCs w:val="18"/>
          <w:color w:val="auto"/>
        </w:rPr>
      </w:pPr>
    </w:p>
    <w:p>
      <w:pPr>
        <w:ind w:left="1280" w:right="120" w:hanging="641"/>
        <w:spacing w:after="0" w:line="287"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15, 2023, the Company granted, with the approval of the Company’s compensation committee, 10-year options to purchase 250,000 shares of Common Stock to a new officer of the Company under the Plan. The options have an exercise price equal to $1.48 per share and vest over a three-year period in 12 equal quarterly increments. The Company estimated the aggregate fair value of the options on the date of grant using the Black-Scholes option-pricing model to be approximately $0.26 million.</w:t>
      </w:r>
    </w:p>
    <w:p>
      <w:pPr>
        <w:spacing w:after="0" w:line="166" w:lineRule="exact"/>
        <w:rPr>
          <w:rFonts w:ascii="Arial" w:cs="Arial" w:eastAsia="Arial" w:hAnsi="Arial"/>
          <w:sz w:val="16"/>
          <w:szCs w:val="16"/>
          <w:color w:val="auto"/>
        </w:rPr>
      </w:pPr>
    </w:p>
    <w:p>
      <w:pPr>
        <w:ind w:left="1280" w:hanging="641"/>
        <w:spacing w:after="0" w:line="279"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Because the Company's operations are conducted in the State of Israel, the business and operations may be directly affected by economic, political, geopolitical and military conditions in Israel. 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have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It is currently not possible to predict the duration or severity of the ongoing conflict or its effects on our business, operations and financial conditions. The ongoing conflict is rapidly evolving and developing, and could disrupt certain of our business and operations,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880"/>
          </w:cols>
          <w:pgMar w:left="980" w:top="655" w:right="10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RISK FACTORS SUMMARY</w:t>
      </w:r>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2022. Some of the information contained in this discussion and analysis, particularly with respect to our plans and strategy for our business and related financing, includes forward-looking statements within the meanings of Section 27A of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under “Risk Factors” in our Quarterly Report on Form 10-Q for the quarter ended June 30, 2023 and in this Quarterly Report on Form 10-Q.</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Examples of the risks and uncertainties include, but are not limited to, the following:</w:t>
      </w:r>
    </w:p>
    <w:p>
      <w:pPr>
        <w:spacing w:after="0" w:line="175" w:lineRule="exact"/>
        <w:rPr>
          <w:sz w:val="20"/>
          <w:szCs w:val="20"/>
          <w:color w:val="auto"/>
        </w:rPr>
      </w:pPr>
    </w:p>
    <w:p>
      <w:pPr>
        <w:ind w:left="1280" w:hanging="641"/>
        <w:spacing w:after="0"/>
        <w:tabs>
          <w:tab w:leader="none" w:pos="1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related to the commercialization of Elfabrio, our approved product for the treatment of adult patients with Fabry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disease;</w:t>
      </w:r>
    </w:p>
    <w:p>
      <w:pPr>
        <w:spacing w:after="0" w:line="177" w:lineRule="exact"/>
        <w:rPr>
          <w:sz w:val="20"/>
          <w:szCs w:val="20"/>
          <w:color w:val="auto"/>
        </w:rPr>
      </w:pPr>
    </w:p>
    <w:p>
      <w:pPr>
        <w:ind w:right="100" w:firstLine="639"/>
        <w:spacing w:after="0" w:line="262" w:lineRule="auto"/>
        <w:tabs>
          <w:tab w:leader="none" w:pos="12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relating to Elfabrio’s market acceptance, competition, reimbursement and regulatory actions, including as a result of the boxed warning contained in the FDA approval received for the product;</w:t>
      </w:r>
    </w:p>
    <w:p>
      <w:pPr>
        <w:spacing w:after="0" w:line="141" w:lineRule="exact"/>
        <w:rPr>
          <w:rFonts w:ascii="Arial" w:cs="Arial" w:eastAsia="Arial" w:hAnsi="Arial"/>
          <w:sz w:val="18"/>
          <w:szCs w:val="18"/>
          <w:color w:val="auto"/>
        </w:rPr>
      </w:pPr>
    </w:p>
    <w:p>
      <w:pPr>
        <w:ind w:right="160" w:firstLine="639"/>
        <w:spacing w:after="0" w:line="262" w:lineRule="auto"/>
        <w:tabs>
          <w:tab w:leader="none" w:pos="12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our commercialization partner’s ability to obtain and maintain reimbursement for Elfabrio, and the extent to which patient assistance programs and co-pay programs are utilized;</w:t>
      </w:r>
    </w:p>
    <w:p>
      <w:pPr>
        <w:spacing w:after="0" w:line="141" w:lineRule="exact"/>
        <w:rPr>
          <w:rFonts w:ascii="Arial" w:cs="Arial" w:eastAsia="Arial" w:hAnsi="Arial"/>
          <w:sz w:val="18"/>
          <w:szCs w:val="18"/>
          <w:color w:val="auto"/>
        </w:rPr>
      </w:pPr>
    </w:p>
    <w:p>
      <w:pPr>
        <w:ind w:right="280" w:firstLine="639"/>
        <w:spacing w:after="0" w:line="250" w:lineRule="auto"/>
        <w:tabs>
          <w:tab w:leader="none" w:pos="12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possible disruption of our operations due to the war declared by Israel’s security cabinet against the Hamas terrorist organization located in the Gaza Strip, the military campaign against the Hezbollah and other terrorist activities and armed conflict, including as a result of the disruption of the operations of certain regulatory authorities and of certain of our suppliers, collaborative partners, licensees, clinical trial sites, distributors and customers;</w:t>
      </w:r>
    </w:p>
    <w:p>
      <w:pPr>
        <w:spacing w:after="0" w:line="166" w:lineRule="exact"/>
        <w:rPr>
          <w:rFonts w:ascii="Arial" w:cs="Arial" w:eastAsia="Arial" w:hAnsi="Arial"/>
          <w:sz w:val="18"/>
          <w:szCs w:val="18"/>
          <w:color w:val="auto"/>
        </w:rPr>
      </w:pPr>
    </w:p>
    <w:p>
      <w:pPr>
        <w:ind w:right="420" w:firstLine="639"/>
        <w:spacing w:after="0" w:line="262" w:lineRule="auto"/>
        <w:tabs>
          <w:tab w:leader="none" w:pos="12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likelihood that the FDA, EMA or other applicable health regulatory authorities will approve an alternative dosing regimen for Elfabrio;</w:t>
      </w:r>
    </w:p>
    <w:p>
      <w:pPr>
        <w:spacing w:after="0" w:line="141" w:lineRule="exact"/>
        <w:rPr>
          <w:rFonts w:ascii="Arial" w:cs="Arial" w:eastAsia="Arial" w:hAnsi="Arial"/>
          <w:sz w:val="18"/>
          <w:szCs w:val="18"/>
          <w:color w:val="auto"/>
        </w:rPr>
      </w:pPr>
    </w:p>
    <w:p>
      <w:pPr>
        <w:ind w:left="1280" w:hanging="641"/>
        <w:spacing w:after="0"/>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related to the regulatory approval and commercial success of our other product and product candidates, if approved;</w:t>
      </w:r>
    </w:p>
    <w:p>
      <w:pPr>
        <w:spacing w:after="0" w:line="198" w:lineRule="exact"/>
        <w:rPr>
          <w:rFonts w:ascii="Arial" w:cs="Arial" w:eastAsia="Arial" w:hAnsi="Arial"/>
          <w:sz w:val="16"/>
          <w:szCs w:val="16"/>
          <w:color w:val="auto"/>
        </w:rPr>
      </w:pPr>
    </w:p>
    <w:p>
      <w:pPr>
        <w:ind w:right="20" w:firstLine="639"/>
        <w:spacing w:after="0" w:line="287" w:lineRule="auto"/>
        <w:tabs>
          <w:tab w:leader="none" w:pos="1266"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39" w:lineRule="exact"/>
        <w:rPr>
          <w:rFonts w:ascii="Arial" w:cs="Arial" w:eastAsia="Arial" w:hAnsi="Arial"/>
          <w:sz w:val="16"/>
          <w:szCs w:val="16"/>
          <w:color w:val="auto"/>
        </w:rPr>
      </w:pPr>
    </w:p>
    <w:p>
      <w:pPr>
        <w:ind w:right="360" w:firstLine="639"/>
        <w:spacing w:after="0" w:line="262" w:lineRule="auto"/>
        <w:tabs>
          <w:tab w:leader="none" w:pos="12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approval or potential rejection of any applications we file with the FDA, EMA or other health regulatory authorities for our other product candidates, and other risks relating to the review process;</w:t>
      </w:r>
    </w:p>
    <w:p>
      <w:pPr>
        <w:spacing w:after="0" w:line="141" w:lineRule="exact"/>
        <w:rPr>
          <w:rFonts w:ascii="Arial" w:cs="Arial" w:eastAsia="Arial" w:hAnsi="Arial"/>
          <w:sz w:val="18"/>
          <w:szCs w:val="18"/>
          <w:color w:val="auto"/>
        </w:rPr>
      </w:pPr>
    </w:p>
    <w:p>
      <w:pPr>
        <w:ind w:right="20" w:firstLine="639"/>
        <w:spacing w:after="0" w:line="262" w:lineRule="auto"/>
        <w:tabs>
          <w:tab w:leader="none" w:pos="12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the novel coronavirus disease, or COVID-19, outbreak and variants, which may adversely impact our business, preclinical studies and clinical trials;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200" w:firstLine="639"/>
        <w:spacing w:after="0" w:line="253" w:lineRule="auto"/>
        <w:tabs>
          <w:tab w:leader="none" w:pos="12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global conditions and developments such as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49" w:lineRule="exact"/>
        <w:rPr>
          <w:rFonts w:ascii="Arial" w:cs="Arial" w:eastAsia="Arial" w:hAnsi="Arial"/>
          <w:sz w:val="18"/>
          <w:szCs w:val="18"/>
          <w:color w:val="auto"/>
        </w:rPr>
      </w:pPr>
    </w:p>
    <w:p>
      <w:pPr>
        <w:ind w:right="360" w:firstLine="639"/>
        <w:spacing w:after="0" w:line="262" w:lineRule="auto"/>
        <w:tabs>
          <w:tab w:leader="none" w:pos="12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54" w:lineRule="exact"/>
        <w:rPr>
          <w:rFonts w:ascii="Arial" w:cs="Arial" w:eastAsia="Arial" w:hAnsi="Arial"/>
          <w:sz w:val="18"/>
          <w:szCs w:val="18"/>
          <w:color w:val="auto"/>
        </w:rPr>
      </w:pPr>
    </w:p>
    <w:p>
      <w:pPr>
        <w:ind w:left="1280" w:hanging="641"/>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relating to our evaluation and pursuit of strategic partnerships;</w:t>
      </w:r>
    </w:p>
    <w:p>
      <w:pPr>
        <w:spacing w:after="0" w:line="175" w:lineRule="exact"/>
        <w:rPr>
          <w:rFonts w:ascii="Arial" w:cs="Arial" w:eastAsia="Arial" w:hAnsi="Arial"/>
          <w:sz w:val="18"/>
          <w:szCs w:val="18"/>
          <w:color w:val="auto"/>
        </w:rPr>
      </w:pPr>
    </w:p>
    <w:p>
      <w:pPr>
        <w:ind w:firstLine="639"/>
        <w:spacing w:after="0" w:line="325" w:lineRule="auto"/>
        <w:tabs>
          <w:tab w:leader="none" w:pos="12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95" w:lineRule="exact"/>
        <w:rPr>
          <w:rFonts w:ascii="Arial" w:cs="Arial" w:eastAsia="Arial" w:hAnsi="Arial"/>
          <w:sz w:val="16"/>
          <w:szCs w:val="16"/>
          <w:color w:val="auto"/>
        </w:rPr>
      </w:pPr>
    </w:p>
    <w:p>
      <w:pPr>
        <w:ind w:right="200" w:firstLine="639"/>
        <w:spacing w:after="0" w:line="262" w:lineRule="auto"/>
        <w:tabs>
          <w:tab w:leader="none" w:pos="12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relating to our ability to manage our relationship with our collaborators, distributors or partners, including, but not limited to, Pfizer and Chiesi;</w:t>
      </w:r>
    </w:p>
    <w:p>
      <w:pPr>
        <w:spacing w:after="0" w:line="154" w:lineRule="exact"/>
        <w:rPr>
          <w:rFonts w:ascii="Arial" w:cs="Arial" w:eastAsia="Arial" w:hAnsi="Arial"/>
          <w:sz w:val="18"/>
          <w:szCs w:val="18"/>
          <w:color w:val="auto"/>
        </w:rPr>
      </w:pPr>
    </w:p>
    <w:p>
      <w:pPr>
        <w:ind w:left="1280" w:hanging="641"/>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the amount and sufficiency of our cash and cash equivalents;</w:t>
      </w:r>
    </w:p>
    <w:p>
      <w:pPr>
        <w:spacing w:after="0" w:line="175" w:lineRule="exact"/>
        <w:rPr>
          <w:rFonts w:ascii="Arial" w:cs="Arial" w:eastAsia="Arial" w:hAnsi="Arial"/>
          <w:sz w:val="18"/>
          <w:szCs w:val="18"/>
          <w:color w:val="auto"/>
        </w:rPr>
      </w:pPr>
    </w:p>
    <w:p>
      <w:pPr>
        <w:ind w:right="720" w:firstLine="639"/>
        <w:spacing w:after="0" w:line="262" w:lineRule="auto"/>
        <w:tabs>
          <w:tab w:leader="none" w:pos="12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relating to our ability to make scheduled payments of the principal of, to pay interest on or to refinance our outstanding notes or any other indebtedness;</w:t>
      </w:r>
    </w:p>
    <w:p>
      <w:pPr>
        <w:spacing w:after="0" w:line="141" w:lineRule="exact"/>
        <w:rPr>
          <w:rFonts w:ascii="Arial" w:cs="Arial" w:eastAsia="Arial" w:hAnsi="Arial"/>
          <w:sz w:val="18"/>
          <w:szCs w:val="18"/>
          <w:color w:val="auto"/>
        </w:rPr>
      </w:pPr>
    </w:p>
    <w:p>
      <w:pPr>
        <w:ind w:left="1280" w:hanging="641"/>
        <w:spacing w:after="0"/>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relating to changes to interim, topline or preliminary data from clinical trials that we announce or publish;</w:t>
      </w:r>
    </w:p>
    <w:p>
      <w:pPr>
        <w:spacing w:after="0" w:line="211" w:lineRule="exact"/>
        <w:rPr>
          <w:rFonts w:ascii="Arial" w:cs="Arial" w:eastAsia="Arial" w:hAnsi="Arial"/>
          <w:sz w:val="16"/>
          <w:szCs w:val="16"/>
          <w:color w:val="auto"/>
        </w:rPr>
      </w:pPr>
    </w:p>
    <w:p>
      <w:pPr>
        <w:ind w:right="600" w:firstLine="639"/>
        <w:spacing w:after="0" w:line="325" w:lineRule="auto"/>
        <w:tabs>
          <w:tab w:leader="none" w:pos="12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relating to the compliance by Fiocruz with its purchase obligations under our supply and technology transfer agreement, which may have a material adverse effect on us and may also result in the termination of such agreement;</w:t>
      </w:r>
    </w:p>
    <w:p>
      <w:pPr>
        <w:spacing w:after="0" w:line="95" w:lineRule="exact"/>
        <w:rPr>
          <w:rFonts w:ascii="Arial" w:cs="Arial" w:eastAsia="Arial" w:hAnsi="Arial"/>
          <w:sz w:val="16"/>
          <w:szCs w:val="16"/>
          <w:color w:val="auto"/>
        </w:rPr>
      </w:pPr>
    </w:p>
    <w:p>
      <w:pPr>
        <w:ind w:left="1280" w:hanging="641"/>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significant lawsuits, including stockholder litigation, which is common in the life sciences sector;</w:t>
      </w:r>
    </w:p>
    <w:p>
      <w:pPr>
        <w:spacing w:after="0" w:line="175" w:lineRule="exact"/>
        <w:rPr>
          <w:rFonts w:ascii="Arial" w:cs="Arial" w:eastAsia="Arial" w:hAnsi="Arial"/>
          <w:sz w:val="18"/>
          <w:szCs w:val="18"/>
          <w:color w:val="auto"/>
        </w:rPr>
      </w:pPr>
    </w:p>
    <w:p>
      <w:pPr>
        <w:ind w:left="1280" w:hanging="641"/>
        <w:spacing w:after="0"/>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dependence on performance by third-party providers of services and supplies, including without limitation, clinical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trial services;</w:t>
      </w:r>
    </w:p>
    <w:p>
      <w:pPr>
        <w:spacing w:after="0" w:line="177" w:lineRule="exact"/>
        <w:rPr>
          <w:rFonts w:ascii="Arial" w:cs="Arial" w:eastAsia="Arial" w:hAnsi="Arial"/>
          <w:sz w:val="16"/>
          <w:szCs w:val="16"/>
          <w:color w:val="auto"/>
        </w:rPr>
      </w:pPr>
    </w:p>
    <w:p>
      <w:pPr>
        <w:ind w:left="1280" w:hanging="641"/>
        <w:spacing w:after="0"/>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inherent risks and uncertainties in developing drug platforms and products of the type we are developing;</w:t>
      </w:r>
    </w:p>
    <w:p>
      <w:pPr>
        <w:spacing w:after="0" w:line="198" w:lineRule="exact"/>
        <w:rPr>
          <w:rFonts w:ascii="Arial" w:cs="Arial" w:eastAsia="Arial" w:hAnsi="Arial"/>
          <w:sz w:val="16"/>
          <w:szCs w:val="16"/>
          <w:color w:val="auto"/>
        </w:rPr>
      </w:pPr>
    </w:p>
    <w:p>
      <w:pPr>
        <w:ind w:left="1280" w:hanging="641"/>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development of competing therapies and/or technologies by other companies;</w:t>
      </w:r>
    </w:p>
    <w:p>
      <w:pPr>
        <w:spacing w:after="0" w:line="175" w:lineRule="exact"/>
        <w:rPr>
          <w:rFonts w:ascii="Arial" w:cs="Arial" w:eastAsia="Arial" w:hAnsi="Arial"/>
          <w:sz w:val="18"/>
          <w:szCs w:val="18"/>
          <w:color w:val="auto"/>
        </w:rPr>
      </w:pPr>
    </w:p>
    <w:p>
      <w:pPr>
        <w:ind w:left="1280" w:hanging="641"/>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our supply of drug products to Pfizer;</w:t>
      </w:r>
    </w:p>
    <w:p>
      <w:pPr>
        <w:spacing w:after="0" w:line="188" w:lineRule="exact"/>
        <w:rPr>
          <w:rFonts w:ascii="Arial" w:cs="Arial" w:eastAsia="Arial" w:hAnsi="Arial"/>
          <w:sz w:val="18"/>
          <w:szCs w:val="18"/>
          <w:color w:val="auto"/>
        </w:rPr>
      </w:pPr>
    </w:p>
    <w:p>
      <w:pPr>
        <w:ind w:left="1280" w:hanging="641"/>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product liability risks, and risks of securing adequate levels of related insurance coverage;</w:t>
      </w:r>
    </w:p>
    <w:p>
      <w:pPr>
        <w:spacing w:after="0" w:line="175" w:lineRule="exact"/>
        <w:rPr>
          <w:rFonts w:ascii="Arial" w:cs="Arial" w:eastAsia="Arial" w:hAnsi="Arial"/>
          <w:sz w:val="18"/>
          <w:szCs w:val="18"/>
          <w:color w:val="auto"/>
        </w:rPr>
      </w:pPr>
    </w:p>
    <w:p>
      <w:pPr>
        <w:ind w:right="300" w:firstLine="639"/>
        <w:spacing w:after="0" w:line="325" w:lineRule="auto"/>
        <w:tabs>
          <w:tab w:leader="none" w:pos="12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95" w:lineRule="exact"/>
        <w:rPr>
          <w:rFonts w:ascii="Arial" w:cs="Arial" w:eastAsia="Arial" w:hAnsi="Arial"/>
          <w:sz w:val="16"/>
          <w:szCs w:val="16"/>
          <w:color w:val="auto"/>
        </w:rPr>
      </w:pPr>
    </w:p>
    <w:p>
      <w:pPr>
        <w:ind w:left="1280" w:hanging="641"/>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relating to changes in healthcare laws, rules and regulations in the United States or elsewhere.</w:t>
      </w:r>
    </w:p>
    <w:p>
      <w:pPr>
        <w:spacing w:after="0" w:line="189"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Company Developments</w:t>
      </w:r>
    </w:p>
    <w:p>
      <w:pPr>
        <w:spacing w:after="0" w:line="181" w:lineRule="exact"/>
        <w:rPr>
          <w:sz w:val="20"/>
          <w:szCs w:val="20"/>
          <w:color w:val="auto"/>
        </w:rPr>
      </w:pPr>
    </w:p>
    <w:p>
      <w:pPr>
        <w:ind w:right="140" w:firstLine="639"/>
        <w:spacing w:after="0" w:line="253" w:lineRule="auto"/>
        <w:tabs>
          <w:tab w:leader="none" w:pos="9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August 15, 2023, Chiesi announced that the UK Medicines and Healthcare products Regulatory Agency (MHRA) had granted marketing authorization for Elfabrio in Great Britain for long-term enzyme replacement therapy in adult patients with a confirmed diagnosis of Fabry disease.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880"/>
          </w:cols>
          <w:pgMar w:left="980" w:top="655" w:right="10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200" w:firstLine="639"/>
        <w:spacing w:after="0" w:line="253" w:lineRule="auto"/>
        <w:tabs>
          <w:tab w:leader="none" w:pos="9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September 11, 2023, Swissmedic, the national authorization and supervisory authority for drugs and medical products in Switzerland, announced the approval of Elfabrio in Switzerland for long-term enzyme replacement therapy in adult patients with a confirmed diagnosis of Fabry disease.</w:t>
      </w:r>
    </w:p>
    <w:p>
      <w:pPr>
        <w:spacing w:after="0" w:line="149" w:lineRule="exact"/>
        <w:rPr>
          <w:rFonts w:ascii="Arial" w:cs="Arial" w:eastAsia="Arial" w:hAnsi="Arial"/>
          <w:sz w:val="18"/>
          <w:szCs w:val="18"/>
          <w:color w:val="auto"/>
        </w:rPr>
      </w:pPr>
    </w:p>
    <w:p>
      <w:pPr>
        <w:ind w:right="580" w:firstLine="639"/>
        <w:spacing w:after="0" w:line="253" w:lineRule="auto"/>
        <w:tabs>
          <w:tab w:leader="none" w:pos="9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September 12, 2023, we announced the appointment of Eliot Richard Forster, Ph.D. as Chairman of our Board of Directors effective as of September 14, 2023. Zeev Bronfeld, the former Chairman of Protalix’s Board retired from our company for personal reasons, effective as of the same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 Our Proprietary Protein Expression System</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53"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2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are the first and only company to gain FDA approval of a protein produced through plant cell-based expression, and with the recent approval of Elfabrio, we now have two FDA approved proteins produced through our platform. Our ProCellEx platform uses flexible polyethylene disposable bioreactors and is optimized for plant cell cultures. As opposed to the large stainless-steel bioreactors commonly used for recombinant protein production, our ProCellEx bioreactors are easy to use and maintain and allow for the major advantage of rapid horizontal scale-up.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123190</wp:posOffset>
            </wp:positionV>
            <wp:extent cx="6029960" cy="256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2996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880"/>
          </w:cols>
          <w:pgMar w:left="980" w:top="655" w:right="10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ProCellEx</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69215</wp:posOffset>
            </wp:positionV>
            <wp:extent cx="6029960" cy="2529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2996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123190</wp:posOffset>
            </wp:positionV>
            <wp:extent cx="6029960" cy="1909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29960" cy="190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Elfabrio (PRX-102) for the Treatment of Fabry Disease</w:t>
      </w:r>
    </w:p>
    <w:p>
      <w:pPr>
        <w:spacing w:after="0" w:line="17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On May 5, 2023, the EC announced that it had approved the MAA for Elfabrio and on May 9, 2023, the FDA announced that it had approved the BLA for Elfabrio, each for adult patients with Fabry disease. Both approvals cover the 1 mg/kg every two weeks dosage. The EMA approval followed the February 2023 adoption of a positive opinion and recommendation of marketing authorization for Elfabrio by the CHMP. Elfabrio was approved by the FDA with a boxed warning for hypersensitivity reactions/anaphylaxis, consistent with ERT class labeling, and Warnings/Precautions providing guidance on the signs and symptoms of hypersensitivity and infusion-associated reactions seen in the clinical studies as well as treatments to manage such events should they occur. The Warnings/Precautions for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August and September of 2023, Elfabrio was approved in Great Britain and Switzerland, respectively, for long-term enzyme replacement therapy in adult patients with a confirmed diagnosis of Fabry disease.</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840"/>
          </w:cols>
          <w:pgMar w:left="980" w:top="655" w:right="10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color w:val="auto"/>
        </w:rPr>
        <w:t>Elfabrio, an ERT, is our proprietary, plant cell culture expressed enzyme, and a chemically modified stabilized version of, the recombinant α-Galactosidase-A protein, a lysosomal enzyme. Fabry disease is a serious life-threatening rare genetic disorder. Fabry patients lack or have low levels of α-galactosidase-A resulting in the progressive accumulation of abnormal deposits of a fatty substance called globotriaosylceramide, or Gb</w:t>
      </w:r>
      <w:r>
        <w:rPr>
          <w:rFonts w:ascii="Arial" w:cs="Arial" w:eastAsia="Arial" w:hAnsi="Arial"/>
          <w:sz w:val="25"/>
          <w:szCs w:val="25"/>
          <w:color w:val="auto"/>
          <w:vertAlign w:val="subscript"/>
        </w:rPr>
        <w:t>3</w:t>
      </w:r>
      <w:r>
        <w:rPr>
          <w:rFonts w:ascii="Arial" w:cs="Arial" w:eastAsia="Arial" w:hAnsi="Arial"/>
          <w:sz w:val="17"/>
          <w:szCs w:val="17"/>
          <w:color w:val="auto"/>
        </w:rPr>
        <w:t>, in blood vessel walls throughout their body. The ultimate consequences of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52" w:lineRule="exact"/>
        <w:rPr>
          <w:sz w:val="20"/>
          <w:szCs w:val="20"/>
          <w:color w:val="auto"/>
        </w:rPr>
      </w:pPr>
    </w:p>
    <w:p>
      <w:pPr>
        <w:ind w:right="140"/>
        <w:spacing w:after="0" w:line="203" w:lineRule="auto"/>
        <w:rPr>
          <w:sz w:val="20"/>
          <w:szCs w:val="20"/>
          <w:color w:val="auto"/>
        </w:rPr>
      </w:pPr>
      <w:r>
        <w:rPr>
          <w:rFonts w:ascii="Arial" w:cs="Arial" w:eastAsia="Arial" w:hAnsi="Arial"/>
          <w:sz w:val="17"/>
          <w:szCs w:val="17"/>
          <w:color w:val="auto"/>
        </w:rPr>
        <w:t>The global market for Fabry disease, that includes Sanofi’s Fabrazyme</w:t>
      </w:r>
      <w:r>
        <w:rPr>
          <w:rFonts w:ascii="Arial" w:cs="Arial" w:eastAsia="Arial" w:hAnsi="Arial"/>
          <w:sz w:val="25"/>
          <w:szCs w:val="25"/>
          <w:color w:val="auto"/>
          <w:vertAlign w:val="superscript"/>
        </w:rPr>
        <w:t>®</w:t>
      </w:r>
      <w:r>
        <w:rPr>
          <w:rFonts w:ascii="Arial" w:cs="Arial" w:eastAsia="Arial" w:hAnsi="Arial"/>
          <w:sz w:val="17"/>
          <w:szCs w:val="17"/>
          <w:color w:val="auto"/>
        </w:rPr>
        <w:t>, Shire’s (acquired by Takeda Pharmaceutical Company Limited) Replagal</w:t>
      </w:r>
      <w:r>
        <w:rPr>
          <w:rFonts w:ascii="Arial" w:cs="Arial" w:eastAsia="Arial" w:hAnsi="Arial"/>
          <w:sz w:val="25"/>
          <w:szCs w:val="25"/>
          <w:color w:val="auto"/>
          <w:vertAlign w:val="superscript"/>
        </w:rPr>
        <w:t>®</w:t>
      </w:r>
      <w:r>
        <w:rPr>
          <w:rFonts w:ascii="Arial" w:cs="Arial" w:eastAsia="Arial" w:hAnsi="Arial"/>
          <w:sz w:val="17"/>
          <w:szCs w:val="17"/>
          <w:color w:val="auto"/>
        </w:rPr>
        <w:t>, and Amicus Therapeutics’ Galafold</w:t>
      </w:r>
      <w:r>
        <w:rPr>
          <w:rFonts w:ascii="Arial" w:cs="Arial" w:eastAsia="Arial" w:hAnsi="Arial"/>
          <w:sz w:val="25"/>
          <w:szCs w:val="25"/>
          <w:color w:val="auto"/>
          <w:vertAlign w:val="superscript"/>
        </w:rPr>
        <w:t>®</w:t>
      </w:r>
      <w:r>
        <w:rPr>
          <w:rFonts w:ascii="Arial" w:cs="Arial" w:eastAsia="Arial" w:hAnsi="Arial"/>
          <w:sz w:val="17"/>
          <w:szCs w:val="17"/>
          <w:color w:val="auto"/>
        </w:rPr>
        <w:t>, among others, was approximately $2.0 billion in 2022, is forecasted to be approximately $2.0 billion in 2023 and is forecasted to grow at a CAGR of approximately 10% from 2022-2029.</w:t>
      </w:r>
    </w:p>
    <w:p>
      <w:pPr>
        <w:spacing w:after="0" w:line="176"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 In 2015, we completed a phase I/II clinical trial of PRX-102 (NCT01678898), which was a worldwide, multi-center, open-label, dose ranging study designed to evaluate the safety, tolerability, pharmacokinetics, immunogenicity and efficacy parameters of PRX-102 in adult patients with Fabry disease. Our phase III clinical program, which has now been completed, included the following three separate studies:</w:t>
      </w:r>
    </w:p>
    <w:p>
      <w:pPr>
        <w:spacing w:after="0" w:line="140" w:lineRule="exact"/>
        <w:rPr>
          <w:sz w:val="20"/>
          <w:szCs w:val="20"/>
          <w:color w:val="auto"/>
        </w:rPr>
      </w:pPr>
    </w:p>
    <w:p>
      <w:pPr>
        <w:ind w:left="640" w:right="140"/>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(PB-102-F20, NCT02795676), a pivotal 24-month, randomized, double blind, active control study of PRX-102 in adult Fabry patients with deteriorating renal function that was designed to evaluate the safety and efficacy of 1 mg/kg of PRX-102 administered every two weeks compared to agalsidase beta;</w:t>
      </w:r>
    </w:p>
    <w:p>
      <w:pPr>
        <w:spacing w:after="0" w:line="176" w:lineRule="exact"/>
        <w:rPr>
          <w:sz w:val="20"/>
          <w:szCs w:val="20"/>
          <w:color w:val="auto"/>
        </w:rPr>
      </w:pPr>
    </w:p>
    <w:p>
      <w:pPr>
        <w:ind w:left="640" w:right="100"/>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(PB-102-F30, NCT03018730), a 12-month open-label, single arm switch-over study evaluating the safety and efficacy of PRX-102, 1 mg/kg infused every two weeks, in up to 22 Fabry patients previously treated with agalsidase alfa for at least two years and on a stable dose for at least six months; and</w:t>
      </w:r>
    </w:p>
    <w:p>
      <w:pPr>
        <w:spacing w:after="0" w:line="176" w:lineRule="exact"/>
        <w:rPr>
          <w:sz w:val="20"/>
          <w:szCs w:val="20"/>
          <w:color w:val="auto"/>
        </w:rPr>
      </w:pPr>
    </w:p>
    <w:p>
      <w:pPr>
        <w:ind w:left="640" w:right="60"/>
        <w:spacing w:after="0" w:line="30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study (PB-102-F50, NCT03180840), a multicenter, multinational open-label, switch-over study designed to evaluate the safety, efficacy and pharmacokinetics of treatment with 2 mg/kg of PRX-102 administered every four weeks for 52 weeks (a total of 14 infusions). The 2 mg/kg every four weeks dosage was not approved by the EMA, FDA or any other jurisdiction.</w:t>
      </w:r>
    </w:p>
    <w:p>
      <w:pPr>
        <w:spacing w:after="0" w:line="128"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 xml:space="preserve">Patients who completed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BRIGHT</w:t>
      </w:r>
      <w:r>
        <w:rPr>
          <w:rFonts w:ascii="Arial" w:cs="Arial" w:eastAsia="Arial" w:hAnsi="Arial"/>
          <w:sz w:val="16"/>
          <w:szCs w:val="16"/>
          <w:color w:val="auto"/>
        </w:rPr>
        <w:t xml:space="preserve"> studies, and the extension of the phase I/II study, were offered the opportunity to continue PRX-102 treatment in one of two long-term open-label extension studies. Overall, 126 subjects who participated in our PRX-102 clinical program initially opted, with the advice of the treating physician, to enroll in one of our long-term, open label, extension studies of PRX-102: 97 patients in the 1 mg/kg every two weeks extension study (PB-102-F60, NCT03566017) (10 subjects who completed an extension study from the phase I/II study, 18 subjects who completed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69 subjects who completed the </w:t>
      </w:r>
      <w:r>
        <w:rPr>
          <w:rFonts w:ascii="Arial" w:cs="Arial" w:eastAsia="Arial" w:hAnsi="Arial"/>
          <w:sz w:val="16"/>
          <w:szCs w:val="16"/>
          <w:i w:val="1"/>
          <w:iCs w:val="1"/>
          <w:color w:val="auto"/>
        </w:rPr>
        <w:t xml:space="preserve">BALANCE </w:t>
      </w:r>
      <w:r>
        <w:rPr>
          <w:rFonts w:ascii="Arial" w:cs="Arial" w:eastAsia="Arial" w:hAnsi="Arial"/>
          <w:sz w:val="16"/>
          <w:szCs w:val="16"/>
          <w:color w:val="auto"/>
        </w:rPr>
        <w:t>study); and 29 subjects who completed the</w:t>
      </w:r>
      <w:r>
        <w:rPr>
          <w:rFonts w:ascii="Arial" w:cs="Arial" w:eastAsia="Arial" w:hAnsi="Arial"/>
          <w:sz w:val="16"/>
          <w:szCs w:val="16"/>
          <w:i w:val="1"/>
          <w:iCs w:val="1"/>
          <w:color w:val="auto"/>
        </w:rPr>
        <w:t xml:space="preserve"> BRIGHT </w:t>
      </w:r>
      <w:r>
        <w:rPr>
          <w:rFonts w:ascii="Arial" w:cs="Arial" w:eastAsia="Arial" w:hAnsi="Arial"/>
          <w:sz w:val="16"/>
          <w:szCs w:val="16"/>
          <w:color w:val="auto"/>
        </w:rPr>
        <w:t>study in the 2 mg/kg every four weeks extension study (PB-102-F51,</w:t>
      </w:r>
      <w:r>
        <w:rPr>
          <w:rFonts w:ascii="Arial" w:cs="Arial" w:eastAsia="Arial" w:hAnsi="Arial"/>
          <w:sz w:val="16"/>
          <w:szCs w:val="16"/>
          <w:i w:val="1"/>
          <w:iCs w:val="1"/>
          <w:color w:val="auto"/>
        </w:rPr>
        <w:t xml:space="preserve"> </w:t>
      </w:r>
      <w:r>
        <w:rPr>
          <w:rFonts w:ascii="Arial" w:cs="Arial" w:eastAsia="Arial" w:hAnsi="Arial"/>
          <w:sz w:val="16"/>
          <w:szCs w:val="16"/>
          <w:color w:val="auto"/>
        </w:rPr>
        <w:t>NCT03614234). Two of the subjects in the PB-102-F51 study are being treated with 1 mg/kg every two weeks. As of March 1, 2023, sponsorship of the two extension studies was transferred to Chiesi, and Chiesi is now administering the open-label extension studies.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Over time, and as Elfabrio is approved for marketing in different jurisdictions, participants withdraw from the open-label extension studies.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Some of the withdrawals transfer to a commercial setting, others withdraw for other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-71755</wp:posOffset>
            </wp:positionV>
            <wp:extent cx="27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70"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color w:val="auto"/>
        </w:rPr>
        <w:t>A BLA for Elfabrio for the treatment of adult patients with Fabry disease was first submitted to the FDA on May 27, 2020 under the FDA’s Accelerated Approval pathway, but resulted in a CRL. The BLA was resubmitted to the FDA on November 9, 2022.</w:t>
      </w:r>
    </w:p>
    <w:p>
      <w:pPr>
        <w:spacing w:after="0" w:line="108"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MAA was submitted to the EMA on February 7, 2022, after the October 8, 2021 meeting we held, together with Chiesi, with the Rapporteur and Co-Rapporteur of the EMA regarding PRX-102.</w:t>
      </w:r>
    </w:p>
    <w:p>
      <w:pPr>
        <w:spacing w:after="0" w:line="16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FDA publicly released the internal review documents for Elfabrio (pegunigalsidase alfa-iwxj) injection BLA 761161.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(Study PB-102-F01/02) with confirmatory evidence provided by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(also referred to as Study PB-102-F20). The FDA review team also concluded that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met its primary efficacy endpoint, which assessed the annualized rate of change in eGFR (estimated glomerular filtration rate) over 104 weeks (two years).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880"/>
          </w:cols>
          <w:pgMar w:left="980" w:top="655" w:right="10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 xml:space="preserve">However, the FDA also determined that the results from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did not support a non-inferiority claim to the comparator product due to the lack of data to support a non-inferiority margin.</w:t>
      </w:r>
    </w:p>
    <w:p>
      <w:pPr>
        <w:spacing w:after="0" w:line="142"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In February 2020, we, together with Chiesi, announced an agreement with the FDA for the Initial Pediatric Study Plan (iPSP) for PRX-102, which is intended to be initiated post-marketing approval. The joint announcement was made after completion of discussions with the FDA and receipt of confirmation from the FDA in an official “Agreement Letter” which outlines an agreed-upon approach to evaluate the safety and efficacy of PRX-102 in pediatric Fabry patients in a clinical trial to be performed by Chiesi with our collaborative efforts.</w:t>
      </w:r>
    </w:p>
    <w:p>
      <w:pPr>
        <w:spacing w:after="0" w:line="13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Chiesi, together with Protalix, participated in an Oral Explanation at a meeting of the EMA’s Committee for Orphan Medicinal Products (COMP) held on March 21, 2023, as part of the Orphan Drug Designation maintenance process. Following the meeting, Chiesi formally withdrew the application for Orphan Drug Designation for PRX-102. The EC first granted Orphan Drug Designation for PRX-102 for the treatment of Fabry disease in December 2017.</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Phase III BALANCE Study</w:t>
      </w:r>
    </w:p>
    <w:p>
      <w:pPr>
        <w:spacing w:after="0" w:line="17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The Clinical Study Report for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was completed in July 2022. The final analysis confirmed the positive topline results (announced in April 2022) and favorable tolerability profile. A total of 78 patients who were previously treated with agalsidase beta for at least one year with an eGFR slope at screening worse than -2 mL/min/1.73 m</w:t>
      </w:r>
      <w:r>
        <w:rPr>
          <w:rFonts w:ascii="Arial" w:cs="Arial" w:eastAsia="Arial" w:hAnsi="Arial"/>
          <w:sz w:val="25"/>
          <w:szCs w:val="25"/>
          <w:color w:val="auto"/>
          <w:vertAlign w:val="superscript"/>
        </w:rPr>
        <w:t>2</w:t>
      </w:r>
      <w:r>
        <w:rPr>
          <w:rFonts w:ascii="Arial" w:cs="Arial" w:eastAsia="Arial" w:hAnsi="Arial"/>
          <w:sz w:val="17"/>
          <w:szCs w:val="17"/>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7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 xml:space="preserve">The primary endpoint of the </w:t>
      </w:r>
      <w:r>
        <w:rPr>
          <w:rFonts w:ascii="Arial" w:cs="Arial" w:eastAsia="Arial" w:hAnsi="Arial"/>
          <w:sz w:val="17"/>
          <w:szCs w:val="17"/>
          <w:i w:val="1"/>
          <w:iCs w:val="1"/>
          <w:color w:val="auto"/>
        </w:rPr>
        <w:t>BALANCE</w:t>
      </w:r>
      <w:r>
        <w:rPr>
          <w:rFonts w:ascii="Arial" w:cs="Arial" w:eastAsia="Arial" w:hAnsi="Arial"/>
          <w:sz w:val="17"/>
          <w:szCs w:val="17"/>
          <w:color w:val="auto"/>
        </w:rPr>
        <w:t xml:space="preserve"> study is the comparison in the annualized rate of decline of eGFR slope between the agalsidase beta and PRX-102 treatment arms. eGFR is considered a reliable and accepted test to measure kidney function and stage of kidney disease. Additional parameters evaluated include: cardiac assessment,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(a biomarker for monitoring Fabry patients during therapy), pain, quality of life, immunogenicity, Fabry Clinical Events, pharmacokinetics and other parameters.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Based on the original primary analysis (random intercept random slope (RIRS)), the estimated mean eGFR slopes were</w:t>
      </w:r>
    </w:p>
    <w:p>
      <w:pPr>
        <w:spacing w:after="0" w:line="4" w:lineRule="exact"/>
        <w:rPr>
          <w:sz w:val="20"/>
          <w:szCs w:val="20"/>
          <w:color w:val="auto"/>
        </w:rPr>
      </w:pPr>
    </w:p>
    <w:p>
      <w:pPr>
        <w:spacing w:after="0" w:line="213" w:lineRule="auto"/>
        <w:rPr>
          <w:sz w:val="20"/>
          <w:szCs w:val="20"/>
          <w:color w:val="auto"/>
        </w:rPr>
      </w:pPr>
      <w:r>
        <w:rPr>
          <w:rFonts w:ascii="Arial" w:cs="Arial" w:eastAsia="Arial" w:hAnsi="Arial"/>
          <w:sz w:val="16"/>
          <w:szCs w:val="16"/>
          <w:color w:val="auto"/>
        </w:rPr>
        <w:t>-2.4 mL/min/1.73 m</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/year and -2.3 mL/min/1.73 m</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/year in the PRX-102 and agalsidase beta arms, respectively, and the treatment difference was -0.1 (95% CI: -2.2, 2.1) mL/min/1.73 m</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/year. Based on the ANCOVA adjusted for continuous baseline proteinuria, the estimated mean eGFR slopes were -2.0 and -3.1 mL/min/1.73 m</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/year in the PRX-102 and agalsidase beta arms, respectively, and the treatment difference was 1.1 (95% CI: -0.8, 3.1) mL/min/1.73 m</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/year. Based on quantile regression model, the median of the eGFR slope in the PRX-102 arm was -2.514 mL/min/1.73 m</w:t>
      </w:r>
      <w:r>
        <w:rPr>
          <w:rFonts w:ascii="Arial" w:cs="Arial" w:eastAsia="Arial" w:hAnsi="Arial"/>
          <w:sz w:val="24"/>
          <w:szCs w:val="24"/>
          <w:color w:val="auto"/>
          <w:vertAlign w:val="superscript"/>
        </w:rPr>
        <w:t>2</w:t>
      </w:r>
      <w:r>
        <w:rPr>
          <w:rFonts w:ascii="Arial" w:cs="Arial" w:eastAsia="Arial" w:hAnsi="Arial"/>
          <w:sz w:val="16"/>
          <w:szCs w:val="16"/>
          <w:color w:val="auto"/>
        </w:rPr>
        <w:t>/year (95% CI:-3.788, -1.240) and -2.155 mL/min/1.73 m</w:t>
      </w:r>
      <w:r>
        <w:rPr>
          <w:rFonts w:ascii="Arial" w:cs="Arial" w:eastAsia="Arial" w:hAnsi="Arial"/>
          <w:sz w:val="24"/>
          <w:szCs w:val="24"/>
          <w:color w:val="auto"/>
          <w:vertAlign w:val="superscript"/>
        </w:rPr>
        <w:t>2</w:t>
      </w:r>
      <w:r>
        <w:rPr>
          <w:rFonts w:ascii="Arial" w:cs="Arial" w:eastAsia="Arial" w:hAnsi="Arial"/>
          <w:sz w:val="16"/>
          <w:szCs w:val="16"/>
          <w:color w:val="auto"/>
        </w:rPr>
        <w:t>/year (95% CI:-3.805, -0.505) in the agalsidase beta arm, demonstrating a large overlap in the confidence intervals of the two arms. The difference in medians (95% confidence interval) is -0.359 mL/min/1.73 m</w:t>
      </w:r>
      <w:r>
        <w:rPr>
          <w:rFonts w:ascii="Arial" w:cs="Arial" w:eastAsia="Arial" w:hAnsi="Arial"/>
          <w:sz w:val="24"/>
          <w:szCs w:val="24"/>
          <w:color w:val="auto"/>
          <w:vertAlign w:val="superscript"/>
        </w:rPr>
        <w:t>2</w:t>
      </w:r>
      <w:r>
        <w:rPr>
          <w:rFonts w:ascii="Arial" w:cs="Arial" w:eastAsia="Arial" w:hAnsi="Arial"/>
          <w:sz w:val="16"/>
          <w:szCs w:val="16"/>
          <w:color w:val="auto"/>
        </w:rPr>
        <w:t xml:space="preserve">/year (-2.444, 1.726). Additional sensitivity and supportive analyses investigated mean eGFR slopes using other statistical models. These models yielded results similar to the primary analysis and confirming the comparability between the treatment arms. These results supported the robustness of the methodology used for comparisons of treatment effects in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The results of the analyses on eGFR slopes were further supported by the analysis of change from baseline in the average eGFR at the last two visits (100 and 104 weeks). The estimated mean changes were -3.0 and -3.8 mL/min/1.73 m</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in the PRX102 and agalsidase beta arms, respectively. The difference in mean change (PRX-102 – agalsidase beta) was 0.8 (95% CI: -3.0, 4.6) mL/min/1.73 m</w:t>
      </w:r>
      <w:r>
        <w:rPr>
          <w:rFonts w:ascii="Arial" w:cs="Arial" w:eastAsia="Arial" w:hAnsi="Arial"/>
          <w:sz w:val="24"/>
          <w:szCs w:val="24"/>
          <w:color w:val="auto"/>
          <w:vertAlign w:val="superscript"/>
        </w:rPr>
        <w:t>2</w:t>
      </w:r>
      <w:r>
        <w:rPr>
          <w:rFonts w:ascii="Arial" w:cs="Arial" w:eastAsia="Arial" w:hAnsi="Arial"/>
          <w:sz w:val="16"/>
          <w:szCs w:val="16"/>
          <w:color w:val="auto"/>
        </w:rPr>
        <w:t xml:space="preserve"> or annualized change of 0.4 (95% CI: -1.5, 2.3) mL/min/1.73 m</w:t>
      </w:r>
      <w:r>
        <w:rPr>
          <w:rFonts w:ascii="Arial" w:cs="Arial" w:eastAsia="Arial" w:hAnsi="Arial"/>
          <w:sz w:val="24"/>
          <w:szCs w:val="24"/>
          <w:color w:val="auto"/>
          <w:vertAlign w:val="superscript"/>
        </w:rPr>
        <w:t>2</w:t>
      </w:r>
      <w:r>
        <w:rPr>
          <w:rFonts w:ascii="Arial" w:cs="Arial" w:eastAsia="Arial" w:hAnsi="Arial"/>
          <w:sz w:val="16"/>
          <w:szCs w:val="16"/>
          <w:color w:val="auto"/>
        </w:rPr>
        <w:t>/year.</w:t>
      </w:r>
    </w:p>
    <w:p>
      <w:pPr>
        <w:spacing w:after="0" w:line="57"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The study population (ITT analysis set) was composed of 47 males (61.0%) and 30 females (39.0%), with a mean (range) age of 44.3 (18-60) years. The mean duration of prior treatment with agalsidase beta was approximately six years. At baseline, mean (SD) eGFR was</w:t>
      </w:r>
    </w:p>
    <w:p>
      <w:pPr>
        <w:spacing w:after="0" w:line="1" w:lineRule="exact"/>
        <w:rPr>
          <w:sz w:val="20"/>
          <w:szCs w:val="20"/>
          <w:color w:val="auto"/>
        </w:rPr>
      </w:pPr>
    </w:p>
    <w:p>
      <w:pPr>
        <w:ind w:right="40"/>
        <w:spacing w:after="0" w:line="217" w:lineRule="auto"/>
        <w:rPr>
          <w:sz w:val="20"/>
          <w:szCs w:val="20"/>
          <w:color w:val="auto"/>
        </w:rPr>
      </w:pPr>
      <w:r>
        <w:rPr>
          <w:rFonts w:ascii="Arial" w:cs="Arial" w:eastAsia="Arial" w:hAnsi="Arial"/>
          <w:sz w:val="18"/>
          <w:szCs w:val="18"/>
          <w:color w:val="auto"/>
        </w:rPr>
        <w:t>73.69 ml/min/1.73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(20.32) and median eGFR was 74.51 ml/min/1.73 m</w:t>
      </w:r>
      <w:r>
        <w:rPr>
          <w:rFonts w:ascii="Arial" w:cs="Arial" w:eastAsia="Arial" w:hAnsi="Arial"/>
          <w:sz w:val="26"/>
          <w:szCs w:val="26"/>
          <w:color w:val="auto"/>
          <w:vertAlign w:val="superscript"/>
        </w:rPr>
        <w:t>2</w:t>
      </w:r>
      <w:r>
        <w:rPr>
          <w:rFonts w:ascii="Arial" w:cs="Arial" w:eastAsia="Arial" w:hAnsi="Arial"/>
          <w:sz w:val="18"/>
          <w:szCs w:val="18"/>
          <w:color w:val="auto"/>
        </w:rPr>
        <w:t>; mean (SD) eGFR slope was -8.10 mL/min/1.73 m</w:t>
      </w:r>
      <w:r>
        <w:rPr>
          <w:rFonts w:ascii="Arial" w:cs="Arial" w:eastAsia="Arial" w:hAnsi="Arial"/>
          <w:sz w:val="26"/>
          <w:szCs w:val="26"/>
          <w:color w:val="auto"/>
          <w:vertAlign w:val="superscript"/>
        </w:rPr>
        <w:t>2</w:t>
      </w:r>
      <w:r>
        <w:rPr>
          <w:rFonts w:ascii="Arial" w:cs="Arial" w:eastAsia="Arial" w:hAnsi="Arial"/>
          <w:sz w:val="18"/>
          <w:szCs w:val="18"/>
          <w:color w:val="auto"/>
        </w:rPr>
        <w:t>/year (5.92) and median eGFR slope was -7.25 ml/min/1.73 m</w:t>
      </w:r>
      <w:r>
        <w:rPr>
          <w:rFonts w:ascii="Arial" w:cs="Arial" w:eastAsia="Arial" w:hAnsi="Arial"/>
          <w:sz w:val="26"/>
          <w:szCs w:val="26"/>
          <w:color w:val="auto"/>
          <w:vertAlign w:val="superscript"/>
        </w:rPr>
        <w:t>2</w:t>
      </w:r>
      <w:r>
        <w:rPr>
          <w:rFonts w:ascii="Arial" w:cs="Arial" w:eastAsia="Arial" w:hAnsi="Arial"/>
          <w:sz w:val="18"/>
          <w:szCs w:val="18"/>
          <w:color w:val="auto"/>
        </w:rPr>
        <w:t>/year.</w:t>
      </w:r>
    </w:p>
    <w:p>
      <w:pPr>
        <w:spacing w:after="0" w:line="66"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A comparable efficacy response was also observed across biomarkers and functional systems relevant to Fabry disease, as demonstrated via secondary endpoints, where in some cases the trend was in favor of PRX-102 and in some in favor of agalsidase beta, but the actual difference between the two arms is always clinically small, supporting the comparability of the two treatments.</w:t>
      </w:r>
    </w:p>
    <w:p>
      <w:pPr>
        <w:spacing w:after="0" w:line="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Key secondary endpoints included Urine protein creatinine ratio (UPCR) as indicator of proteinuria, plasma levels of lyso–Gb</w:t>
      </w:r>
      <w:r>
        <w:rPr>
          <w:rFonts w:ascii="Arial" w:cs="Arial" w:eastAsia="Arial" w:hAnsi="Arial"/>
          <w:sz w:val="24"/>
          <w:szCs w:val="24"/>
          <w:color w:val="auto"/>
          <w:vertAlign w:val="subscript"/>
        </w:rPr>
        <w:t>3</w:t>
      </w:r>
      <w:r>
        <w:rPr>
          <w:rFonts w:ascii="Arial" w:cs="Arial" w:eastAsia="Arial" w:hAnsi="Arial"/>
          <w:sz w:val="16"/>
          <w:szCs w:val="16"/>
          <w:color w:val="auto"/>
        </w:rPr>
        <w:t>, imaging marker of cardiac remodeling (Left Ventricular Mass Index, LVMI, by cardiac MRI), disease severity (by Mainz Severity Score Index, MSSI), pain severity (Short Form Brief Pain Inventory, BPI) and quality of life (EQ-5D-5L). Both treatments showed either a stabilization of clinical parameters (e.g., for eGFR, eGFR slope and UPCR) or prevention of further progression of Fabry disease (e.g., LVMI, MSSI).</w:t>
      </w:r>
    </w:p>
    <w:p>
      <w:pPr>
        <w:spacing w:after="0" w:line="122" w:lineRule="exact"/>
        <w:rPr>
          <w:sz w:val="20"/>
          <w:szCs w:val="20"/>
          <w:color w:val="auto"/>
        </w:rPr>
      </w:pPr>
    </w:p>
    <w:p>
      <w:pPr>
        <w:ind w:right="280" w:firstLine="639"/>
        <w:spacing w:after="0" w:line="325" w:lineRule="auto"/>
        <w:tabs>
          <w:tab w:leader="none" w:pos="126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Secondary measures of kidney function</w:t>
      </w:r>
      <w:r>
        <w:rPr>
          <w:rFonts w:ascii="Arial" w:cs="Arial" w:eastAsia="Arial" w:hAnsi="Arial"/>
          <w:sz w:val="16"/>
          <w:szCs w:val="16"/>
          <w:color w:val="auto"/>
        </w:rPr>
        <w:t>. In addition to eGFR levels and slope, the proportion of patients categorized as</w:t>
      </w:r>
      <w:r>
        <w:rPr>
          <w:rFonts w:ascii="Arial" w:cs="Arial" w:eastAsia="Arial" w:hAnsi="Arial"/>
          <w:sz w:val="16"/>
          <w:szCs w:val="16"/>
          <w:i w:val="1"/>
          <w:iCs w:val="1"/>
          <w:color w:val="auto"/>
        </w:rPr>
        <w:t xml:space="preserve"> </w:t>
      </w:r>
      <w:r>
        <w:rPr>
          <w:rFonts w:ascii="Arial" w:cs="Arial" w:eastAsia="Arial" w:hAnsi="Arial"/>
          <w:sz w:val="16"/>
          <w:szCs w:val="16"/>
          <w:color w:val="auto"/>
        </w:rPr>
        <w:t>having severe proteinuria (UPCR ≥ 1 gr/gr) in the PRX-102 arm remained stable during the study (at baseline, 7/52 [13.5%] and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880"/>
          </w:cols>
          <w:pgMar w:left="980" w:top="655" w:right="10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6/45 [13.3%] 24-month), while in the agalsidase beta arm, the proportion increased slightly with 3/25 (12.0%) and 4/24 (16.7%), respectively. Mean (SE) UPCR data (post-hoc analysis) for the entire study population remained stable throughout the study with a slight advantage for PRX-102 at 24-months compared to agalsidase beta (Table 1).</w:t>
      </w:r>
    </w:p>
    <w:p>
      <w:pPr>
        <w:spacing w:after="0" w:line="56" w:lineRule="exact"/>
        <w:rPr>
          <w:sz w:val="20"/>
          <w:szCs w:val="20"/>
          <w:color w:val="auto"/>
        </w:rPr>
      </w:pPr>
    </w:p>
    <w:p>
      <w:pPr>
        <w:ind w:right="100" w:firstLine="639"/>
        <w:spacing w:after="0" w:line="264" w:lineRule="auto"/>
        <w:tabs>
          <w:tab w:leader="none" w:pos="126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Biomarkers of Fabry disease</w:t>
      </w:r>
      <w:r>
        <w:rPr>
          <w:rFonts w:ascii="Arial" w:cs="Arial" w:eastAsia="Arial" w:hAnsi="Arial"/>
          <w:sz w:val="16"/>
          <w:szCs w:val="16"/>
          <w:color w:val="auto"/>
        </w:rPr>
        <w:t>. Mean (SE) and median (range) plasma lyso-Gb</w:t>
      </w:r>
      <w:r>
        <w:rPr>
          <w:rFonts w:ascii="Arial" w:cs="Arial" w:eastAsia="Arial" w:hAnsi="Arial"/>
          <w:sz w:val="24"/>
          <w:szCs w:val="24"/>
          <w:color w:val="auto"/>
          <w:vertAlign w:val="subscript"/>
        </w:rPr>
        <w:t>3</w:t>
      </w:r>
      <w:r>
        <w:rPr>
          <w:rFonts w:ascii="Arial" w:cs="Arial" w:eastAsia="Arial" w:hAnsi="Arial"/>
          <w:sz w:val="16"/>
          <w:szCs w:val="16"/>
          <w:i w:val="1"/>
          <w:iCs w:val="1"/>
          <w:color w:val="auto"/>
        </w:rPr>
        <w:t xml:space="preserve"> </w:t>
      </w:r>
      <w:r>
        <w:rPr>
          <w:rFonts w:ascii="Arial" w:cs="Arial" w:eastAsia="Arial" w:hAnsi="Arial"/>
          <w:sz w:val="16"/>
          <w:szCs w:val="16"/>
          <w:color w:val="auto"/>
        </w:rPr>
        <w:t>change from baseline to 24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in the PRX-102 arm were 3.30 (1.38) and 1.15 (-32.2 to 32.7) nM for PRX-102, and -8.74 (4.85) and -1.50 (-102.3 to 2.4) nM for agalsidase beta. As expected, a gender difference was noted, with female Fabry patients exhibiting lower values at baseline and no remarkable changes during the study. Overall, the absolute changes of the Fabry biomarkers were minor in both treatment arms and were considered not clinically significant since there was no indication of Gb</w:t>
      </w:r>
      <w:r>
        <w:rPr>
          <w:rFonts w:ascii="Arial" w:cs="Arial" w:eastAsia="Arial" w:hAnsi="Arial"/>
          <w:sz w:val="24"/>
          <w:szCs w:val="24"/>
          <w:color w:val="auto"/>
          <w:vertAlign w:val="subscript"/>
        </w:rPr>
        <w:t>3</w:t>
      </w:r>
      <w:r>
        <w:rPr>
          <w:rFonts w:ascii="Arial" w:cs="Arial" w:eastAsia="Arial" w:hAnsi="Arial"/>
          <w:sz w:val="16"/>
          <w:szCs w:val="16"/>
          <w:color w:val="auto"/>
        </w:rPr>
        <w:t xml:space="preserve"> re-accumulation nor of disease progression.</w:t>
      </w:r>
    </w:p>
    <w:p>
      <w:pPr>
        <w:spacing w:after="0" w:line="145" w:lineRule="exact"/>
        <w:rPr>
          <w:rFonts w:ascii="Arial" w:cs="Arial" w:eastAsia="Arial" w:hAnsi="Arial"/>
          <w:sz w:val="16"/>
          <w:szCs w:val="16"/>
          <w:color w:val="auto"/>
        </w:rPr>
      </w:pPr>
    </w:p>
    <w:p>
      <w:pPr>
        <w:ind w:right="100" w:firstLine="639"/>
        <w:spacing w:after="0" w:line="299" w:lineRule="auto"/>
        <w:tabs>
          <w:tab w:leader="none" w:pos="1266"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Measures of cardiac disease</w:t>
      </w:r>
      <w:r>
        <w:rPr>
          <w:rFonts w:ascii="Arial" w:cs="Arial" w:eastAsia="Arial" w:hAnsi="Arial"/>
          <w:sz w:val="15"/>
          <w:szCs w:val="15"/>
          <w:color w:val="auto"/>
        </w:rPr>
        <w:t>. LVMi was centrally evaluated based on cardiac MRI. An increase in LVMi is indicative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progressing cardiomyopathy, hence preventing an increase in LVMI represents a therapeutic goal in Fabry patients. In the </w:t>
      </w:r>
      <w:r>
        <w:rPr>
          <w:rFonts w:ascii="Arial" w:cs="Arial" w:eastAsia="Arial" w:hAnsi="Arial"/>
          <w:sz w:val="15"/>
          <w:szCs w:val="15"/>
          <w:i w:val="1"/>
          <w:iCs w:val="1"/>
          <w:color w:val="auto"/>
        </w:rPr>
        <w:t>BALANCE</w:t>
      </w:r>
      <w:r>
        <w:rPr>
          <w:rFonts w:ascii="Arial" w:cs="Arial" w:eastAsia="Arial" w:hAnsi="Arial"/>
          <w:sz w:val="15"/>
          <w:szCs w:val="15"/>
          <w:color w:val="auto"/>
        </w:rPr>
        <w:t xml:space="preserve"> study, the change from baseline in both treatment arms was analyzed by absence/presence of hypertrophy at baseline (defined as a LVMI above</w:t>
      </w:r>
    </w:p>
    <w:p>
      <w:pPr>
        <w:ind w:right="160"/>
        <w:spacing w:after="0" w:line="231" w:lineRule="auto"/>
        <w:rPr>
          <w:rFonts w:ascii="Arial" w:cs="Arial" w:eastAsia="Arial" w:hAnsi="Arial"/>
          <w:sz w:val="15"/>
          <w:szCs w:val="15"/>
          <w:color w:val="auto"/>
        </w:rPr>
      </w:pPr>
      <w:r>
        <w:rPr>
          <w:rFonts w:ascii="Arial" w:cs="Arial" w:eastAsia="Arial" w:hAnsi="Arial"/>
          <w:sz w:val="17"/>
          <w:szCs w:val="17"/>
          <w:color w:val="auto"/>
        </w:rPr>
        <w:t>91 g/m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for males and LVMI above 77 g/m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for females at baseline) and by gender (Kawel-Boehm 2015). Similar results were achieved in the two treatment arms after 24 months, with a slight reduction in the mean (SE) LVMi values in the PRX-102 arm -4.238 (5.731) and a small increase in the agalsidase beta arm 2.417 (9.620) for patients with hypertrophy at baseline. Small differences were observed also in those patients without hypertrophy at baseline in both treatment arms.</w:t>
      </w:r>
    </w:p>
    <w:p>
      <w:pPr>
        <w:spacing w:after="0" w:line="162" w:lineRule="exact"/>
        <w:rPr>
          <w:rFonts w:ascii="Arial" w:cs="Arial" w:eastAsia="Arial" w:hAnsi="Arial"/>
          <w:sz w:val="15"/>
          <w:szCs w:val="15"/>
          <w:color w:val="auto"/>
        </w:rPr>
      </w:pPr>
    </w:p>
    <w:p>
      <w:pPr>
        <w:ind w:right="60" w:firstLine="639"/>
        <w:spacing w:after="0" w:line="287" w:lineRule="auto"/>
        <w:tabs>
          <w:tab w:leader="none" w:pos="126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Measures of systemic disease burden (MSSI)</w:t>
      </w:r>
      <w:r>
        <w:rPr>
          <w:rFonts w:ascii="Arial" w:cs="Arial" w:eastAsia="Arial" w:hAnsi="Arial"/>
          <w:sz w:val="16"/>
          <w:szCs w:val="16"/>
          <w:color w:val="auto"/>
        </w:rPr>
        <w:t>. Further evidence of the stabilization of the disease is provided by the MSSI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overall scores, which remained stable throughout the </w:t>
      </w:r>
      <w:r>
        <w:rPr>
          <w:rFonts w:ascii="Arial" w:cs="Arial" w:eastAsia="Arial" w:hAnsi="Arial"/>
          <w:sz w:val="16"/>
          <w:szCs w:val="16"/>
          <w:i w:val="1"/>
          <w:iCs w:val="1"/>
          <w:color w:val="auto"/>
        </w:rPr>
        <w:t>BALANCE</w:t>
      </w:r>
      <w:r>
        <w:rPr>
          <w:rFonts w:ascii="Arial" w:cs="Arial" w:eastAsia="Arial" w:hAnsi="Arial"/>
          <w:sz w:val="16"/>
          <w:szCs w:val="16"/>
          <w:color w:val="auto"/>
        </w:rPr>
        <w:t xml:space="preserve"> study in both arms, with the baseline score in both groups at the low end of the moderate range (means of 23.18 points in the PRX-102 arm and 25.16 points in the agalsidase beta arm), that slightly decreased (improvement by -2.1 points) in the PRX-102 arm and slightly increased in the agalsidase beta arm (+2.0 points). In this case, the CI of the difference in mean changes did not contain 0, suggesting a difference between the two arms in favor of PRX-102.</w:t>
      </w:r>
    </w:p>
    <w:p>
      <w:pPr>
        <w:spacing w:after="0" w:line="126" w:lineRule="exact"/>
        <w:rPr>
          <w:rFonts w:ascii="Arial" w:cs="Arial" w:eastAsia="Arial" w:hAnsi="Arial"/>
          <w:sz w:val="16"/>
          <w:szCs w:val="16"/>
          <w:color w:val="auto"/>
        </w:rPr>
      </w:pPr>
    </w:p>
    <w:p>
      <w:pPr>
        <w:ind w:right="540" w:firstLine="639"/>
        <w:spacing w:after="0" w:line="363" w:lineRule="auto"/>
        <w:tabs>
          <w:tab w:leader="none" w:pos="1266"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Patient reported outcomes</w:t>
      </w:r>
      <w:r>
        <w:rPr>
          <w:rFonts w:ascii="Arial" w:cs="Arial" w:eastAsia="Arial" w:hAnsi="Arial"/>
          <w:sz w:val="15"/>
          <w:szCs w:val="15"/>
          <w:color w:val="auto"/>
        </w:rPr>
        <w:t>. With regards to the patient-reported outcomes (BPI and EQ-5D-5L), the two treatments</w:t>
      </w:r>
      <w:r>
        <w:rPr>
          <w:rFonts w:ascii="Arial" w:cs="Arial" w:eastAsia="Arial" w:hAnsi="Arial"/>
          <w:sz w:val="15"/>
          <w:szCs w:val="15"/>
          <w:i w:val="1"/>
          <w:iCs w:val="1"/>
          <w:color w:val="auto"/>
        </w:rPr>
        <w:t xml:space="preserve"> </w:t>
      </w:r>
      <w:r>
        <w:rPr>
          <w:rFonts w:ascii="Arial" w:cs="Arial" w:eastAsia="Arial" w:hAnsi="Arial"/>
          <w:sz w:val="15"/>
          <w:szCs w:val="15"/>
          <w:color w:val="auto"/>
        </w:rPr>
        <w:t>showed very similar results, with the majority of patients reporting an improvement or no change in both groups, for each domain.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 overview of primary and secondary endpoints collected in the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study, please refer to the Table 1 below.</w:t>
      </w:r>
    </w:p>
    <w:p>
      <w:pPr>
        <w:spacing w:after="0" w:line="169" w:lineRule="exact"/>
        <w:rPr>
          <w:sz w:val="20"/>
          <w:szCs w:val="20"/>
          <w:color w:val="auto"/>
        </w:rPr>
      </w:pPr>
    </w:p>
    <w:p>
      <w:pPr>
        <w:ind w:right="660"/>
        <w:spacing w:after="0" w:line="269" w:lineRule="auto"/>
        <w:rPr>
          <w:sz w:val="20"/>
          <w:szCs w:val="20"/>
          <w:color w:val="auto"/>
        </w:rPr>
      </w:pPr>
      <w:r>
        <w:rPr>
          <w:rFonts w:ascii="Arial" w:cs="Arial" w:eastAsia="Arial" w:hAnsi="Arial"/>
          <w:sz w:val="18"/>
          <w:szCs w:val="18"/>
          <w:b w:val="1"/>
          <w:bCs w:val="1"/>
          <w:color w:val="auto"/>
        </w:rPr>
        <w:t xml:space="preserve">Table 1: Summary Table of Comparison of Treatment Benefit Data in the </w:t>
      </w:r>
      <w:r>
        <w:rPr>
          <w:rFonts w:ascii="Arial" w:cs="Arial" w:eastAsia="Arial" w:hAnsi="Arial"/>
          <w:sz w:val="18"/>
          <w:szCs w:val="18"/>
          <w:b w:val="1"/>
          <w:bCs w:val="1"/>
          <w:i w:val="1"/>
          <w:iCs w:val="1"/>
          <w:color w:val="auto"/>
        </w:rPr>
        <w:t>BALANCE</w:t>
      </w:r>
      <w:r>
        <w:rPr>
          <w:rFonts w:ascii="Arial" w:cs="Arial" w:eastAsia="Arial" w:hAnsi="Arial"/>
          <w:sz w:val="18"/>
          <w:szCs w:val="18"/>
          <w:b w:val="1"/>
          <w:bCs w:val="1"/>
          <w:color w:val="auto"/>
        </w:rPr>
        <w:t xml:space="preserve"> Study, (Mean (SE) [median]), Efficacy Population</w:t>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4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Parameter</w:t>
            </w:r>
          </w:p>
        </w:tc>
        <w:tc>
          <w:tcPr>
            <w:tcW w:w="1960" w:type="dxa"/>
            <w:vAlign w:val="bottom"/>
            <w:tcBorders>
              <w:top w:val="single" w:sz="8" w:color="auto"/>
              <w:bottom w:val="single" w:sz="8" w:color="auto"/>
              <w:right w:val="single" w:sz="8" w:color="auto"/>
            </w:tcBorders>
          </w:tcPr>
          <w:p>
            <w:pPr>
              <w:spacing w:after="0"/>
              <w:rPr>
                <w:sz w:val="19"/>
                <w:szCs w:val="19"/>
                <w:color w:val="auto"/>
              </w:rPr>
            </w:pPr>
          </w:p>
        </w:tc>
        <w:tc>
          <w:tcPr>
            <w:tcW w:w="224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PRX-102 (N = 52)</w:t>
            </w:r>
          </w:p>
        </w:tc>
        <w:tc>
          <w:tcPr>
            <w:tcW w:w="232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Agalsidase beta (N = 25)</w:t>
            </w: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400" w:type="dxa"/>
            <w:vAlign w:val="bottom"/>
            <w:tcBorders>
              <w:left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eGFR</w:t>
            </w:r>
          </w:p>
        </w:tc>
        <w:tc>
          <w:tcPr>
            <w:tcW w:w="19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b w:val="1"/>
                <w:bCs w:val="1"/>
                <w:color w:val="auto"/>
              </w:rPr>
              <w:t>n</w:t>
            </w:r>
          </w:p>
        </w:tc>
        <w:tc>
          <w:tcPr>
            <w:tcW w:w="5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4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b w:val="1"/>
                <w:bCs w:val="1"/>
                <w:color w:val="auto"/>
              </w:rPr>
              <w:t>n</w:t>
            </w:r>
          </w:p>
        </w:tc>
        <w:tc>
          <w:tcPr>
            <w:tcW w:w="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400" w:type="dxa"/>
            <w:vAlign w:val="bottom"/>
            <w:tcBorders>
              <w:left w:val="single" w:sz="8" w:color="auto"/>
              <w:right w:val="single" w:sz="8" w:color="auto"/>
            </w:tcBorders>
            <w:vMerge w:val="restart"/>
          </w:tcPr>
          <w:p>
            <w:pPr>
              <w:ind w:left="100"/>
              <w:spacing w:after="0" w:line="286" w:lineRule="exact"/>
              <w:rPr>
                <w:sz w:val="20"/>
                <w:szCs w:val="20"/>
                <w:color w:val="auto"/>
              </w:rPr>
            </w:pPr>
            <w:r>
              <w:rPr>
                <w:rFonts w:ascii="Arial" w:cs="Arial" w:eastAsia="Arial" w:hAnsi="Arial"/>
                <w:sz w:val="18"/>
                <w:szCs w:val="18"/>
                <w:color w:val="auto"/>
              </w:rPr>
              <w:t>(ml/min/1.73 m</w:t>
            </w:r>
            <w:r>
              <w:rPr>
                <w:rFonts w:ascii="Arial" w:cs="Arial" w:eastAsia="Arial" w:hAnsi="Arial"/>
                <w:sz w:val="26"/>
                <w:szCs w:val="26"/>
                <w:color w:val="auto"/>
                <w:vertAlign w:val="superscript"/>
              </w:rPr>
              <w:t>2</w:t>
            </w: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400" w:type="dxa"/>
            <w:vAlign w:val="bottom"/>
            <w:tcBorders>
              <w:left w:val="single" w:sz="8" w:color="auto"/>
              <w:right w:val="single" w:sz="8" w:color="auto"/>
            </w:tcBorders>
            <w:vMerge w:val="continue"/>
          </w:tcPr>
          <w:p>
            <w:pPr>
              <w:spacing w:after="0"/>
              <w:rPr>
                <w:sz w:val="20"/>
                <w:szCs w:val="20"/>
                <w:color w:val="auto"/>
              </w:rPr>
            </w:pPr>
          </w:p>
        </w:tc>
        <w:tc>
          <w:tcPr>
            <w:tcW w:w="196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Baseline</w:t>
            </w:r>
          </w:p>
        </w:tc>
        <w:tc>
          <w:tcPr>
            <w:tcW w:w="42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52</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73.46</w:t>
            </w:r>
          </w:p>
        </w:tc>
        <w:tc>
          <w:tcPr>
            <w:tcW w:w="13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(2.80) [73.45]</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74.16</w:t>
            </w:r>
          </w:p>
        </w:tc>
        <w:tc>
          <w:tcPr>
            <w:tcW w:w="14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(4.19) [74.85]</w:t>
            </w:r>
          </w:p>
        </w:tc>
        <w:tc>
          <w:tcPr>
            <w:tcW w:w="20" w:type="dxa"/>
            <w:vAlign w:val="bottom"/>
            <w:tcBorders>
              <w:bottom w:val="single" w:sz="8" w:color="AEABAB"/>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00" w:type="dxa"/>
            <w:vAlign w:val="bottom"/>
            <w:tcBorders>
              <w:left w:val="single" w:sz="8" w:color="auto"/>
              <w:right w:val="single" w:sz="8" w:color="auto"/>
            </w:tcBorders>
          </w:tcPr>
          <w:p>
            <w:pPr>
              <w:spacing w:after="0"/>
              <w:rPr>
                <w:sz w:val="19"/>
                <w:szCs w:val="19"/>
                <w:color w:val="auto"/>
              </w:rPr>
            </w:pPr>
          </w:p>
        </w:tc>
        <w:tc>
          <w:tcPr>
            <w:tcW w:w="196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Month 24</w:t>
            </w:r>
          </w:p>
        </w:tc>
        <w:tc>
          <w:tcPr>
            <w:tcW w:w="42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47</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70.53</w:t>
            </w:r>
          </w:p>
        </w:tc>
        <w:tc>
          <w:tcPr>
            <w:tcW w:w="13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(3.19) [69.35]</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72.05</w:t>
            </w:r>
          </w:p>
        </w:tc>
        <w:tc>
          <w:tcPr>
            <w:tcW w:w="14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(4.69) [74.48]</w:t>
            </w:r>
          </w:p>
        </w:tc>
        <w:tc>
          <w:tcPr>
            <w:tcW w:w="20" w:type="dxa"/>
            <w:vAlign w:val="bottom"/>
            <w:tcBorders>
              <w:bottom w:val="single" w:sz="8" w:color="AEABAB"/>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Change from Baseline</w:t>
            </w:r>
          </w:p>
        </w:tc>
        <w:tc>
          <w:tcPr>
            <w:tcW w:w="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47</w:t>
            </w: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-3.60 (1.58) [-2.39]</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19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-1.97 (1.51) [-3.20]</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400" w:type="dxa"/>
            <w:vAlign w:val="bottom"/>
            <w:tcBorders>
              <w:left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eGFR slope (ml/min/1.73</w:t>
            </w:r>
          </w:p>
        </w:tc>
        <w:tc>
          <w:tcPr>
            <w:tcW w:w="19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Baseline</w:t>
            </w:r>
          </w:p>
        </w:tc>
        <w:tc>
          <w:tcPr>
            <w:tcW w:w="4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52</w:t>
            </w:r>
          </w:p>
        </w:tc>
        <w:tc>
          <w:tcPr>
            <w:tcW w:w="182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-8.03 (0.92) [-6.70]</w:t>
            </w:r>
          </w:p>
        </w:tc>
        <w:tc>
          <w:tcPr>
            <w:tcW w:w="4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25</w:t>
            </w:r>
          </w:p>
        </w:tc>
        <w:tc>
          <w:tcPr>
            <w:tcW w:w="192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-8.25 (0.85) [-7.84]</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400" w:type="dxa"/>
            <w:vAlign w:val="bottom"/>
            <w:tcBorders>
              <w:left w:val="single" w:sz="8" w:color="auto"/>
              <w:right w:val="single" w:sz="8" w:color="auto"/>
            </w:tcBorders>
          </w:tcPr>
          <w:p>
            <w:pPr>
              <w:ind w:left="100"/>
              <w:spacing w:after="0" w:line="233" w:lineRule="exact"/>
              <w:rPr>
                <w:sz w:val="20"/>
                <w:szCs w:val="20"/>
                <w:color w:val="auto"/>
              </w:rPr>
            </w:pPr>
            <w:r>
              <w:rPr>
                <w:rFonts w:ascii="Arial" w:cs="Arial" w:eastAsia="Arial" w:hAnsi="Arial"/>
                <w:sz w:val="18"/>
                <w:szCs w:val="18"/>
                <w:color w:val="auto"/>
              </w:rPr>
              <w:t>m</w:t>
            </w:r>
            <w:r>
              <w:rPr>
                <w:rFonts w:ascii="Arial" w:cs="Arial" w:eastAsia="Arial" w:hAnsi="Arial"/>
                <w:sz w:val="26"/>
                <w:szCs w:val="26"/>
                <w:color w:val="auto"/>
                <w:vertAlign w:val="superscript"/>
              </w:rPr>
              <w:t>2</w:t>
            </w:r>
            <w:r>
              <w:rPr>
                <w:rFonts w:ascii="Arial" w:cs="Arial" w:eastAsia="Arial" w:hAnsi="Arial"/>
                <w:sz w:val="18"/>
                <w:szCs w:val="18"/>
                <w:color w:val="auto"/>
              </w:rPr>
              <w:t>/yr)</w:t>
            </w:r>
          </w:p>
        </w:tc>
        <w:tc>
          <w:tcPr>
            <w:tcW w:w="19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Range: -30.5; 6.3</w:t>
            </w:r>
          </w:p>
        </w:tc>
        <w:tc>
          <w:tcPr>
            <w:tcW w:w="4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Range: -20.3; -2.8</w:t>
            </w:r>
          </w:p>
        </w:tc>
        <w:tc>
          <w:tcPr>
            <w:tcW w:w="10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400" w:type="dxa"/>
            <w:vAlign w:val="bottom"/>
            <w:tcBorders>
              <w:left w:val="single" w:sz="8" w:color="auto"/>
              <w:right w:val="single" w:sz="8" w:color="auto"/>
            </w:tcBorders>
          </w:tcPr>
          <w:p>
            <w:pPr>
              <w:spacing w:after="0"/>
              <w:rPr>
                <w:sz w:val="16"/>
                <w:szCs w:val="16"/>
                <w:color w:val="auto"/>
              </w:rPr>
            </w:pPr>
          </w:p>
        </w:tc>
        <w:tc>
          <w:tcPr>
            <w:tcW w:w="1960" w:type="dxa"/>
            <w:vAlign w:val="bottom"/>
            <w:tcBorders>
              <w:top w:val="single" w:sz="8" w:color="AEABAB"/>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Month 24</w:t>
            </w:r>
          </w:p>
        </w:tc>
        <w:tc>
          <w:tcPr>
            <w:tcW w:w="420" w:type="dxa"/>
            <w:vAlign w:val="bottom"/>
            <w:tcBorders>
              <w:top w:val="single" w:sz="8" w:color="AEABAB"/>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51</w:t>
            </w:r>
          </w:p>
        </w:tc>
        <w:tc>
          <w:tcPr>
            <w:tcW w:w="1820" w:type="dxa"/>
            <w:vAlign w:val="bottom"/>
            <w:tcBorders>
              <w:top w:val="single" w:sz="8" w:color="AEABAB"/>
              <w:right w:val="single" w:sz="8" w:color="auto"/>
            </w:tcBorders>
            <w:gridSpan w:val="2"/>
          </w:tcPr>
          <w:p>
            <w:pPr>
              <w:ind w:left="80"/>
              <w:spacing w:after="0" w:line="192" w:lineRule="exact"/>
              <w:rPr>
                <w:sz w:val="20"/>
                <w:szCs w:val="20"/>
                <w:color w:val="auto"/>
              </w:rPr>
            </w:pPr>
            <w:r>
              <w:rPr>
                <w:rFonts w:ascii="Arial" w:cs="Arial" w:eastAsia="Arial" w:hAnsi="Arial"/>
                <w:sz w:val="18"/>
                <w:szCs w:val="18"/>
                <w:color w:val="auto"/>
              </w:rPr>
              <w:t>-2.38 (1.25) [-2.51]</w:t>
            </w:r>
          </w:p>
        </w:tc>
        <w:tc>
          <w:tcPr>
            <w:tcW w:w="400" w:type="dxa"/>
            <w:vAlign w:val="bottom"/>
            <w:tcBorders>
              <w:top w:val="single" w:sz="8" w:color="AEABAB"/>
              <w:right w:val="single" w:sz="8" w:color="auto"/>
            </w:tcBorders>
          </w:tcPr>
          <w:p>
            <w:pPr>
              <w:ind w:left="80"/>
              <w:spacing w:after="0" w:line="192" w:lineRule="exact"/>
              <w:rPr>
                <w:sz w:val="20"/>
                <w:szCs w:val="20"/>
                <w:color w:val="auto"/>
              </w:rPr>
            </w:pPr>
            <w:r>
              <w:rPr>
                <w:rFonts w:ascii="Arial" w:cs="Arial" w:eastAsia="Arial" w:hAnsi="Arial"/>
                <w:sz w:val="18"/>
                <w:szCs w:val="18"/>
                <w:color w:val="auto"/>
              </w:rPr>
              <w:t>25</w:t>
            </w:r>
          </w:p>
        </w:tc>
        <w:tc>
          <w:tcPr>
            <w:tcW w:w="1920" w:type="dxa"/>
            <w:vAlign w:val="bottom"/>
            <w:tcBorders>
              <w:top w:val="single" w:sz="8" w:color="AEABAB"/>
              <w:right w:val="single" w:sz="8" w:color="auto"/>
            </w:tcBorders>
            <w:gridSpan w:val="2"/>
          </w:tcPr>
          <w:p>
            <w:pPr>
              <w:ind w:left="80"/>
              <w:spacing w:after="0" w:line="192" w:lineRule="exact"/>
              <w:rPr>
                <w:sz w:val="20"/>
                <w:szCs w:val="20"/>
                <w:color w:val="auto"/>
              </w:rPr>
            </w:pPr>
            <w:r>
              <w:rPr>
                <w:rFonts w:ascii="Arial" w:cs="Arial" w:eastAsia="Arial" w:hAnsi="Arial"/>
                <w:sz w:val="18"/>
                <w:szCs w:val="18"/>
                <w:color w:val="auto"/>
              </w:rPr>
              <w:t>-2.31 (0.71) [-2.16]</w:t>
            </w:r>
          </w:p>
        </w:tc>
        <w:tc>
          <w:tcPr>
            <w:tcW w:w="20" w:type="dxa"/>
            <w:vAlign w:val="bottom"/>
            <w:tcBorders>
              <w:top w:val="single" w:sz="8" w:color="AEABAB"/>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00" w:type="dxa"/>
            <w:vAlign w:val="bottom"/>
            <w:tcBorders>
              <w:left w:val="single" w:sz="8" w:color="auto"/>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Q1; Q3: -4.8; 0.8</w:t>
            </w:r>
          </w:p>
        </w:tc>
        <w:tc>
          <w:tcPr>
            <w:tcW w:w="40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Q1; Q3: -4.6; -0.5</w:t>
            </w: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400" w:type="dxa"/>
            <w:vAlign w:val="bottom"/>
            <w:tcBorders>
              <w:left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w w:val="99"/>
              </w:rPr>
              <w:t>Reaching kidney therapeutic</w:t>
            </w:r>
          </w:p>
        </w:tc>
        <w:tc>
          <w:tcPr>
            <w:tcW w:w="19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Month 24</w:t>
            </w:r>
          </w:p>
        </w:tc>
        <w:tc>
          <w:tcPr>
            <w:tcW w:w="4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52</w:t>
            </w:r>
          </w:p>
        </w:tc>
        <w:tc>
          <w:tcPr>
            <w:tcW w:w="182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41 patients (80.4%)</w:t>
            </w:r>
          </w:p>
        </w:tc>
        <w:tc>
          <w:tcPr>
            <w:tcW w:w="4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25</w:t>
            </w:r>
          </w:p>
        </w:tc>
        <w:tc>
          <w:tcPr>
            <w:tcW w:w="192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20 patients (80.0%)</w:t>
            </w: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400" w:type="dxa"/>
            <w:vAlign w:val="bottom"/>
            <w:tcBorders>
              <w:left w:val="single" w:sz="8" w:color="auto"/>
              <w:bottom w:val="single" w:sz="8" w:color="auto"/>
              <w:right w:val="single" w:sz="8" w:color="auto"/>
            </w:tcBorders>
          </w:tcPr>
          <w:p>
            <w:pPr>
              <w:ind w:left="100"/>
              <w:spacing w:after="0" w:line="246" w:lineRule="exact"/>
              <w:rPr>
                <w:sz w:val="20"/>
                <w:szCs w:val="20"/>
                <w:color w:val="auto"/>
              </w:rPr>
            </w:pPr>
            <w:r>
              <w:rPr>
                <w:rFonts w:ascii="Arial" w:cs="Arial" w:eastAsia="Arial" w:hAnsi="Arial"/>
                <w:sz w:val="18"/>
                <w:szCs w:val="18"/>
                <w:color w:val="auto"/>
              </w:rPr>
              <w:t>goal</w:t>
            </w:r>
            <w:r>
              <w:rPr>
                <w:rFonts w:ascii="Arial" w:cs="Arial" w:eastAsia="Arial" w:hAnsi="Arial"/>
                <w:sz w:val="26"/>
                <w:szCs w:val="26"/>
                <w:color w:val="auto"/>
                <w:vertAlign w:val="superscript"/>
              </w:rPr>
              <w:t>a</w:t>
            </w:r>
          </w:p>
        </w:tc>
        <w:tc>
          <w:tcPr>
            <w:tcW w:w="196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4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UPCR</w:t>
            </w:r>
          </w:p>
        </w:tc>
        <w:tc>
          <w:tcPr>
            <w:tcW w:w="196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Baseline</w:t>
            </w:r>
          </w:p>
        </w:tc>
        <w:tc>
          <w:tcPr>
            <w:tcW w:w="42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52</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0.441</w:t>
            </w:r>
          </w:p>
        </w:tc>
        <w:tc>
          <w:tcPr>
            <w:tcW w:w="13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(0.084)</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0.284</w:t>
            </w:r>
          </w:p>
        </w:tc>
        <w:tc>
          <w:tcPr>
            <w:tcW w:w="14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(0.097)</w:t>
            </w:r>
          </w:p>
        </w:tc>
        <w:tc>
          <w:tcPr>
            <w:tcW w:w="20" w:type="dxa"/>
            <w:vAlign w:val="bottom"/>
            <w:tcBorders>
              <w:bottom w:val="single" w:sz="8" w:color="AEABAB"/>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400" w:type="dxa"/>
            <w:vAlign w:val="bottom"/>
            <w:tcBorders>
              <w:left w:val="single" w:sz="8" w:color="auto"/>
              <w:right w:val="single" w:sz="8" w:color="auto"/>
            </w:tcBorders>
          </w:tcPr>
          <w:p>
            <w:pPr>
              <w:spacing w:after="0"/>
              <w:rPr>
                <w:sz w:val="20"/>
                <w:szCs w:val="20"/>
                <w:color w:val="auto"/>
              </w:rPr>
            </w:pPr>
          </w:p>
        </w:tc>
        <w:tc>
          <w:tcPr>
            <w:tcW w:w="196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Month 24</w:t>
            </w:r>
          </w:p>
        </w:tc>
        <w:tc>
          <w:tcPr>
            <w:tcW w:w="42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0.480</w:t>
            </w:r>
          </w:p>
        </w:tc>
        <w:tc>
          <w:tcPr>
            <w:tcW w:w="13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(0.118)</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0.489</w:t>
            </w:r>
          </w:p>
        </w:tc>
        <w:tc>
          <w:tcPr>
            <w:tcW w:w="14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(0.162)</w:t>
            </w:r>
          </w:p>
        </w:tc>
        <w:tc>
          <w:tcPr>
            <w:tcW w:w="20" w:type="dxa"/>
            <w:vAlign w:val="bottom"/>
            <w:tcBorders>
              <w:bottom w:val="single" w:sz="8" w:color="AEABAB"/>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Change from Baseline</w:t>
            </w:r>
          </w:p>
        </w:tc>
        <w:tc>
          <w:tcPr>
            <w:tcW w:w="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0.088</w:t>
            </w:r>
          </w:p>
        </w:tc>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(0.067)</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0.197</w:t>
            </w:r>
          </w:p>
        </w:tc>
        <w:tc>
          <w:tcPr>
            <w:tcW w:w="1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(0.085)</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auto"/>
            </w:tcBorders>
          </w:tcPr>
          <w:p>
            <w:pPr>
              <w:ind w:left="100"/>
              <w:spacing w:after="0" w:line="237" w:lineRule="exact"/>
              <w:rPr>
                <w:sz w:val="20"/>
                <w:szCs w:val="20"/>
                <w:color w:val="auto"/>
              </w:rPr>
            </w:pPr>
            <w:r>
              <w:rPr>
                <w:rFonts w:ascii="Arial" w:cs="Arial" w:eastAsia="Arial" w:hAnsi="Arial"/>
                <w:sz w:val="18"/>
                <w:szCs w:val="18"/>
                <w:color w:val="auto"/>
              </w:rPr>
              <w:t>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(nM)</w:t>
            </w:r>
          </w:p>
        </w:tc>
        <w:tc>
          <w:tcPr>
            <w:tcW w:w="196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Baseline</w:t>
            </w:r>
          </w:p>
        </w:tc>
        <w:tc>
          <w:tcPr>
            <w:tcW w:w="42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52</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26.22</w:t>
            </w:r>
          </w:p>
        </w:tc>
        <w:tc>
          <w:tcPr>
            <w:tcW w:w="13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(3.78) [15.20]</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32.14</w:t>
            </w:r>
          </w:p>
        </w:tc>
        <w:tc>
          <w:tcPr>
            <w:tcW w:w="14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(7.08) [17.60]</w:t>
            </w:r>
          </w:p>
        </w:tc>
        <w:tc>
          <w:tcPr>
            <w:tcW w:w="20" w:type="dxa"/>
            <w:vAlign w:val="bottom"/>
            <w:tcBorders>
              <w:bottom w:val="single" w:sz="8" w:color="AEABAB"/>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00" w:type="dxa"/>
            <w:vAlign w:val="bottom"/>
            <w:tcBorders>
              <w:left w:val="single" w:sz="8" w:color="auto"/>
              <w:right w:val="single" w:sz="8" w:color="auto"/>
            </w:tcBorders>
          </w:tcPr>
          <w:p>
            <w:pPr>
              <w:spacing w:after="0"/>
              <w:rPr>
                <w:sz w:val="19"/>
                <w:szCs w:val="19"/>
                <w:color w:val="auto"/>
              </w:rPr>
            </w:pPr>
          </w:p>
        </w:tc>
        <w:tc>
          <w:tcPr>
            <w:tcW w:w="196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Month 24</w:t>
            </w:r>
          </w:p>
        </w:tc>
        <w:tc>
          <w:tcPr>
            <w:tcW w:w="42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29.22</w:t>
            </w:r>
          </w:p>
        </w:tc>
        <w:tc>
          <w:tcPr>
            <w:tcW w:w="13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(4.48) [18.80]</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19.65</w:t>
            </w:r>
          </w:p>
        </w:tc>
        <w:tc>
          <w:tcPr>
            <w:tcW w:w="14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(3.60) [15.30]</w:t>
            </w:r>
          </w:p>
        </w:tc>
        <w:tc>
          <w:tcPr>
            <w:tcW w:w="20" w:type="dxa"/>
            <w:vAlign w:val="bottom"/>
            <w:tcBorders>
              <w:bottom w:val="single" w:sz="8" w:color="AEABAB"/>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Change from Baseline</w:t>
            </w:r>
          </w:p>
        </w:tc>
        <w:tc>
          <w:tcPr>
            <w:tcW w:w="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3.30 (1.38) [1.15]</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19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-8.74 (4.85) [-1.50]</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00" w:type="dxa"/>
            <w:vAlign w:val="bottom"/>
            <w:tcBorders>
              <w:left w:val="single" w:sz="8" w:color="auto"/>
              <w:right w:val="single" w:sz="8" w:color="auto"/>
            </w:tcBorders>
          </w:tcPr>
          <w:p>
            <w:pPr>
              <w:ind w:left="100"/>
              <w:spacing w:after="0" w:line="211" w:lineRule="exact"/>
              <w:rPr>
                <w:sz w:val="20"/>
                <w:szCs w:val="20"/>
                <w:color w:val="auto"/>
              </w:rPr>
            </w:pPr>
            <w:r>
              <w:rPr>
                <w:rFonts w:ascii="Arial" w:cs="Arial" w:eastAsia="Arial" w:hAnsi="Arial"/>
                <w:sz w:val="16"/>
                <w:szCs w:val="16"/>
                <w:color w:val="auto"/>
              </w:rPr>
              <w:t>LVMI (g/m</w:t>
            </w:r>
            <w:r>
              <w:rPr>
                <w:rFonts w:ascii="Arial" w:cs="Arial" w:eastAsia="Arial" w:hAnsi="Arial"/>
                <w:sz w:val="24"/>
                <w:szCs w:val="24"/>
                <w:color w:val="auto"/>
                <w:vertAlign w:val="superscript"/>
              </w:rPr>
              <w:t>2</w:t>
            </w:r>
            <w:r>
              <w:rPr>
                <w:rFonts w:ascii="Arial" w:cs="Arial" w:eastAsia="Arial" w:hAnsi="Arial"/>
                <w:sz w:val="16"/>
                <w:szCs w:val="16"/>
                <w:color w:val="auto"/>
              </w:rPr>
              <w:t>)</w:t>
            </w:r>
          </w:p>
        </w:tc>
        <w:tc>
          <w:tcPr>
            <w:tcW w:w="196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Baseline</w:t>
            </w:r>
          </w:p>
        </w:tc>
        <w:tc>
          <w:tcPr>
            <w:tcW w:w="42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75.97</w:t>
            </w:r>
          </w:p>
        </w:tc>
        <w:tc>
          <w:tcPr>
            <w:tcW w:w="13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(5.13)</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82.22</w:t>
            </w:r>
          </w:p>
        </w:tc>
        <w:tc>
          <w:tcPr>
            <w:tcW w:w="14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(6.34)</w:t>
            </w:r>
          </w:p>
        </w:tc>
        <w:tc>
          <w:tcPr>
            <w:tcW w:w="20" w:type="dxa"/>
            <w:vAlign w:val="bottom"/>
            <w:tcBorders>
              <w:bottom w:val="single" w:sz="8" w:color="AEABAB"/>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0" w:type="dxa"/>
            <w:vAlign w:val="bottom"/>
            <w:tcBorders>
              <w:left w:val="single" w:sz="8" w:color="auto"/>
              <w:right w:val="single" w:sz="8" w:color="auto"/>
            </w:tcBorders>
          </w:tcPr>
          <w:p>
            <w:pPr>
              <w:spacing w:after="0"/>
              <w:rPr>
                <w:sz w:val="19"/>
                <w:szCs w:val="19"/>
                <w:color w:val="auto"/>
              </w:rPr>
            </w:pPr>
          </w:p>
        </w:tc>
        <w:tc>
          <w:tcPr>
            <w:tcW w:w="196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Month 24</w:t>
            </w:r>
          </w:p>
        </w:tc>
        <w:tc>
          <w:tcPr>
            <w:tcW w:w="42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35</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71.56</w:t>
            </w:r>
          </w:p>
        </w:tc>
        <w:tc>
          <w:tcPr>
            <w:tcW w:w="13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(5.20)</w:t>
            </w:r>
          </w:p>
        </w:tc>
        <w:tc>
          <w:tcPr>
            <w:tcW w:w="400" w:type="dxa"/>
            <w:vAlign w:val="bottom"/>
            <w:tcBorders>
              <w:bottom w:val="single" w:sz="8" w:color="AEABAB"/>
              <w:right w:val="single" w:sz="8" w:color="auto"/>
            </w:tcBorders>
          </w:tcPr>
          <w:p>
            <w:pPr>
              <w:ind w:left="80"/>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AEABAB"/>
            </w:tcBorders>
          </w:tcPr>
          <w:p>
            <w:pPr>
              <w:ind w:left="80"/>
              <w:spacing w:after="0"/>
              <w:rPr>
                <w:sz w:val="20"/>
                <w:szCs w:val="20"/>
                <w:color w:val="auto"/>
              </w:rPr>
            </w:pPr>
            <w:r>
              <w:rPr>
                <w:rFonts w:ascii="Arial" w:cs="Arial" w:eastAsia="Arial" w:hAnsi="Arial"/>
                <w:sz w:val="18"/>
                <w:szCs w:val="18"/>
                <w:color w:val="auto"/>
                <w:w w:val="88"/>
              </w:rPr>
              <w:t>82.43</w:t>
            </w:r>
          </w:p>
        </w:tc>
        <w:tc>
          <w:tcPr>
            <w:tcW w:w="1420" w:type="dxa"/>
            <w:vAlign w:val="bottom"/>
            <w:tcBorders>
              <w:bottom w:val="single" w:sz="8" w:color="AEABAB"/>
              <w:right w:val="single" w:sz="8" w:color="auto"/>
            </w:tcBorders>
          </w:tcPr>
          <w:p>
            <w:pPr>
              <w:ind w:left="20"/>
              <w:spacing w:after="0"/>
              <w:rPr>
                <w:sz w:val="20"/>
                <w:szCs w:val="20"/>
                <w:color w:val="auto"/>
              </w:rPr>
            </w:pPr>
            <w:r>
              <w:rPr>
                <w:rFonts w:ascii="Arial" w:cs="Arial" w:eastAsia="Arial" w:hAnsi="Arial"/>
                <w:sz w:val="18"/>
                <w:szCs w:val="18"/>
                <w:color w:val="auto"/>
              </w:rPr>
              <w:t>(8.39)</w:t>
            </w:r>
          </w:p>
        </w:tc>
        <w:tc>
          <w:tcPr>
            <w:tcW w:w="20" w:type="dxa"/>
            <w:vAlign w:val="bottom"/>
            <w:tcBorders>
              <w:bottom w:val="single" w:sz="8" w:color="AEABAB"/>
            </w:tcBorders>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Change from Baseline</w:t>
            </w:r>
          </w:p>
        </w:tc>
        <w:tc>
          <w:tcPr>
            <w:tcW w:w="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28</w:t>
            </w:r>
          </w:p>
        </w:tc>
        <w:tc>
          <w:tcPr>
            <w:tcW w:w="18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-0.64 (2.69)</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19</w:t>
            </w:r>
          </w:p>
        </w:tc>
        <w:tc>
          <w:tcPr>
            <w:tcW w:w="19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0.29 (3.73)</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23</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6"/>
        </w:trPr>
        <w:tc>
          <w:tcPr>
            <w:tcW w:w="2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5" w:right="99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Table of Contents</w:t>
            </w:r>
          </w:p>
        </w:tc>
        <w:tc>
          <w:tcPr>
            <w:tcW w:w="1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2380" w:type="dxa"/>
            <w:vAlign w:val="bottom"/>
            <w:tcBorders>
              <w:bottom w:val="single" w:sz="8" w:color="auto"/>
            </w:tcBorders>
            <w:gridSpan w:val="2"/>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380" w:type="dxa"/>
            <w:vAlign w:val="bottom"/>
            <w:gridSpan w:val="2"/>
          </w:tcPr>
          <w:p>
            <w:pPr>
              <w:ind w:left="100"/>
              <w:spacing w:after="0" w:line="204" w:lineRule="exact"/>
              <w:rPr>
                <w:sz w:val="20"/>
                <w:szCs w:val="20"/>
                <w:color w:val="auto"/>
              </w:rPr>
            </w:pPr>
            <w:r>
              <w:rPr>
                <w:rFonts w:ascii="Arial" w:cs="Arial" w:eastAsia="Arial" w:hAnsi="Arial"/>
                <w:sz w:val="16"/>
                <w:szCs w:val="16"/>
                <w:color w:val="auto"/>
              </w:rPr>
              <w:t>MSSI (overall score)</w:t>
            </w:r>
            <w:r>
              <w:rPr>
                <w:rFonts w:ascii="Arial" w:cs="Arial" w:eastAsia="Arial" w:hAnsi="Arial"/>
                <w:sz w:val="23"/>
                <w:szCs w:val="23"/>
                <w:color w:val="auto"/>
                <w:vertAlign w:val="superscript"/>
              </w:rPr>
              <w:t>a</w:t>
            </w:r>
          </w:p>
        </w:tc>
        <w:tc>
          <w:tcPr>
            <w:tcW w:w="1880" w:type="dxa"/>
            <w:vAlign w:val="bottom"/>
            <w:tcBorders>
              <w:bottom w:val="single" w:sz="8" w:color="AEABAB"/>
            </w:tcBorders>
          </w:tcPr>
          <w:p>
            <w:pPr>
              <w:ind w:left="100"/>
              <w:spacing w:after="0" w:line="204" w:lineRule="exact"/>
              <w:rPr>
                <w:sz w:val="20"/>
                <w:szCs w:val="20"/>
                <w:color w:val="auto"/>
              </w:rPr>
            </w:pPr>
            <w:r>
              <w:rPr>
                <w:rFonts w:ascii="Arial" w:cs="Arial" w:eastAsia="Arial" w:hAnsi="Arial"/>
                <w:sz w:val="18"/>
                <w:szCs w:val="18"/>
                <w:color w:val="auto"/>
              </w:rPr>
              <w:t>Baseline</w:t>
            </w:r>
          </w:p>
        </w:tc>
        <w:tc>
          <w:tcPr>
            <w:tcW w:w="480" w:type="dxa"/>
            <w:vAlign w:val="bottom"/>
            <w:tcBorders>
              <w:bottom w:val="single" w:sz="8" w:color="AEABAB"/>
            </w:tcBorders>
          </w:tcPr>
          <w:p>
            <w:pPr>
              <w:jc w:val="right"/>
              <w:ind w:right="32"/>
              <w:spacing w:after="0" w:line="204" w:lineRule="exact"/>
              <w:rPr>
                <w:sz w:val="20"/>
                <w:szCs w:val="20"/>
                <w:color w:val="auto"/>
              </w:rPr>
            </w:pPr>
            <w:r>
              <w:rPr>
                <w:rFonts w:ascii="Arial" w:cs="Arial" w:eastAsia="Arial" w:hAnsi="Arial"/>
                <w:sz w:val="18"/>
                <w:szCs w:val="18"/>
                <w:color w:val="auto"/>
              </w:rPr>
              <w:t>49</w:t>
            </w:r>
          </w:p>
        </w:tc>
        <w:tc>
          <w:tcPr>
            <w:tcW w:w="1460" w:type="dxa"/>
            <w:vAlign w:val="bottom"/>
            <w:tcBorders>
              <w:bottom w:val="single" w:sz="8" w:color="AEABAB"/>
            </w:tcBorders>
          </w:tcPr>
          <w:p>
            <w:pPr>
              <w:ind w:left="120"/>
              <w:spacing w:after="0" w:line="204" w:lineRule="exact"/>
              <w:rPr>
                <w:sz w:val="20"/>
                <w:szCs w:val="20"/>
                <w:color w:val="auto"/>
              </w:rPr>
            </w:pPr>
            <w:r>
              <w:rPr>
                <w:rFonts w:ascii="Arial" w:cs="Arial" w:eastAsia="Arial" w:hAnsi="Arial"/>
                <w:sz w:val="18"/>
                <w:szCs w:val="18"/>
                <w:color w:val="auto"/>
              </w:rPr>
              <w:t>23.18 (1.42)</w:t>
            </w:r>
          </w:p>
        </w:tc>
        <w:tc>
          <w:tcPr>
            <w:tcW w:w="760" w:type="dxa"/>
            <w:vAlign w:val="bottom"/>
            <w:tcBorders>
              <w:bottom w:val="single" w:sz="8" w:color="AEABAB"/>
            </w:tcBorders>
          </w:tcPr>
          <w:p>
            <w:pPr>
              <w:jc w:val="right"/>
              <w:ind w:right="12"/>
              <w:spacing w:after="0" w:line="204" w:lineRule="exact"/>
              <w:rPr>
                <w:sz w:val="20"/>
                <w:szCs w:val="20"/>
                <w:color w:val="auto"/>
              </w:rPr>
            </w:pPr>
            <w:r>
              <w:rPr>
                <w:rFonts w:ascii="Arial" w:cs="Arial" w:eastAsia="Arial" w:hAnsi="Arial"/>
                <w:sz w:val="18"/>
                <w:szCs w:val="18"/>
                <w:color w:val="auto"/>
              </w:rPr>
              <w:t>25</w:t>
            </w:r>
          </w:p>
        </w:tc>
        <w:tc>
          <w:tcPr>
            <w:tcW w:w="1940" w:type="dxa"/>
            <w:vAlign w:val="bottom"/>
            <w:tcBorders>
              <w:bottom w:val="single" w:sz="8" w:color="AEABAB"/>
            </w:tcBorders>
          </w:tcPr>
          <w:p>
            <w:pPr>
              <w:ind w:left="120"/>
              <w:spacing w:after="0" w:line="204" w:lineRule="exact"/>
              <w:rPr>
                <w:sz w:val="20"/>
                <w:szCs w:val="20"/>
                <w:color w:val="auto"/>
              </w:rPr>
            </w:pPr>
            <w:r>
              <w:rPr>
                <w:rFonts w:ascii="Arial" w:cs="Arial" w:eastAsia="Arial" w:hAnsi="Arial"/>
                <w:sz w:val="18"/>
                <w:szCs w:val="18"/>
                <w:color w:val="auto"/>
              </w:rPr>
              <w:t>25.16 (2.14)</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Month 24</w:t>
            </w:r>
          </w:p>
        </w:tc>
        <w:tc>
          <w:tcPr>
            <w:tcW w:w="480" w:type="dxa"/>
            <w:vAlign w:val="bottom"/>
            <w:tcBorders>
              <w:bottom w:val="single" w:sz="8" w:color="AEABAB"/>
            </w:tcBorders>
          </w:tcPr>
          <w:p>
            <w:pPr>
              <w:jc w:val="right"/>
              <w:ind w:right="32"/>
              <w:spacing w:after="0"/>
              <w:rPr>
                <w:sz w:val="20"/>
                <w:szCs w:val="20"/>
                <w:color w:val="auto"/>
              </w:rPr>
            </w:pPr>
            <w:r>
              <w:rPr>
                <w:rFonts w:ascii="Arial" w:cs="Arial" w:eastAsia="Arial" w:hAnsi="Arial"/>
                <w:sz w:val="18"/>
                <w:szCs w:val="18"/>
                <w:color w:val="auto"/>
              </w:rPr>
              <w:t>46</w:t>
            </w:r>
          </w:p>
        </w:tc>
        <w:tc>
          <w:tcPr>
            <w:tcW w:w="146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rPr>
              <w:t>22.11 (1.80)</w:t>
            </w:r>
          </w:p>
        </w:tc>
        <w:tc>
          <w:tcPr>
            <w:tcW w:w="760" w:type="dxa"/>
            <w:vAlign w:val="bottom"/>
            <w:tcBorders>
              <w:bottom w:val="single" w:sz="8" w:color="AEABAB"/>
            </w:tcBorders>
          </w:tcPr>
          <w:p>
            <w:pPr>
              <w:jc w:val="right"/>
              <w:ind w:right="12"/>
              <w:spacing w:after="0"/>
              <w:rPr>
                <w:sz w:val="20"/>
                <w:szCs w:val="20"/>
                <w:color w:val="auto"/>
              </w:rPr>
            </w:pPr>
            <w:r>
              <w:rPr>
                <w:rFonts w:ascii="Arial" w:cs="Arial" w:eastAsia="Arial" w:hAnsi="Arial"/>
                <w:sz w:val="18"/>
                <w:szCs w:val="18"/>
                <w:color w:val="auto"/>
              </w:rPr>
              <w:t>23</w:t>
            </w:r>
          </w:p>
        </w:tc>
        <w:tc>
          <w:tcPr>
            <w:tcW w:w="19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rPr>
              <w:t>27.09 (2.30)</w:t>
            </w:r>
          </w:p>
        </w:tc>
        <w:tc>
          <w:tcPr>
            <w:tcW w:w="0" w:type="dxa"/>
            <w:vAlign w:val="bottom"/>
          </w:tcPr>
          <w:p>
            <w:pPr>
              <w:spacing w:after="0"/>
              <w:rPr>
                <w:sz w:val="1"/>
                <w:szCs w:val="1"/>
                <w:color w:val="auto"/>
              </w:rPr>
            </w:pPr>
          </w:p>
        </w:tc>
      </w:tr>
      <w:tr>
        <w:trPr>
          <w:trHeight w:val="231"/>
        </w:trPr>
        <w:tc>
          <w:tcPr>
            <w:tcW w:w="1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Change from Baseline</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w:t>
            </w: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-2.07 (0.77)</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2.04 (1.10)</w:t>
            </w:r>
          </w:p>
        </w:tc>
        <w:tc>
          <w:tcPr>
            <w:tcW w:w="0" w:type="dxa"/>
            <w:vAlign w:val="bottom"/>
          </w:tcPr>
          <w:p>
            <w:pPr>
              <w:spacing w:after="0"/>
              <w:rPr>
                <w:sz w:val="1"/>
                <w:szCs w:val="1"/>
                <w:color w:val="auto"/>
              </w:rPr>
            </w:pPr>
          </w:p>
        </w:tc>
      </w:tr>
      <w:tr>
        <w:trPr>
          <w:trHeight w:val="189"/>
        </w:trPr>
        <w:tc>
          <w:tcPr>
            <w:tcW w:w="23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BPI (score for pain at its</w:t>
            </w:r>
          </w:p>
        </w:tc>
        <w:tc>
          <w:tcPr>
            <w:tcW w:w="1880" w:type="dxa"/>
            <w:vAlign w:val="bottom"/>
          </w:tcPr>
          <w:p>
            <w:pPr>
              <w:ind w:left="100"/>
              <w:spacing w:after="0" w:line="189" w:lineRule="exact"/>
              <w:rPr>
                <w:sz w:val="20"/>
                <w:szCs w:val="20"/>
                <w:color w:val="auto"/>
              </w:rPr>
            </w:pPr>
            <w:r>
              <w:rPr>
                <w:rFonts w:ascii="Arial" w:cs="Arial" w:eastAsia="Arial" w:hAnsi="Arial"/>
                <w:sz w:val="18"/>
                <w:szCs w:val="18"/>
                <w:color w:val="auto"/>
              </w:rPr>
              <w:t>Baseline</w:t>
            </w:r>
          </w:p>
        </w:tc>
        <w:tc>
          <w:tcPr>
            <w:tcW w:w="480" w:type="dxa"/>
            <w:vAlign w:val="bottom"/>
          </w:tcPr>
          <w:p>
            <w:pPr>
              <w:jc w:val="right"/>
              <w:ind w:right="32"/>
              <w:spacing w:after="0" w:line="189" w:lineRule="exact"/>
              <w:rPr>
                <w:sz w:val="20"/>
                <w:szCs w:val="20"/>
                <w:color w:val="auto"/>
              </w:rPr>
            </w:pPr>
            <w:r>
              <w:rPr>
                <w:rFonts w:ascii="Arial" w:cs="Arial" w:eastAsia="Arial" w:hAnsi="Arial"/>
                <w:sz w:val="18"/>
                <w:szCs w:val="18"/>
                <w:color w:val="auto"/>
              </w:rPr>
              <w:t>52</w:t>
            </w:r>
          </w:p>
        </w:tc>
        <w:tc>
          <w:tcPr>
            <w:tcW w:w="1460" w:type="dxa"/>
            <w:vAlign w:val="bottom"/>
          </w:tcPr>
          <w:p>
            <w:pPr>
              <w:ind w:left="120"/>
              <w:spacing w:after="0" w:line="189" w:lineRule="exact"/>
              <w:rPr>
                <w:sz w:val="20"/>
                <w:szCs w:val="20"/>
                <w:color w:val="auto"/>
              </w:rPr>
            </w:pPr>
            <w:r>
              <w:rPr>
                <w:rFonts w:ascii="Arial" w:cs="Arial" w:eastAsia="Arial" w:hAnsi="Arial"/>
                <w:sz w:val="18"/>
                <w:szCs w:val="18"/>
                <w:color w:val="auto"/>
              </w:rPr>
              <w:t>3.5 (0.4)</w:t>
            </w:r>
          </w:p>
        </w:tc>
        <w:tc>
          <w:tcPr>
            <w:tcW w:w="760" w:type="dxa"/>
            <w:vAlign w:val="bottom"/>
          </w:tcPr>
          <w:p>
            <w:pPr>
              <w:jc w:val="right"/>
              <w:ind w:right="12"/>
              <w:spacing w:after="0" w:line="189" w:lineRule="exact"/>
              <w:rPr>
                <w:sz w:val="20"/>
                <w:szCs w:val="20"/>
                <w:color w:val="auto"/>
              </w:rPr>
            </w:pPr>
            <w:r>
              <w:rPr>
                <w:rFonts w:ascii="Arial" w:cs="Arial" w:eastAsia="Arial" w:hAnsi="Arial"/>
                <w:sz w:val="18"/>
                <w:szCs w:val="18"/>
                <w:color w:val="auto"/>
              </w:rPr>
              <w:t>25</w:t>
            </w:r>
          </w:p>
        </w:tc>
        <w:tc>
          <w:tcPr>
            <w:tcW w:w="1940" w:type="dxa"/>
            <w:vAlign w:val="bottom"/>
          </w:tcPr>
          <w:p>
            <w:pPr>
              <w:ind w:left="120"/>
              <w:spacing w:after="0" w:line="189" w:lineRule="exact"/>
              <w:rPr>
                <w:sz w:val="20"/>
                <w:szCs w:val="20"/>
                <w:color w:val="auto"/>
              </w:rPr>
            </w:pPr>
            <w:r>
              <w:rPr>
                <w:rFonts w:ascii="Arial" w:cs="Arial" w:eastAsia="Arial" w:hAnsi="Arial"/>
                <w:sz w:val="18"/>
                <w:szCs w:val="18"/>
                <w:color w:val="auto"/>
              </w:rPr>
              <w:t>2.6 (0.6)</w:t>
            </w:r>
          </w:p>
        </w:tc>
        <w:tc>
          <w:tcPr>
            <w:tcW w:w="0" w:type="dxa"/>
            <w:vAlign w:val="bottom"/>
          </w:tcPr>
          <w:p>
            <w:pPr>
              <w:spacing w:after="0"/>
              <w:rPr>
                <w:sz w:val="1"/>
                <w:szCs w:val="1"/>
                <w:color w:val="auto"/>
              </w:rPr>
            </w:pPr>
          </w:p>
        </w:tc>
      </w:tr>
      <w:tr>
        <w:trPr>
          <w:trHeight w:val="22"/>
        </w:trPr>
        <w:tc>
          <w:tcPr>
            <w:tcW w:w="2380" w:type="dxa"/>
            <w:vAlign w:val="bottom"/>
            <w:gridSpan w:val="2"/>
            <w:vMerge w:val="restart"/>
          </w:tcPr>
          <w:p>
            <w:pPr>
              <w:ind w:left="100"/>
              <w:spacing w:after="0" w:line="272" w:lineRule="exact"/>
              <w:rPr>
                <w:sz w:val="20"/>
                <w:szCs w:val="20"/>
                <w:color w:val="auto"/>
              </w:rPr>
            </w:pPr>
            <w:r>
              <w:rPr>
                <w:rFonts w:ascii="Arial" w:cs="Arial" w:eastAsia="Arial" w:hAnsi="Arial"/>
                <w:sz w:val="18"/>
                <w:szCs w:val="18"/>
                <w:color w:val="auto"/>
              </w:rPr>
              <w:t>worst)</w:t>
            </w:r>
            <w:r>
              <w:rPr>
                <w:rFonts w:ascii="Arial" w:cs="Arial" w:eastAsia="Arial" w:hAnsi="Arial"/>
                <w:sz w:val="26"/>
                <w:szCs w:val="26"/>
                <w:color w:val="auto"/>
                <w:vertAlign w:val="superscript"/>
              </w:rPr>
              <w:t>b</w:t>
            </w:r>
          </w:p>
        </w:tc>
        <w:tc>
          <w:tcPr>
            <w:tcW w:w="1880" w:type="dxa"/>
            <w:vAlign w:val="bottom"/>
            <w:tcBorders>
              <w:bottom w:val="single" w:sz="8" w:color="AEABAB"/>
            </w:tcBorders>
          </w:tcPr>
          <w:p>
            <w:pPr>
              <w:spacing w:after="0" w:line="20" w:lineRule="exact"/>
              <w:rPr>
                <w:sz w:val="1"/>
                <w:szCs w:val="1"/>
                <w:color w:val="auto"/>
              </w:rPr>
            </w:pPr>
          </w:p>
        </w:tc>
        <w:tc>
          <w:tcPr>
            <w:tcW w:w="480" w:type="dxa"/>
            <w:vAlign w:val="bottom"/>
            <w:tcBorders>
              <w:bottom w:val="single" w:sz="8" w:color="AEABAB"/>
            </w:tcBorders>
          </w:tcPr>
          <w:p>
            <w:pPr>
              <w:spacing w:after="0" w:line="20" w:lineRule="exact"/>
              <w:rPr>
                <w:sz w:val="1"/>
                <w:szCs w:val="1"/>
                <w:color w:val="auto"/>
              </w:rPr>
            </w:pPr>
          </w:p>
        </w:tc>
        <w:tc>
          <w:tcPr>
            <w:tcW w:w="1460" w:type="dxa"/>
            <w:vAlign w:val="bottom"/>
            <w:tcBorders>
              <w:bottom w:val="single" w:sz="8" w:color="AEABAB"/>
            </w:tcBorders>
          </w:tcPr>
          <w:p>
            <w:pPr>
              <w:spacing w:after="0" w:line="20" w:lineRule="exact"/>
              <w:rPr>
                <w:sz w:val="1"/>
                <w:szCs w:val="1"/>
                <w:color w:val="auto"/>
              </w:rPr>
            </w:pPr>
          </w:p>
        </w:tc>
        <w:tc>
          <w:tcPr>
            <w:tcW w:w="760" w:type="dxa"/>
            <w:vAlign w:val="bottom"/>
            <w:tcBorders>
              <w:bottom w:val="single" w:sz="8" w:color="AEABAB"/>
            </w:tcBorders>
          </w:tcPr>
          <w:p>
            <w:pPr>
              <w:spacing w:after="0" w:line="20" w:lineRule="exact"/>
              <w:rPr>
                <w:sz w:val="1"/>
                <w:szCs w:val="1"/>
                <w:color w:val="auto"/>
              </w:rPr>
            </w:pPr>
          </w:p>
        </w:tc>
        <w:tc>
          <w:tcPr>
            <w:tcW w:w="1940" w:type="dxa"/>
            <w:vAlign w:val="bottom"/>
            <w:tcBorders>
              <w:bottom w:val="single" w:sz="8" w:color="AEABA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380" w:type="dxa"/>
            <w:vAlign w:val="bottom"/>
            <w:gridSpan w:val="2"/>
            <w:vMerge w:val="continue"/>
          </w:tcPr>
          <w:p>
            <w:pPr>
              <w:spacing w:after="0"/>
              <w:rPr>
                <w:sz w:val="20"/>
                <w:szCs w:val="20"/>
                <w:color w:val="auto"/>
              </w:rPr>
            </w:pPr>
          </w:p>
        </w:tc>
        <w:tc>
          <w:tcPr>
            <w:tcW w:w="1880" w:type="dxa"/>
            <w:vAlign w:val="bottom"/>
            <w:tcBorders>
              <w:bottom w:val="single" w:sz="8" w:color="AEABAB"/>
            </w:tcBorders>
          </w:tcPr>
          <w:p>
            <w:pPr>
              <w:ind w:left="100"/>
              <w:spacing w:after="0"/>
              <w:rPr>
                <w:sz w:val="20"/>
                <w:szCs w:val="20"/>
                <w:color w:val="auto"/>
              </w:rPr>
            </w:pPr>
            <w:r>
              <w:rPr>
                <w:rFonts w:ascii="Arial" w:cs="Arial" w:eastAsia="Arial" w:hAnsi="Arial"/>
                <w:sz w:val="18"/>
                <w:szCs w:val="18"/>
                <w:color w:val="auto"/>
              </w:rPr>
              <w:t>Month 24</w:t>
            </w:r>
          </w:p>
        </w:tc>
        <w:tc>
          <w:tcPr>
            <w:tcW w:w="480" w:type="dxa"/>
            <w:vAlign w:val="bottom"/>
            <w:tcBorders>
              <w:bottom w:val="single" w:sz="8" w:color="AEABAB"/>
            </w:tcBorders>
          </w:tcPr>
          <w:p>
            <w:pPr>
              <w:jc w:val="right"/>
              <w:ind w:right="32"/>
              <w:spacing w:after="0"/>
              <w:rPr>
                <w:sz w:val="20"/>
                <w:szCs w:val="20"/>
                <w:color w:val="auto"/>
              </w:rPr>
            </w:pPr>
            <w:r>
              <w:rPr>
                <w:rFonts w:ascii="Arial" w:cs="Arial" w:eastAsia="Arial" w:hAnsi="Arial"/>
                <w:sz w:val="18"/>
                <w:szCs w:val="18"/>
                <w:color w:val="auto"/>
              </w:rPr>
              <w:t>45</w:t>
            </w:r>
          </w:p>
        </w:tc>
        <w:tc>
          <w:tcPr>
            <w:tcW w:w="146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rPr>
              <w:t>3.3 (0.5)</w:t>
            </w:r>
          </w:p>
        </w:tc>
        <w:tc>
          <w:tcPr>
            <w:tcW w:w="760" w:type="dxa"/>
            <w:vAlign w:val="bottom"/>
            <w:tcBorders>
              <w:bottom w:val="single" w:sz="8" w:color="AEABAB"/>
            </w:tcBorders>
          </w:tcPr>
          <w:p>
            <w:pPr>
              <w:jc w:val="right"/>
              <w:ind w:right="12"/>
              <w:spacing w:after="0"/>
              <w:rPr>
                <w:sz w:val="20"/>
                <w:szCs w:val="20"/>
                <w:color w:val="auto"/>
              </w:rPr>
            </w:pPr>
            <w:r>
              <w:rPr>
                <w:rFonts w:ascii="Arial" w:cs="Arial" w:eastAsia="Arial" w:hAnsi="Arial"/>
                <w:sz w:val="18"/>
                <w:szCs w:val="18"/>
                <w:color w:val="auto"/>
              </w:rPr>
              <w:t>22</w:t>
            </w:r>
          </w:p>
        </w:tc>
        <w:tc>
          <w:tcPr>
            <w:tcW w:w="1940" w:type="dxa"/>
            <w:vAlign w:val="bottom"/>
            <w:tcBorders>
              <w:bottom w:val="single" w:sz="8" w:color="AEABAB"/>
            </w:tcBorders>
          </w:tcPr>
          <w:p>
            <w:pPr>
              <w:ind w:left="120"/>
              <w:spacing w:after="0"/>
              <w:rPr>
                <w:sz w:val="20"/>
                <w:szCs w:val="20"/>
                <w:color w:val="auto"/>
              </w:rPr>
            </w:pPr>
            <w:r>
              <w:rPr>
                <w:rFonts w:ascii="Arial" w:cs="Arial" w:eastAsia="Arial" w:hAnsi="Arial"/>
                <w:sz w:val="18"/>
                <w:szCs w:val="18"/>
                <w:color w:val="auto"/>
              </w:rPr>
              <w:t>3.0 (0.7)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w w:val="98"/>
              </w:rPr>
              <w:t>Change from Baseline</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460" w:type="dxa"/>
            <w:vAlign w:val="bottom"/>
          </w:tcPr>
          <w:p>
            <w:pPr>
              <w:ind w:left="120"/>
              <w:spacing w:after="0"/>
              <w:rPr>
                <w:sz w:val="20"/>
                <w:szCs w:val="20"/>
                <w:color w:val="auto"/>
              </w:rPr>
            </w:pPr>
            <w:r>
              <w:rPr>
                <w:rFonts w:ascii="Arial" w:cs="Arial" w:eastAsia="Arial" w:hAnsi="Arial"/>
                <w:sz w:val="18"/>
                <w:szCs w:val="18"/>
                <w:color w:val="auto"/>
              </w:rPr>
              <w:t>-0.1 (0.5)</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940" w:type="dxa"/>
            <w:vAlign w:val="bottom"/>
          </w:tcPr>
          <w:p>
            <w:pPr>
              <w:ind w:left="120"/>
              <w:spacing w:after="0"/>
              <w:rPr>
                <w:sz w:val="20"/>
                <w:szCs w:val="20"/>
                <w:color w:val="auto"/>
              </w:rPr>
            </w:pPr>
            <w:r>
              <w:rPr>
                <w:rFonts w:ascii="Arial" w:cs="Arial" w:eastAsia="Arial" w:hAnsi="Arial"/>
                <w:sz w:val="18"/>
                <w:szCs w:val="18"/>
                <w:color w:val="auto"/>
              </w:rPr>
              <w:t>0.6 (0.6)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-911225</wp:posOffset>
            </wp:positionV>
            <wp:extent cx="5653405" cy="929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929640"/>
                    </a:xfrm>
                    <a:prstGeom prst="rect">
                      <a:avLst/>
                    </a:prstGeom>
                    <a:noFill/>
                  </pic:spPr>
                </pic:pic>
              </a:graphicData>
            </a:graphic>
          </wp:anchor>
        </w:drawing>
      </w:r>
    </w:p>
    <w:p>
      <w:pPr>
        <w:ind w:right="140"/>
        <w:spacing w:after="0" w:line="222" w:lineRule="auto"/>
        <w:rPr>
          <w:sz w:val="20"/>
          <w:szCs w:val="20"/>
          <w:color w:val="auto"/>
        </w:rPr>
      </w:pPr>
      <w:r>
        <w:rPr>
          <w:rFonts w:ascii="Arial" w:cs="Arial" w:eastAsia="Arial" w:hAnsi="Arial"/>
          <w:sz w:val="14"/>
          <w:szCs w:val="14"/>
          <w:color w:val="auto"/>
        </w:rPr>
        <w:t>BPI=brief pain inventory; eGFR=estimated glomerular filtration rate; lyso-Gb</w:t>
      </w:r>
      <w:r>
        <w:rPr>
          <w:rFonts w:ascii="Arial" w:cs="Arial" w:eastAsia="Arial" w:hAnsi="Arial"/>
          <w:sz w:val="21"/>
          <w:szCs w:val="21"/>
          <w:color w:val="auto"/>
          <w:vertAlign w:val="subscript"/>
        </w:rPr>
        <w:t>3</w:t>
      </w:r>
      <w:r>
        <w:rPr>
          <w:rFonts w:ascii="Arial" w:cs="Arial" w:eastAsia="Arial" w:hAnsi="Arial"/>
          <w:sz w:val="14"/>
          <w:szCs w:val="14"/>
          <w:color w:val="auto"/>
        </w:rPr>
        <w:t>=globotriaosylsphingosine; LVMI=Left Ventricular Mass Index; MSSI=Mainz Severity Score Index; UPCR=Urine Protein Creatinine Ratio.</w:t>
      </w:r>
    </w:p>
    <w:p>
      <w:pPr>
        <w:spacing w:after="0" w:line="134" w:lineRule="exact"/>
        <w:rPr>
          <w:sz w:val="20"/>
          <w:szCs w:val="20"/>
          <w:color w:val="auto"/>
        </w:rPr>
      </w:pPr>
    </w:p>
    <w:p>
      <w:pPr>
        <w:ind w:left="80" w:hanging="74"/>
        <w:spacing w:after="0"/>
        <w:tabs>
          <w:tab w:leader="none" w:pos="80" w:val="left"/>
        </w:tabs>
        <w:numPr>
          <w:ilvl w:val="0"/>
          <w:numId w:val="21"/>
        </w:numPr>
        <w:rPr>
          <w:rFonts w:ascii="Arial" w:cs="Arial" w:eastAsia="Arial" w:hAnsi="Arial"/>
          <w:sz w:val="19"/>
          <w:szCs w:val="19"/>
          <w:color w:val="auto"/>
          <w:vertAlign w:val="superscript"/>
        </w:rPr>
      </w:pPr>
      <w:r>
        <w:rPr>
          <w:rFonts w:ascii="Arial" w:cs="Arial" w:eastAsia="Arial" w:hAnsi="Arial"/>
          <w:sz w:val="13"/>
          <w:szCs w:val="13"/>
          <w:color w:val="auto"/>
        </w:rPr>
        <w:t xml:space="preserve">Wanner 2018; </w:t>
      </w:r>
      <w:r>
        <w:rPr>
          <w:rFonts w:ascii="Arial" w:cs="Arial" w:eastAsia="Arial" w:hAnsi="Arial"/>
          <w:sz w:val="19"/>
          <w:szCs w:val="19"/>
          <w:color w:val="auto"/>
          <w:vertAlign w:val="superscript"/>
        </w:rPr>
        <w:t>b</w:t>
      </w:r>
      <w:r>
        <w:rPr>
          <w:rFonts w:ascii="Arial" w:cs="Arial" w:eastAsia="Arial" w:hAnsi="Arial"/>
          <w:sz w:val="13"/>
          <w:szCs w:val="13"/>
          <w:color w:val="auto"/>
        </w:rPr>
        <w:t xml:space="preserve"> Higher scores indicate higher symptom severity.</w:t>
      </w:r>
    </w:p>
    <w:p>
      <w:pPr>
        <w:spacing w:after="0" w:line="122"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50"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Treatment-related adverse events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 11 (21.2%) patients in the PRX-102 arm experienced a total of 13 events compared to six (24.0%) patients experiencing a total of 51 events in the agalsidase beta arm. The number of infusion-related reactions adjusted to 100 infusions is 0.5 for the PRX-102 arm and 3.9 for the agalsidase beta arm.</w:t>
      </w:r>
    </w:p>
    <w:p>
      <w:pPr>
        <w:spacing w:after="0" w:line="14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who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3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53" w:lineRule="exact"/>
        <w:rPr>
          <w:sz w:val="20"/>
          <w:szCs w:val="20"/>
          <w:color w:val="auto"/>
        </w:rPr>
      </w:pPr>
    </w:p>
    <w:p>
      <w:pPr>
        <w:ind w:right="460"/>
        <w:spacing w:after="0" w:line="325" w:lineRule="auto"/>
        <w:rPr>
          <w:sz w:val="20"/>
          <w:szCs w:val="20"/>
          <w:color w:val="auto"/>
        </w:rPr>
      </w:pPr>
      <w:r>
        <w:rPr>
          <w:rFonts w:ascii="Arial" w:cs="Arial" w:eastAsia="Arial" w:hAnsi="Arial"/>
          <w:sz w:val="16"/>
          <w:szCs w:val="16"/>
          <w:color w:val="auto"/>
        </w:rPr>
        <w:t>Considering that in the trial, patients in the PRX-102 arm were exposed for the first time to the novel enzyme, tolerability data appear favorable for PRX-102 and in line with what was observed in the previous clinical studies of PRX-102.</w:t>
      </w:r>
    </w:p>
    <w:p>
      <w:pPr>
        <w:spacing w:after="0" w:line="108"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Of the patients who completed the trial from both the PRX-102 and agalsidase beta treatment arms, 69 have opted, with the advice of the treating physician, to receive PRX-102 1 mg/kg every two weeks in the long-term open-label extension study which is now sponsored by Chiesi.</w:t>
      </w:r>
    </w:p>
    <w:p>
      <w:pPr>
        <w:spacing w:after="0" w:line="15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50" w:lineRule="exact"/>
        <w:rPr>
          <w:sz w:val="20"/>
          <w:szCs w:val="20"/>
          <w:color w:val="auto"/>
        </w:rPr>
      </w:pPr>
    </w:p>
    <w:p>
      <w:pPr>
        <w:ind w:right="760"/>
        <w:spacing w:after="0" w:line="325" w:lineRule="auto"/>
        <w:rPr>
          <w:sz w:val="20"/>
          <w:szCs w:val="20"/>
          <w:color w:val="auto"/>
        </w:rPr>
      </w:pPr>
      <w:r>
        <w:rPr>
          <w:rFonts w:ascii="Arial" w:cs="Arial" w:eastAsia="Arial" w:hAnsi="Arial"/>
          <w:sz w:val="16"/>
          <w:szCs w:val="16"/>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860"/>
          </w:cols>
          <w:pgMar w:left="980" w:top="632" w:right="10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Phase III BRIDGE Study</w:t>
      </w:r>
    </w:p>
    <w:p>
      <w:pPr>
        <w:spacing w:after="0" w:line="175"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was completed in December 2019. In the study, patients were screened and evaluated over three months while continuing agalsidase alfa treatment.</w:t>
      </w:r>
    </w:p>
    <w:p>
      <w:pPr>
        <w:spacing w:after="0" w:line="155"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 xml:space="preserve">Final results of the data generated in the </w:t>
      </w:r>
      <w:r>
        <w:rPr>
          <w:rFonts w:ascii="Arial" w:cs="Arial" w:eastAsia="Arial" w:hAnsi="Arial"/>
          <w:sz w:val="16"/>
          <w:szCs w:val="16"/>
          <w:i w:val="1"/>
          <w:iCs w:val="1"/>
          <w:color w:val="auto"/>
        </w:rPr>
        <w:t>BRIDGE</w:t>
      </w:r>
      <w:r>
        <w:rPr>
          <w:rFonts w:ascii="Arial" w:cs="Arial" w:eastAsia="Arial" w:hAnsi="Arial"/>
          <w:sz w:val="16"/>
          <w:szCs w:val="16"/>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 -5.90 mL/min/1.73 m</w:t>
      </w:r>
      <w:r>
        <w:rPr>
          <w:rFonts w:ascii="Arial" w:cs="Arial" w:eastAsia="Arial" w:hAnsi="Arial"/>
          <w:sz w:val="24"/>
          <w:szCs w:val="24"/>
          <w:color w:val="auto"/>
          <w:vertAlign w:val="superscript"/>
        </w:rPr>
        <w:t>2</w:t>
      </w:r>
      <w:r>
        <w:rPr>
          <w:rFonts w:ascii="Arial" w:cs="Arial" w:eastAsia="Arial" w:hAnsi="Arial"/>
          <w:sz w:val="16"/>
          <w:szCs w:val="16"/>
          <w:color w:val="auto"/>
        </w:rPr>
        <w:t>/year while on agalsidase alfa to -1.19 mL/min/1.73 m</w:t>
      </w:r>
      <w:r>
        <w:rPr>
          <w:rFonts w:ascii="Arial" w:cs="Arial" w:eastAsia="Arial" w:hAnsi="Arial"/>
          <w:sz w:val="24"/>
          <w:szCs w:val="24"/>
          <w:color w:val="auto"/>
          <w:vertAlign w:val="superscript"/>
        </w:rPr>
        <w:t>2</w:t>
      </w:r>
      <w:r>
        <w:rPr>
          <w:rFonts w:ascii="Arial" w:cs="Arial" w:eastAsia="Arial" w:hAnsi="Arial"/>
          <w:sz w:val="16"/>
          <w:szCs w:val="16"/>
          <w:color w:val="auto"/>
        </w:rPr>
        <w:t>/year on PRX-102 in all patients. Male patients improved from -6.36 mL/min/1.73 m</w:t>
      </w:r>
      <w:r>
        <w:rPr>
          <w:rFonts w:ascii="Arial" w:cs="Arial" w:eastAsia="Arial" w:hAnsi="Arial"/>
          <w:sz w:val="24"/>
          <w:szCs w:val="24"/>
          <w:color w:val="auto"/>
          <w:vertAlign w:val="superscript"/>
        </w:rPr>
        <w:t>2</w:t>
      </w:r>
      <w:r>
        <w:rPr>
          <w:rFonts w:ascii="Arial" w:cs="Arial" w:eastAsia="Arial" w:hAnsi="Arial"/>
          <w:sz w:val="16"/>
          <w:szCs w:val="16"/>
          <w:color w:val="auto"/>
        </w:rPr>
        <w:t>/year to -1.73 mL/min/1.73 m</w:t>
      </w:r>
      <w:r>
        <w:rPr>
          <w:rFonts w:ascii="Arial" w:cs="Arial" w:eastAsia="Arial" w:hAnsi="Arial"/>
          <w:sz w:val="24"/>
          <w:szCs w:val="24"/>
          <w:color w:val="auto"/>
          <w:vertAlign w:val="superscript"/>
        </w:rPr>
        <w:t>2</w:t>
      </w:r>
      <w:r>
        <w:rPr>
          <w:rFonts w:ascii="Arial" w:cs="Arial" w:eastAsia="Arial" w:hAnsi="Arial"/>
          <w:sz w:val="16"/>
          <w:szCs w:val="16"/>
          <w:color w:val="auto"/>
        </w:rPr>
        <w:t>/year and female patients improved from -5.03 mL/min/1.73 m</w:t>
      </w:r>
      <w:r>
        <w:rPr>
          <w:rFonts w:ascii="Arial" w:cs="Arial" w:eastAsia="Arial" w:hAnsi="Arial"/>
          <w:sz w:val="24"/>
          <w:szCs w:val="24"/>
          <w:color w:val="auto"/>
          <w:vertAlign w:val="superscript"/>
        </w:rPr>
        <w:t>2</w:t>
      </w:r>
      <w:r>
        <w:rPr>
          <w:rFonts w:ascii="Arial" w:cs="Arial" w:eastAsia="Arial" w:hAnsi="Arial"/>
          <w:sz w:val="16"/>
          <w:szCs w:val="16"/>
          <w:color w:val="auto"/>
        </w:rPr>
        <w:t>/year to -0.21 mL/min/1.73 m</w:t>
      </w:r>
      <w:r>
        <w:rPr>
          <w:rFonts w:ascii="Arial" w:cs="Arial" w:eastAsia="Arial" w:hAnsi="Arial"/>
          <w:sz w:val="24"/>
          <w:szCs w:val="24"/>
          <w:color w:val="auto"/>
          <w:vertAlign w:val="superscript"/>
        </w:rPr>
        <w:t>2</w:t>
      </w:r>
      <w:r>
        <w:rPr>
          <w:rFonts w:ascii="Arial" w:cs="Arial" w:eastAsia="Arial" w:hAnsi="Arial"/>
          <w:sz w:val="16"/>
          <w:szCs w:val="16"/>
          <w:color w:val="auto"/>
        </w:rPr>
        <w:t>/year. Following the switch to PRX-102, there was a decrease in patients with progressing or fast progressing kidney disease which is consistent with the therapeutic goals for Fabry disease, as identified by Christoph Wanner, et. al., in 2019, and most patients achieved a stable status post-switch.</w:t>
      </w:r>
    </w:p>
    <w:p>
      <w:pPr>
        <w:spacing w:after="0" w:line="16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 xml:space="preserve">PRX-102 was well-tolerated in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with all adverse events being transient in nature without sequelae. Of the 22 patients enrolled in the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w:t>
      </w:r>
    </w:p>
    <w:p>
      <w:pPr>
        <w:spacing w:after="0" w:line="15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An immunogenicity assessment indicated that four out of 20 patients (20%) developed persistent ADAs over the course of the study, of which two had neutralizing activity.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Baseline characteristics of the 20 patients who completed the study, ranging from ages 28 to 60 years, were as follows: mean eGFR</w:t>
      </w:r>
    </w:p>
    <w:p>
      <w:pPr>
        <w:spacing w:after="0" w:line="27" w:lineRule="exact"/>
        <w:rPr>
          <w:sz w:val="20"/>
          <w:szCs w:val="20"/>
          <w:color w:val="auto"/>
        </w:rPr>
      </w:pPr>
    </w:p>
    <w:p>
      <w:pPr>
        <w:jc w:val="both"/>
        <w:ind w:right="280"/>
        <w:spacing w:after="0" w:line="186" w:lineRule="auto"/>
        <w:rPr>
          <w:sz w:val="20"/>
          <w:szCs w:val="20"/>
          <w:color w:val="auto"/>
        </w:rPr>
      </w:pPr>
      <w:r>
        <w:rPr>
          <w:rFonts w:ascii="Arial" w:cs="Arial" w:eastAsia="Arial" w:hAnsi="Arial"/>
          <w:sz w:val="17"/>
          <w:szCs w:val="17"/>
          <w:color w:val="auto"/>
        </w:rPr>
        <w:t>75.87 mL/min/1.73 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males, and 86.14 mL/min/1.73 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females and plasma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were 51.81 nM and 13.81 nM in males and females, respectively. While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remain slightly high, particularly within the male cohort, continuous reduction in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was observed of 19.55 nM (32.35%) in males and 4.57 nM (29.81%) in females.</w:t>
      </w:r>
    </w:p>
    <w:p>
      <w:pPr>
        <w:spacing w:after="0" w:line="16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Of the patients who completed the trial, 18 have opted, with the advice of the treating physician, to continue receiving PRX-102 1 mg/kg every two weeks in a long-term open-label extension study which now sponsored by Chiesi.</w:t>
      </w:r>
    </w:p>
    <w:p>
      <w:pPr>
        <w:spacing w:after="0" w:line="14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Phase III BRIGHT Study</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study, which studied the 2 mg/kg every four weeks dosage, was completed in June 2020. This dosage was not approved by the EMA or the FDA.</w:t>
      </w:r>
    </w:p>
    <w:p>
      <w:pPr>
        <w:spacing w:after="0" w:line="14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Arial" w:cs="Arial" w:eastAsia="Arial" w:hAnsi="Arial"/>
          <w:sz w:val="24"/>
          <w:szCs w:val="24"/>
          <w:color w:val="auto"/>
          <w:vertAlign w:val="subscript"/>
        </w:rPr>
        <w:t>3</w:t>
      </w:r>
      <w:r>
        <w:rPr>
          <w:rFonts w:ascii="Arial" w:cs="Arial" w:eastAsia="Arial" w:hAnsi="Arial"/>
          <w:sz w:val="16"/>
          <w:szCs w:val="16"/>
          <w:color w:val="auto"/>
        </w:rPr>
        <w:t xml:space="preserve"> levels as a Fabry biomarker, as well as other parameters. In addition, participating patients were evaluated to assess the safety and tolerability of PRX-102.</w:t>
      </w:r>
    </w:p>
    <w:p>
      <w:pPr>
        <w:spacing w:after="0" w:line="13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We announced final results from the </w:t>
      </w:r>
      <w:r>
        <w:rPr>
          <w:rFonts w:ascii="Arial" w:cs="Arial" w:eastAsia="Arial" w:hAnsi="Arial"/>
          <w:sz w:val="18"/>
          <w:szCs w:val="18"/>
          <w:i w:val="1"/>
          <w:iCs w:val="1"/>
          <w:color w:val="auto"/>
        </w:rPr>
        <w:t>BRIGHT</w:t>
      </w:r>
      <w:r>
        <w:rPr>
          <w:rFonts w:ascii="Arial" w:cs="Arial" w:eastAsia="Arial" w:hAnsi="Arial"/>
          <w:sz w:val="18"/>
          <w:szCs w:val="18"/>
          <w:color w:val="auto"/>
        </w:rPr>
        <w:t xml:space="preserve"> study in March 2022. The results indicate that 2 mg/kg of PRX-102 administered by intravenous infusion every four weeks was well tolerated, and Fabry disease assessed by eGFR slope and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76" w:lineRule="exact"/>
        <w:rPr>
          <w:sz w:val="20"/>
          <w:szCs w:val="20"/>
          <w:color w:val="auto"/>
        </w:rPr>
      </w:pPr>
    </w:p>
    <w:p>
      <w:pPr>
        <w:jc w:val="both"/>
        <w:ind w:right="100"/>
        <w:spacing w:after="0" w:line="300" w:lineRule="auto"/>
        <w:rPr>
          <w:sz w:val="20"/>
          <w:szCs w:val="20"/>
          <w:color w:val="auto"/>
        </w:rPr>
      </w:pPr>
      <w:r>
        <w:rPr>
          <w:rFonts w:ascii="Arial" w:cs="Arial" w:eastAsia="Arial" w:hAnsi="Arial"/>
          <w:sz w:val="16"/>
          <w:szCs w:val="16"/>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1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First infusions of PRX-102 were administered under controlled conditions at the investigation site. Based on the protocol-specified criteria, patients were able to receive their PRX-102 infusions at a home care setup once the applicable Investigator and Sponsor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880"/>
          </w:cols>
          <w:pgMar w:left="980" w:top="655" w:right="10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Medical Monitor agreed that it was safe to do so. Safety and efficacy exploratory endpoints were assessed throughout the 52-week study.</w:t>
      </w:r>
    </w:p>
    <w:p>
      <w:pPr>
        <w:spacing w:after="0" w:line="19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46"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Study outcome measures show that plasma lyso-Gb</w:t>
      </w:r>
      <w:r>
        <w:rPr>
          <w:rFonts w:ascii="Arial" w:cs="Arial" w:eastAsia="Arial" w:hAnsi="Arial"/>
          <w:sz w:val="26"/>
          <w:szCs w:val="26"/>
          <w:color w:val="auto"/>
          <w:vertAlign w:val="subscript"/>
        </w:rPr>
        <w:t>3</w:t>
      </w:r>
      <w:r>
        <w:rPr>
          <w:rFonts w:ascii="Arial" w:cs="Arial" w:eastAsia="Arial" w:hAnsi="Arial"/>
          <w:sz w:val="18"/>
          <w:szCs w:val="18"/>
          <w:color w:val="auto"/>
        </w:rPr>
        <w:t xml:space="preserve"> concentrations remained stable during the study with a mean change (±SE) of 3.01 nM (0.94) from baseline (19.36 nM ±3.35) to Week 52 (22.23 ±3.60 nM). Mean absolute eGFR values were stable during the 52-week treatment period, with a mean change from baseline of -1.27 mL/min/1.73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(1.39). Mean (SE) eGFR slope, at the end of the study, for the overall population, was -2.92 (1.05) mL/min/1.73 m</w:t>
      </w:r>
      <w:r>
        <w:rPr>
          <w:rFonts w:ascii="Arial" w:cs="Arial" w:eastAsia="Arial" w:hAnsi="Arial"/>
          <w:sz w:val="26"/>
          <w:szCs w:val="26"/>
          <w:color w:val="auto"/>
          <w:vertAlign w:val="superscript"/>
        </w:rPr>
        <w:t>2</w:t>
      </w:r>
      <w:r>
        <w:rPr>
          <w:rFonts w:ascii="Arial" w:cs="Arial" w:eastAsia="Arial" w:hAnsi="Arial"/>
          <w:sz w:val="18"/>
          <w:szCs w:val="18"/>
          <w:color w:val="auto"/>
        </w:rPr>
        <w:t>/year indicating stability.</w:t>
      </w:r>
    </w:p>
    <w:p>
      <w:pPr>
        <w:spacing w:after="0" w:line="5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I/II Study</w:t>
      </w:r>
    </w:p>
    <w:p>
      <w:pPr>
        <w:spacing w:after="0" w:line="18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 xml:space="preserve">Sixteen adult, naïve Fabry patients (9 male and 7 female) completed our phase I/II clinical trial of PRX-102, each in one of three dosing groups, 0.2 mg/kg, 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Arial" w:cs="Arial" w:eastAsia="Arial" w:hAnsi="Arial"/>
          <w:sz w:val="18"/>
          <w:szCs w:val="18"/>
          <w:i w:val="1"/>
          <w:iCs w:val="1"/>
          <w:color w:val="auto"/>
        </w:rPr>
        <w:t>BALANCE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BRIDGE</w:t>
      </w:r>
      <w:r>
        <w:rPr>
          <w:rFonts w:ascii="Arial" w:cs="Arial" w:eastAsia="Arial" w:hAnsi="Arial"/>
          <w:sz w:val="18"/>
          <w:szCs w:val="18"/>
          <w:color w:val="auto"/>
        </w:rPr>
        <w:t xml:space="preserve"> studies.</w:t>
      </w:r>
    </w:p>
    <w:p>
      <w:pPr>
        <w:spacing w:after="0" w:line="59"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The adult symptomatic, ERT-naïve Fabry disease patients enrolled in the phase I/II study were evaluated for Gb</w:t>
      </w:r>
      <w:r>
        <w:rPr>
          <w:rFonts w:ascii="Arial" w:cs="Arial" w:eastAsia="Arial" w:hAnsi="Arial"/>
          <w:sz w:val="22"/>
          <w:szCs w:val="22"/>
          <w:color w:val="auto"/>
          <w:vertAlign w:val="subscript"/>
        </w:rPr>
        <w:t>3</w:t>
      </w:r>
      <w:r>
        <w:rPr>
          <w:rFonts w:ascii="Arial" w:cs="Arial" w:eastAsia="Arial" w:hAnsi="Arial"/>
          <w:sz w:val="15"/>
          <w:szCs w:val="15"/>
          <w:color w:val="auto"/>
        </w:rPr>
        <w:t xml:space="preserve"> levels in kidney biopsies and for plasma lyso-Gb</w:t>
      </w:r>
      <w:r>
        <w:rPr>
          <w:rFonts w:ascii="Arial" w:cs="Arial" w:eastAsia="Arial" w:hAnsi="Arial"/>
          <w:sz w:val="22"/>
          <w:szCs w:val="22"/>
          <w:color w:val="auto"/>
          <w:vertAlign w:val="subscript"/>
        </w:rPr>
        <w:t>3</w:t>
      </w:r>
      <w:r>
        <w:rPr>
          <w:rFonts w:ascii="Arial" w:cs="Arial" w:eastAsia="Arial" w:hAnsi="Arial"/>
          <w:sz w:val="15"/>
          <w:szCs w:val="15"/>
          <w:color w:val="auto"/>
        </w:rPr>
        <w:t xml:space="preserve"> concentration by the quantitative BLISS methodology. Biopsies were available from 14 patients. The outcome of</w:t>
      </w:r>
    </w:p>
    <w:p>
      <w:pPr>
        <w:spacing w:after="0" w:line="2" w:lineRule="exact"/>
        <w:rPr>
          <w:sz w:val="20"/>
          <w:szCs w:val="20"/>
          <w:color w:val="auto"/>
        </w:rPr>
      </w:pPr>
    </w:p>
    <w:p>
      <w:pPr>
        <w:ind w:right="140" w:firstLine="6"/>
        <w:spacing w:after="0" w:line="205" w:lineRule="auto"/>
        <w:tabs>
          <w:tab w:leader="none" w:pos="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50% reduction in the average number of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inclusions burden and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 the circulation. A high correlation was found between the two Fabry disease biomarkers, reduction of kidney 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inclusions and the reduction of plasma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over six months of treatment.</w:t>
      </w:r>
    </w:p>
    <w:p>
      <w:pPr>
        <w:spacing w:after="0" w:line="151"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7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Results show that lyso-Gb</w:t>
      </w:r>
      <w:r>
        <w:rPr>
          <w:rFonts w:ascii="Arial" w:cs="Arial" w:eastAsia="Arial" w:hAnsi="Arial"/>
          <w:sz w:val="25"/>
          <w:szCs w:val="25"/>
          <w:color w:val="auto"/>
          <w:vertAlign w:val="subscript"/>
        </w:rPr>
        <w:t>3</w:t>
      </w:r>
      <w:r>
        <w:rPr>
          <w:rFonts w:ascii="Arial" w:cs="Arial" w:eastAsia="Arial" w:hAnsi="Arial"/>
          <w:sz w:val="17"/>
          <w:szCs w:val="17"/>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Commercialization Agreements with Chiesi Farmaceutici</w:t>
      </w:r>
    </w:p>
    <w:p>
      <w:pPr>
        <w:spacing w:after="0" w:line="18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have entered into two exclusive global licensing and supply agreements for PRX-102 for the treatment of Fabry disease with Chiesi. The agreements have significant revenue potential for Protalix. Under the agreements, Protalix Ltd. has received $50.0 million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upfront payments and development cost reimbursements of $45.0 million, and is entitled to approximately $1.0 billion in potential milestone payments as well as additional payments as consideration for drug product supply. The additional payments for drug product supplied are based on the average selling price of the drug product in the relevant territory multiplied by tiered payments, as detailed below. During the quarter ended June 30, 2023, we received net proceeds of $20.0 million representing a milestone payment earned upon the FDA’s approval of Elfabrio for adult Fabry patients.</w:t>
      </w:r>
    </w:p>
    <w:p>
      <w:pPr>
        <w:spacing w:after="0" w:line="15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for drug product purchased from Protalix based on the average selling price of the drug product in the relevant territory multiplied by 15% to 35%, depending on the amount of annual net sales outside of the United States.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On July 23, 2018, Protalix Ltd. entered into the Chiesi US Agreement with respect to the development and commercialization of PRX-102</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 the United States. Protalix Ltd. received an upfront, non-refundable, non-creditable payment of $25.0 million from Chiesi and was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entitled to additional payments of up to a maximum of $20.0 million to cover development costs for PRX-102, capped at $7.5 million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per year. Protalix Ltd. is also eligible to receive additional payments of up to a maximum of $760.0 million, in the aggregate, in regulatory</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and commercial milestone payments. Chiesi agreed to make tiered payments for drug product purchased from Protalix based on the average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selling price of the drug product in the United States multiplied by 15% to 40%, subject to certain terms and conditions, depending on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 of annual net sales in the United States.</w:t>
      </w:r>
    </w:p>
    <w:p>
      <w:pPr>
        <w:spacing w:after="0" w:line="16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On May 13, 2021, we signed a binding term sheet with Chiesi amending the Chiesi Agreements in order to provide our company with near-term capital. Chiesi agreed to make a $10.0 million payment to us before the end of the second quarter of 2021 in exchange for a</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5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On August 29, 2022, we entered into the F/F Agreement and the Letter Agreement with Chiesi. Under the F/F Agreement, we agreed to supply Chiesi with drug substance for PRX-102 and, following relevant technology and technical information transfer activities, Chiesi has agreed, among other things, to provide us with commercial fill/finish services for PRX-102, including to support the anticipated global launch of PRX-102. The F/F Agreement will expire December 31, 2025, unless terminated earlier in accordance with its terms and may be extended by mutual agreement in writing for an additional period of seven years. The Letter Agreement changed our obligations and those of Chiesi under the License Agreements with respect to, among other things, the evaluation, selection and establishment of an initial alternate source of commercial fill/finish services for PRX-102. In addition, the Letter Agreement amended certain provisions of the License Agreements to reflect the appointment of Chiesi as a supplier to our company of commercial fill/finish services and the potential establishment of an initial alternate source of commercial fill/finish services.</w:t>
      </w:r>
    </w:p>
    <w:p>
      <w:pPr>
        <w:spacing w:after="0" w:line="17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As of March 1, 2023, sponsorship of the two extension studies was transferred to Chiesi, and Chiesi is now administering the extension studies.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Elelyso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for the Treatment of Gaucher Disease</w:t>
      </w:r>
    </w:p>
    <w:p>
      <w:pPr>
        <w:spacing w:after="0" w:line="10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Elelyso (taliglucerase alfa), our first commercial product, was approved by the FDA in 2012 for injection as an enzyme replacement therapy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over 20 markets.</w:t>
      </w:r>
    </w:p>
    <w:p>
      <w:pPr>
        <w:spacing w:after="0" w:line="12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and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00"/>
          </w:cols>
          <w:pgMar w:left="980" w:top="655" w:right="10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general population. In people of Ashkenazi Jewish heritage, estimates of occurrence vary from approximately 1 in 400 to 1 in 850 people.</w:t>
      </w:r>
    </w:p>
    <w:p>
      <w:pPr>
        <w:spacing w:after="0" w:line="189" w:lineRule="exact"/>
        <w:rPr>
          <w:sz w:val="20"/>
          <w:szCs w:val="20"/>
          <w:color w:val="auto"/>
        </w:rPr>
      </w:pPr>
    </w:p>
    <w:p>
      <w:pPr>
        <w:ind w:right="360"/>
        <w:spacing w:after="0" w:line="220" w:lineRule="auto"/>
        <w:rPr>
          <w:sz w:val="20"/>
          <w:szCs w:val="20"/>
          <w:color w:val="auto"/>
        </w:rPr>
      </w:pPr>
      <w:r>
        <w:rPr>
          <w:rFonts w:ascii="Arial" w:cs="Arial" w:eastAsia="Arial" w:hAnsi="Arial"/>
          <w:sz w:val="18"/>
          <w:szCs w:val="18"/>
          <w:color w:val="auto"/>
        </w:rPr>
        <w:t>The global market for Gaucher disease, that includes Sanofi’s Cerezyme</w:t>
      </w:r>
      <w:r>
        <w:rPr>
          <w:rFonts w:ascii="Arial" w:cs="Arial" w:eastAsia="Arial" w:hAnsi="Arial"/>
          <w:sz w:val="26"/>
          <w:szCs w:val="26"/>
          <w:color w:val="auto"/>
          <w:vertAlign w:val="superscript"/>
        </w:rPr>
        <w:t>®</w:t>
      </w:r>
      <w:r>
        <w:rPr>
          <w:rFonts w:ascii="Arial" w:cs="Arial" w:eastAsia="Arial" w:hAnsi="Arial"/>
          <w:sz w:val="18"/>
          <w:szCs w:val="18"/>
          <w:color w:val="auto"/>
        </w:rPr>
        <w:t>, Shire’s Vpriv</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Sanofi’s Cerdelga</w:t>
      </w:r>
      <w:r>
        <w:rPr>
          <w:rFonts w:ascii="Arial" w:cs="Arial" w:eastAsia="Arial" w:hAnsi="Arial"/>
          <w:sz w:val="26"/>
          <w:szCs w:val="26"/>
          <w:color w:val="auto"/>
          <w:vertAlign w:val="superscript"/>
        </w:rPr>
        <w:t>®</w:t>
      </w:r>
      <w:r>
        <w:rPr>
          <w:rFonts w:ascii="Arial" w:cs="Arial" w:eastAsia="Arial" w:hAnsi="Arial"/>
          <w:sz w:val="18"/>
          <w:szCs w:val="18"/>
          <w:color w:val="auto"/>
        </w:rPr>
        <w:t>, among others, was $1.6 billion in 2022, is forecasted to be approximately $1.4 billion in 2023 and is forecasted to grow at a CAGR of approximately 1.6% from 2023-2029.</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Commercialization Agreements for Elelyso</w:t>
      </w:r>
    </w:p>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4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For the first 10-year period after the execution of the October 2015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(i.e., until October 2030).</w:t>
      </w:r>
    </w:p>
    <w:p>
      <w:pPr>
        <w:spacing w:after="0" w:line="133"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We maintain distribution rights to Elelyso in Brazil through a supply and technology transfer agreement with Fiocruz, an arm of the Brazilian MoH.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Uricase (PRX-115)</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PRX-115 is our plant cell-expressed recombinant PEGylated uricase (urate oxidase) – a chemically modified enzyme under development for the potential treatment of severe gout. We use ProCellEx to express an optimized recombinant uricase enzyme under development for the potential treatment of severe gout which we are designing to lower uric acid levels while having low immunogenicity and increased half-life in the circulation. Pre-clinical data demonstrates stable PK profile and long half-life, low immunogenic risk and high specific activity which supports the potential of PRX-115 to be a safe and effective treatment for severe gout. Results from the one-month multiple dosing toxicity studies in two species demonstrate that PRX-115 is well tolerated.</w:t>
      </w:r>
    </w:p>
    <w:p>
      <w:pPr>
        <w:spacing w:after="0" w:line="14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March 21, 2023, the first patient was dosed in our phase I First in Human (FIH) clinical trial of PRX-115, a double-blind, placebo-controlled trial designed to evaluate the safety, pharmacokinetics, pharmacodynamics (reduction of uric acid) and immunogenicity of PRX-115 in patients with elevated uric acid levels (&gt;6.0 mg/dL). The trial is a single ascending dose (SAD) study with up to seven cohorts, and patients are to be randomized 3:1 to receive a single intravenous (IV) dose of PRX-115 or a placebo. The study is being conducted at New Zealand Clinical Research (NZCR) under the New Zealand Medicines and Medical Devices Safety Authority (MedSafe) and the Health and Disability Ethics Committee (HDEC) guidelines, and is expected to enroll up to 56 patients with no previous exposure to PEGylated uricase. As of September 30, 2023, 32 patients have been dosed in this trial.</w:t>
      </w:r>
    </w:p>
    <w:p>
      <w:pPr>
        <w:spacing w:after="0" w:line="130"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Gout is the most common inflammatory arthritis in the United States, affecting an estimated 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leads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14"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Severe gout is generally described as a state of gout in which there is a presence of monosodium urate crystals with any of the following: frequent recurrent gout flares, chronic gouty arthritis, subcutaneous tophi or disease elements of gout seen via imaging. It is estimated that approximately 2% of the gout patient population is considered to have chronic refractory disease, and we believe the incidence of severe gout is higher.</w:t>
      </w:r>
    </w:p>
    <w:p>
      <w:pPr>
        <w:spacing w:after="0" w:line="16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Currently available urate-lowering therapies, or ULTs, can be effective in treating gout. However, we believe that new effective, safe therapies are needed to treat severe gout and chronic refractory gout regardless of treatment history. One treatment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(pegloticase) for treatment of chronic gout refractory to conventional therapy (gout patients who have contraindication/failure of other lowering uric acid treatments) and (ii) Elitek</w:t>
      </w:r>
      <w:r>
        <w:rPr>
          <w:rFonts w:ascii="Arial" w:cs="Arial" w:eastAsia="Arial" w:hAnsi="Arial"/>
          <w:sz w:val="24"/>
          <w:szCs w:val="24"/>
          <w:color w:val="auto"/>
          <w:vertAlign w:val="superscript"/>
        </w:rPr>
        <w:t>®</w:t>
      </w:r>
      <w:r>
        <w:rPr>
          <w:rFonts w:ascii="Arial" w:cs="Arial" w:eastAsia="Arial" w:hAnsi="Arial"/>
          <w:sz w:val="16"/>
          <w:szCs w:val="16"/>
          <w:color w:val="auto"/>
        </w:rPr>
        <w:t>, indicated for the treatment of tumor lysis syndrome but not gout. Both have a black box warning for anaphylaxis and other major side-effects. In particular, 89% of patients treated with Krystexxa developed an immunogenic response associated with a failure to maintain normalization of serum uric acid levels over a 6-month therapy cycle. In addition, a phase IV study demonstrates that co-treatment with Krystexxa and methotrexate prolongs efficacy and increases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00"/>
          </w:cols>
          <w:pgMar w:left="980" w:top="655" w:right="10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PRX-119</w:t>
      </w:r>
    </w:p>
    <w:p>
      <w:pPr>
        <w:spacing w:after="0" w:line="189"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75"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A key element of our overall strategy is to establish a broad portfolio of patents to protect our proprietary technology, proprietary product and product candidates and their methods of use. As of September 30, 2023, we hold a broad portfolio of over 85 patents in Europe, the United States, Israel and additional countries worldwide, as well as over 45 pending patent applications.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Presentations and Publications</w:t>
      </w:r>
    </w:p>
    <w:p>
      <w:pPr>
        <w:spacing w:after="0" w:line="17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On August 21, 2023, an article disclosing six-year results from our Phase I/II clinical trial of pegunigalsidase alfa was accepted for publication by Genetics in Medicine. The article entitled “Long-term safety and efficacy of pegunigalsidase alfa: A multicenter 6-year study in adult patients with Fabry disease,” was authored by Dr. Derralynn Hughes of University College London in London, UK, a principal investigator in our clinical trials of PRX-102, and was made available online on August 24, 2023.</w:t>
      </w:r>
    </w:p>
    <w:p>
      <w:pPr>
        <w:spacing w:after="0" w:line="1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Yael Hayon, Ph.D., our Vice President, Research &amp; Development, gave a presentation at the Next Generation Protein Therapeutics Summit on September 20, 2023.The summit was held at the Boston Convention and Exhibition Center, Boston MA, on September 18 through 20, 2023.</w:t>
      </w:r>
    </w:p>
    <w:p>
      <w:pPr>
        <w:spacing w:after="0" w:line="163" w:lineRule="exact"/>
        <w:rPr>
          <w:sz w:val="20"/>
          <w:szCs w:val="20"/>
          <w:color w:val="auto"/>
        </w:rPr>
      </w:pPr>
    </w:p>
    <w:p>
      <w:pPr>
        <w:jc w:val="both"/>
        <w:ind w:right="280"/>
        <w:spacing w:after="0" w:line="215" w:lineRule="exact"/>
        <w:rPr>
          <w:sz w:val="20"/>
          <w:szCs w:val="20"/>
          <w:color w:val="auto"/>
        </w:rPr>
      </w:pPr>
      <w:r>
        <w:rPr>
          <w:rFonts w:ascii="Arial" w:cs="Arial" w:eastAsia="Arial" w:hAnsi="Arial"/>
          <w:sz w:val="16"/>
          <w:szCs w:val="16"/>
          <w:color w:val="auto"/>
        </w:rPr>
        <w:t>On October 21, 2023, an article entitled “Safety and efficacy of pegunigalsidase alfa in patients with Fabry disease who were previously treated with agalsidase alfa: results from BRIDGE, a phase 3 open</w:t>
      </w:r>
      <w:r>
        <w:rPr>
          <w:rFonts w:ascii="MS PGothic" w:cs="MS PGothic" w:eastAsia="MS PGothic" w:hAnsi="MS PGothic"/>
          <w:sz w:val="16"/>
          <w:szCs w:val="16"/>
          <w:color w:val="auto"/>
        </w:rPr>
        <w:t>‑</w:t>
      </w:r>
      <w:r>
        <w:rPr>
          <w:rFonts w:ascii="Arial" w:cs="Arial" w:eastAsia="Arial" w:hAnsi="Arial"/>
          <w:sz w:val="16"/>
          <w:szCs w:val="16"/>
          <w:color w:val="auto"/>
        </w:rPr>
        <w:t>label study,” was published online. The article was authored by Ales Linhart, MD, Charles University, Praha, Czech Republic, a principal investigator in our clinical trials of PRX-102, and others.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17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continuously work on the further development of our ProCellEx plant cell expression technology and bioreactor system. In addition, we are working on the development of new products, each in different initial stages of development, for specific products for which there are unmet needs in terms of efficacy and safety. Our development strategy focuses on the utilization of different modification approaches and development improvements, customized for each protein product, in all stages of expression and development.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appearing in this Quarterly Report. There have been no material changes to our critical accounting policies since we filed our Annual Report on Form 10-K for the year ended December 31, 2022.</w:t>
      </w:r>
    </w:p>
    <w:p>
      <w:pPr>
        <w:spacing w:after="0" w:line="15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As applicable to these consolidated financial statements, the most significant estimates and assumptions relate to the assessment of sales reserves and valuation allowances. On an ongoing basis, we evaluate such estimates and judgments, including those described in greater detail below. We base our estimates on historical experience and on various other factors that we believe are reasonable under</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860"/>
          </w:cols>
          <w:pgMar w:left="980" w:top="655" w:right="10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color w:val="auto"/>
        </w:rPr>
        <w:t>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5" w:lineRule="exact"/>
        <w:rPr>
          <w:sz w:val="20"/>
          <w:szCs w:val="20"/>
          <w:color w:val="auto"/>
        </w:rPr>
      </w:pPr>
    </w:p>
    <w:p>
      <w:pPr>
        <w:ind w:right="2800"/>
        <w:spacing w:after="0" w:line="443" w:lineRule="auto"/>
        <w:rPr>
          <w:sz w:val="20"/>
          <w:szCs w:val="20"/>
          <w:color w:val="auto"/>
        </w:rPr>
      </w:pPr>
      <w:r>
        <w:rPr>
          <w:rFonts w:ascii="Arial" w:cs="Arial" w:eastAsia="Arial" w:hAnsi="Arial"/>
          <w:sz w:val="18"/>
          <w:szCs w:val="18"/>
          <w:b w:val="1"/>
          <w:bCs w:val="1"/>
          <w:i w:val="1"/>
          <w:iCs w:val="1"/>
          <w:color w:val="auto"/>
        </w:rPr>
        <w:t xml:space="preserve">Three months ended September 30, 2023 compared to the three months ended September 30, 2022 </w:t>
      </w:r>
      <w:r>
        <w:rPr>
          <w:rFonts w:ascii="Arial" w:cs="Arial" w:eastAsia="Arial" w:hAnsi="Arial"/>
          <w:sz w:val="18"/>
          <w:szCs w:val="18"/>
          <w:i w:val="1"/>
          <w:iCs w:val="1"/>
          <w:color w:val="auto"/>
        </w:rPr>
        <w:t>Revenues from Selling Goods</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recorded revenues from selling goods of $10.2 million during the three months ended September 30, 2023, an increase of $1.4 million, or 16%, compared to revenues of $8.8 million for the three months ended September 30, 2022. The increase resulted primarily from an increase of $3.0 million in sales to Chiesi, following the approvals by the FDA and the EMA of Elfabrio, and of $0.6 million in sales to Brazil, partially offset by a $2.2 million decrease in sales to Pfizer.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recorded revenues from license and R&amp;D services of $0.2 million for the three months ended September 30, 2023, a decrease of</w:t>
      </w:r>
    </w:p>
    <w:p>
      <w:pPr>
        <w:spacing w:after="0" w:line="39"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$5.2 million, or 96%, compared to revenues of $5.4 million for the three months ended September 30, 2022. Revenues from license and R&amp;D services are comprised primarily of revenues we recognized in connection with the Chiesi Agreements. As of March 1, 2023, sponsorship of the extension studies was transferred to Chiesi, and Chiesi is now administering all open-label extension studies.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89"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Cost of goods sold was $4.9 million for the three months ended September 30, 2023, a decrease of $2.2 million, or 31%, from cost of goods sold of $7.1 million for the three months ended September 30, 2022. The decrease in cost of goods sold was primarily the result of the decrease in sales to Pfizer, partially offset by an increase in sales of Elfabrio to Chiesi and of Elelyso to Brazil.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5"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For the three months ended September 30, 2023, our total research and development expenses were approximately $3.7 million comprised of approximately $1.0 million of subcontractor-related expenses, approximately $1.9 million of salary and related expenses, approximately $0.2 million of materials-related expenses and approximately $0.6 million of other expenses. For the three months ended September 30, 2022, our total research and development expenses were approximately $7.4 million comprised of approximately $4.9 million in subcontractor-related expenses, approximately $1.7 million of salary and related expenses, approximately $0.2 million of materials-related expenses and approximately $0.6 million of other expenses.</w:t>
      </w:r>
    </w:p>
    <w:p>
      <w:pPr>
        <w:spacing w:after="0" w:line="166"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Total decrease in research and developments expenses for the three months ended September 30, 2023 was $3.7 million, or 50%, compared to the three months ended September 30, 2022. The decrease in research and development expenses primarily resulted from the completion of our Fabry clinical program and the regulatory processes related to the BLA and MAA review of Elfabrio by the applicable regulatory agencies.</w:t>
      </w:r>
    </w:p>
    <w:p>
      <w:pPr>
        <w:spacing w:after="0" w:line="193"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9" w:lineRule="exact"/>
        <w:rPr>
          <w:sz w:val="20"/>
          <w:szCs w:val="20"/>
          <w:color w:val="auto"/>
        </w:rPr>
      </w:pPr>
    </w:p>
    <w:p>
      <w:pPr>
        <w:ind w:right="80"/>
        <w:spacing w:after="0" w:line="328" w:lineRule="auto"/>
        <w:rPr>
          <w:sz w:val="20"/>
          <w:szCs w:val="20"/>
          <w:color w:val="auto"/>
        </w:rPr>
      </w:pPr>
      <w:r>
        <w:rPr>
          <w:rFonts w:ascii="Arial" w:cs="Arial" w:eastAsia="Arial" w:hAnsi="Arial"/>
          <w:sz w:val="15"/>
          <w:szCs w:val="15"/>
          <w:color w:val="auto"/>
        </w:rPr>
        <w:t>Selling, general and administrative expenses were $3.7 million for the three months ended September 30, 2023, an increase of $0.9 million, or 32%, compared to $2.8 million for the three months ended September 30, 2022. The increase resulted primarily from an increase of approximately $0.6 million in salary and related expenses due to one-time cash bonuses and an increase in share-based compensation.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Net</w:t>
      </w:r>
    </w:p>
    <w:p>
      <w:pPr>
        <w:spacing w:after="0" w:line="175"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Financial income, net were $0.2 million for the three months ended September 30, 2023, compared to financial expenses, net of $0.4 million for the three months ended September 30, 2022. The change resulted primarily from an increase of $0.3 million in interest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00"/>
          </w:cols>
          <w:pgMar w:left="980" w:top="655" w:right="101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the three months ended September 30, 2023, we recorded income taxes of approximately $0.1 million which were primarily the result of the provision for current taxes in respect of Section 174 of the TCJA.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the nine months ended September 30,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Selling Goods</w:t>
      </w:r>
    </w:p>
    <w:p>
      <w:pPr>
        <w:spacing w:after="0" w:line="17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recorded revenues from selling goods of $30.3 million during the nine months ended September 30, 2023, an increase of $9.1 million, or 43%, compared to revenues of $21.2 million for the nine months ended September 30, 2022. The increase resulted primarily from an increase of $14.4 million in sales to Chiesi, following the approvals by the FDA and the EMA of Elfabrio, which was partially offset by a decrease of $3.3 million in sales to Pfizer of $2.0 million in sales to Brazil, resulting from timing differences.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License and R&amp;D Services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recorded revenues from license and R&amp;D services of $24.7 million for the nine months ended September 30, 2023, an increase of</w:t>
      </w:r>
    </w:p>
    <w:p>
      <w:pPr>
        <w:spacing w:after="0" w:line="3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$6.9 million, or 39%, compared to revenues of $17.8 million for the nine months ended September 30, 2022. The increase resulted from the $20.0 million regulatory milestone payment from Chiesi in connection with the FDA approval of Elfabrio which was partially offset by a decrease of $13.1 million in revenues recognized in connection with the Chiesi Agreements. Revenues from license and R&amp;D services are comprised primarily of revenues we recognized in connection with the Chiesi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7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 of goods sold was $14.1 million for the nine months ended September 30, 2023, a decrease of $3.1 million, or 18%, from cost of goods sold of $17.2 million for the nine months ended September 30, 2022. The decrease in cost of goods sold was primarily the result of a decrease in sales of goods to Brazil and to Pfizer which was partially offset by an increase in sales of Elfabrio to Chiesi. Sales to Chiesi included certain drug substance costs which had already been recognized as research and development expenses as it was produced as part of research and development activities. Accordingly, the related cost of goods sold does not include the costs of such drug substance.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2023, our total research and development expenses were approximately $14.0 million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comprised of approximately $6.2 million in subcontractor-related expenses, approximately $5.5 million of salary and related expenses,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approximately $0.5 million of materials-related expenses and approximately $1.8 million of other expenses. For the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our total research and development expenses were approximately $23.7 million comprised of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$15.1 million in subcontractor-related expenses, approximately $5.4 million of salary and related expenses, approximately $1.2 million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 materials-related expenses and approximately $2.0 million of other expenses.</w:t>
      </w:r>
    </w:p>
    <w:p>
      <w:pPr>
        <w:spacing w:after="0" w:line="203"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Total decrease in research and developments expenses was $9.7 million, or 41%, for the nine months ended September 30, 2023 compared to the nine months ended September 30, 2022. The decrease in research and development expenses primarily resulted from the completion of our Fabry clinical program and of the regulatory processes related to the BLA and MAA review of Elfabrio by the applicable regulatory agencies.</w:t>
      </w:r>
    </w:p>
    <w:p>
      <w:pPr>
        <w:spacing w:after="0" w:line="19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Selling, general and administrative expenses were $10.8 million for the nine months ended September 30, 2023, an increase of $2.2 million, or 26%, compared to $8.6 million for the nine months ended September 30, 2022. The increase resulted primarily from an increase of approximately $1.5 million in salary and related expenses due to one-time cash bonuses and increase in share-based compensation, an increase of $0.2 million in professional fees and of $0.3 million in travel, conferences and employee training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Net</w:t>
      </w:r>
    </w:p>
    <w:p>
      <w:pPr>
        <w:spacing w:after="0" w:line="175"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Financial expenses, net were $1.1 million for the nine months ended September 30, 2023, an increase of $0.4 million, or 57%, compared to $0.7 million for the nine months ended September 30, 2022. The increase was primarily due to a decrease of $0.6 million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00"/>
          </w:cols>
          <w:pgMar w:left="980" w:top="655" w:right="10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color w:val="auto"/>
        </w:rPr>
        <w:t>in income related to exchange rates as well as an increase in our convertible notes related expenses of $0.5 million net of a gain recognized due to conversions of a portion of the 2024 Notes of $0.4 million and a $0.3 million increase in interest income.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nine months ended September 30, 2023, we recorded income taxes of approximately $0.6 million which were primarily the result of the provision for current taxes in respect of Section 174 of the TCJA. Section 174 eliminated the option to immediately deduct research and development expenses in the year incurred and requires us to capitalize and amortize these expenditures over 15 years (for out of U.S.-based research and development). In addition, during the nine months ended September 30, 2023, we released a valuation allowance related to deferred tax assets of the U.S. jurisdiction that resulted in a net benefit to tax expense of $3.1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1"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Our sources of liquidity includes our cash and cash equivalents balance. At September 30, 2023, we had $41.0 million in cash, cash equivalents and short term bank deposits. We have primarily financed our operations through equity and debt financings, business collaborations, and grants funding.</w:t>
      </w:r>
    </w:p>
    <w:p>
      <w:pPr>
        <w:spacing w:after="0" w:line="163"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During the year ended December 31, 2022, we raised gross proceeds equal to approximately $8.7 million from the sale of 7,473,038 shares of our common stock under our ATM program. During the six months ended June 30, 2023, we raised gross proceeds equal to approximately $24.9 million from sales of common stock under our ATM program through the sale of 12,560,150 shares of our common stock of which 4,347,668 shares were sold; we did not sell any common stock under our ATM program during the three-months ended September 30, 2023.</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On August 25, 2021, we completed exchanges, or the Exchanges, of a substantial majority of our then outstanding 7.50% Senior Secured Convertible Notes due 2021, or the 2021 Notes, with institutional note holders of a substantial majority of the 2021 Notes. The Exchanges involved the exchange of an aggregate of $54.65 million principal amount of our 2021 Notes for an aggregate of $28.75 million principal amount of newly issued 7.50% Senior Secured Convertible Notes due 2024, or the 2024 Notes, $25.90 million in cash, and approximately $1.1 million in cash representing accrued and unpaid interest through the closing date. The initial conversion rate for the 2024 Notes is 563.2216 shares of our common stock for each $1,000 principal amount of 2024 Notes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 As a result of the conversion of 2024 Notes during the nine months ended September 30, 2023, the total principal amount of our remaining 2024 Notes outstanding decreased by approximately $8.3 million. As of September 30, 2023, the total principal amount of our 2024 Notes outstanding was $20.42 million.</w:t>
      </w:r>
    </w:p>
    <w:p>
      <w:pPr>
        <w:spacing w:after="0" w:line="13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 xml:space="preserve">The 2024 Notes were issued pursuant to the Indenture dated as of August 24, 2021 between us, the guarantors party thereto, The Bank of New York Mellon Trust Company, N.A., as trustee and Wilmington Savings Fund Society, FSB, as collateral agent, or the 2024 Indenture. Interest on the Notes are payable semi-annually at a rate of 7.50% per annum. The 2024 Notes will mature on September 1, 2024, unless earlier purchased, converted, exchanged or redeemed, and are guaranteed by our subsidiaries. The 2024 Notes are secured by perfected liens on all of our assets, including those of our subsidiaries. Under the terms of the 2024 Indenture, we are required to comply with </w:t>
      </w:r>
      <w:r>
        <w:rPr>
          <w:rFonts w:ascii="Arial" w:cs="Arial" w:eastAsia="Arial" w:hAnsi="Arial"/>
          <w:sz w:val="16"/>
          <w:szCs w:val="16"/>
          <w:color w:val="222222"/>
        </w:rPr>
        <w:t>certain</w:t>
      </w:r>
      <w:r>
        <w:rPr>
          <w:rFonts w:ascii="Arial" w:cs="Arial" w:eastAsia="Arial" w:hAnsi="Arial"/>
          <w:sz w:val="16"/>
          <w:szCs w:val="16"/>
          <w:color w:val="auto"/>
        </w:rPr>
        <w:t xml:space="preserve"> </w:t>
      </w:r>
      <w:r>
        <w:rPr>
          <w:rFonts w:ascii="Arial" w:cs="Arial" w:eastAsia="Arial" w:hAnsi="Arial"/>
          <w:sz w:val="16"/>
          <w:szCs w:val="16"/>
          <w:color w:val="222222"/>
        </w:rPr>
        <w:t xml:space="preserve">covenants, including the requirement to </w:t>
      </w:r>
      <w:r>
        <w:rPr>
          <w:rFonts w:ascii="Arial" w:cs="Arial" w:eastAsia="Arial" w:hAnsi="Arial"/>
          <w:sz w:val="16"/>
          <w:szCs w:val="16"/>
          <w:color w:val="000000"/>
        </w:rPr>
        <w:t>maintain a minimum cash balance of at least $7.5 million. Failure to comply with such covenants</w:t>
      </w:r>
      <w:r>
        <w:rPr>
          <w:rFonts w:ascii="Arial" w:cs="Arial" w:eastAsia="Arial" w:hAnsi="Arial"/>
          <w:sz w:val="16"/>
          <w:szCs w:val="16"/>
          <w:color w:val="222222"/>
        </w:rPr>
        <w:t xml:space="preserve"> </w:t>
      </w:r>
      <w:r>
        <w:rPr>
          <w:rFonts w:ascii="Arial" w:cs="Arial" w:eastAsia="Arial" w:hAnsi="Arial"/>
          <w:sz w:val="16"/>
          <w:szCs w:val="16"/>
          <w:color w:val="000000"/>
        </w:rPr>
        <w:t>may result in an event of default under the 2024 Indenture and, accordingly, may result in the acceleration of the payment of the notes or in additional interest payments. As of September 30, 2023, we were in compliance with all covenants.</w:t>
      </w:r>
    </w:p>
    <w:p>
      <w:pPr>
        <w:spacing w:after="0" w:line="14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believe that our cash, cash equivalents and short term bank deposits as of September 30, 2023 are sufficient to satisfy our capital needs for at least 12 months from the date that these financial statements are issued.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Net cash used in operations was $4.9 million for the nine months ended September 30, 2023. The net income for the nine months ended September 30, 2023 of $14.4 million was decreased by a $13.2 million decrease in contracts liability, a $3.1 million increase in deferred tax assets, a $4.8 million increase in inventories, a $4.2 million increase in accounts receivable-trade and other assets and a $0.5 million financial income-net (mainly currency exchange differences). The net income was increased by a $3.8 million increase in accounts payable and accruals, $2.1 million in share-based compensation and $0.9 million in depreciation. Net cash used in investing activities for the nine months ended September 30, 2023 was $16.4 million and consisted primarily of net investment in bank deposits.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was $24.7 million resulting primarily from the sale of common stock under our ATM program.</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Net cash used in operations was $22.4 million for the nine months ended September 30, 2022. The net loss for the nine months ended September 30, 2022 of $11.2 million was increased by a $5.5 million decrease in contracts liability, a $4.4 million decrease in accounts payable and accruals, a $5.7 million increase in accounts receivable and other assets and an increase of $1.1 million in financial income, net (mainly exchange differences), and was partially offset by a $3.4 million decrease in inventories and a $1.5 million in share-based compensation. Net cash used in investing activities for the nine months ended September 30, 2022 was $10.0 million and consisted primarily of net investment in bank deposits. Net cash provided by financing activities was $4.2 million resulting mainly from the sale of common stock under our ATM program.</w:t>
      </w:r>
    </w:p>
    <w:p>
      <w:pPr>
        <w:spacing w:after="0" w:line="17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As a result of our significant research and development expenditures and the lack of significant revenue from sales of taliglucerase alfa, we have generated operating losses from our continuing operations since our inception. Our outstanding 2024 Notes are secured by a perfected lien on all of our assets. Under the terms of the 2024 Indenture, we are required to comply with </w:t>
      </w:r>
      <w:r>
        <w:rPr>
          <w:rFonts w:ascii="Arial" w:cs="Arial" w:eastAsia="Arial" w:hAnsi="Arial"/>
          <w:sz w:val="16"/>
          <w:szCs w:val="16"/>
          <w:color w:val="222222"/>
        </w:rPr>
        <w:t>certain covenants, including the requirement</w:t>
      </w:r>
      <w:r>
        <w:rPr>
          <w:rFonts w:ascii="Arial" w:cs="Arial" w:eastAsia="Arial" w:hAnsi="Arial"/>
          <w:sz w:val="16"/>
          <w:szCs w:val="16"/>
          <w:color w:val="auto"/>
        </w:rPr>
        <w:t xml:space="preserve"> </w:t>
      </w:r>
      <w:r>
        <w:rPr>
          <w:rFonts w:ascii="Arial" w:cs="Arial" w:eastAsia="Arial" w:hAnsi="Arial"/>
          <w:sz w:val="16"/>
          <w:szCs w:val="16"/>
          <w:color w:val="222222"/>
        </w:rPr>
        <w:t xml:space="preserve">to </w:t>
      </w:r>
      <w:r>
        <w:rPr>
          <w:rFonts w:ascii="Arial" w:cs="Arial" w:eastAsia="Arial" w:hAnsi="Arial"/>
          <w:sz w:val="16"/>
          <w:szCs w:val="16"/>
          <w:color w:val="000000"/>
        </w:rPr>
        <w:t>maintain a minimum cash balance of at least $7.5 million. Failure to comply with such covenants may result in an event of default under</w:t>
      </w:r>
      <w:r>
        <w:rPr>
          <w:rFonts w:ascii="Arial" w:cs="Arial" w:eastAsia="Arial" w:hAnsi="Arial"/>
          <w:sz w:val="16"/>
          <w:szCs w:val="16"/>
          <w:color w:val="222222"/>
        </w:rPr>
        <w:t xml:space="preserve"> </w:t>
      </w:r>
      <w:r>
        <w:rPr>
          <w:rFonts w:ascii="Arial" w:cs="Arial" w:eastAsia="Arial" w:hAnsi="Arial"/>
          <w:sz w:val="16"/>
          <w:szCs w:val="16"/>
          <w:color w:val="000000"/>
        </w:rPr>
        <w:t>the 2024 Indenture and, accordingly, may result in the acceleration of the payment of the notes or in additional interest payments. As of September 30, 2023, we were in compliance with all covenants.</w:t>
      </w:r>
    </w:p>
    <w:p>
      <w:pPr>
        <w:spacing w:after="0" w:line="1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nine months ended September 30, 2023, we issued, in the aggregate, 538,822 shares of our common stock in connection with cash and cashless exercises of our outstanding warrants to purchase shares of our common stock at an exercise price equal to $2.36 per share which were initially issued on March 18, 2020 as part of our private placement of common stock and warrants, or the 2020 Warrants. In connection with the exercises, we generated net proceeds equal to $0.7 million and retired 2020 Warrants to purchase 1,146,810 shares of common stock. As of September 30, 2023, 2020 Warrants to purchase 13,439,712 shares were outstanding.</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during the nine months ended September 30, 2023, we issued, in the aggregate, 4,691,623 shares of our common stock in connection with a number of conversions of 2024 Notes. In connection with such conversions, during the nine months ended September 30, 2023, we paid to the converting holders $0.9 million representing cash payments due to accrued but unpaid interest, make-whole interest payments and payments in lieu of fractional shares. As a result of the conversion of 2024 Notes during the nine months ended September 30, 2023, the total principal amount of our remaining 2024 Notes outstanding decreased by approximately $8.3 million. As of September 30, 2023, the total principal amount of our 2024 Notes outstanding was $20.42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175"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We expect to continue to incur expenditures in the near future as we increase our research and developments efforts with respect to our product candidates. We cannot anticipate the costs or the timing of the occurrence of such costs. We also expect to increase the revenues generated from the sales of our approved drug products. To the extent we need to obtain additional financing in excess of such anticipated revenues, it may be more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 advisors and fees for service providers in connection with our research and development efforts, (v) payments of principal and interest on our outstanding 2024 Notes and (vi) tax payments. We believe that the funds currently available to us are sufficient to satisfy our capital needs for at least 12 months.</w:t>
      </w:r>
    </w:p>
    <w:p>
      <w:pPr>
        <w:spacing w:after="0" w:line="143" w:lineRule="exact"/>
        <w:rPr>
          <w:sz w:val="20"/>
          <w:szCs w:val="20"/>
          <w:color w:val="auto"/>
        </w:rPr>
      </w:pPr>
    </w:p>
    <w:p>
      <w:pPr>
        <w:ind w:right="440"/>
        <w:spacing w:after="0" w:line="325" w:lineRule="auto"/>
        <w:rPr>
          <w:sz w:val="20"/>
          <w:szCs w:val="20"/>
          <w:color w:val="auto"/>
        </w:rPr>
      </w:pPr>
      <w:r>
        <w:rPr>
          <w:rFonts w:ascii="Arial" w:cs="Arial" w:eastAsia="Arial" w:hAnsi="Arial"/>
          <w:sz w:val="16"/>
          <w:szCs w:val="16"/>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5" w:lineRule="exact"/>
        <w:rPr>
          <w:sz w:val="20"/>
          <w:szCs w:val="20"/>
          <w:color w:val="auto"/>
        </w:rPr>
      </w:pPr>
    </w:p>
    <w:p>
      <w:pPr>
        <w:ind w:left="980" w:right="580" w:hanging="314"/>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duration and cost of discovery and preclinical development and laboratory testing and clinical trials for our product candidates;</w:t>
      </w:r>
    </w:p>
    <w:p>
      <w:pPr>
        <w:spacing w:after="0" w:line="141" w:lineRule="exact"/>
        <w:rPr>
          <w:rFonts w:ascii="Arial" w:cs="Arial" w:eastAsia="Arial" w:hAnsi="Arial"/>
          <w:sz w:val="18"/>
          <w:szCs w:val="18"/>
          <w:color w:val="auto"/>
        </w:rPr>
      </w:pPr>
    </w:p>
    <w:p>
      <w:pPr>
        <w:ind w:left="980" w:hanging="31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Chiesi’s progress in commercializing Elfabrio;</w:t>
      </w:r>
    </w:p>
    <w:p>
      <w:pPr>
        <w:spacing w:after="0" w:line="188" w:lineRule="exact"/>
        <w:rPr>
          <w:rFonts w:ascii="Arial" w:cs="Arial" w:eastAsia="Arial" w:hAnsi="Arial"/>
          <w:sz w:val="18"/>
          <w:szCs w:val="18"/>
          <w:color w:val="auto"/>
        </w:rPr>
      </w:pPr>
    </w:p>
    <w:p>
      <w:pPr>
        <w:ind w:left="980" w:hanging="31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progress in commercializing BioManguinhos alfataliglicerase in Brazil;</w:t>
      </w:r>
    </w:p>
    <w:p>
      <w:pPr>
        <w:spacing w:after="0" w:line="175" w:lineRule="exact"/>
        <w:rPr>
          <w:rFonts w:ascii="Arial" w:cs="Arial" w:eastAsia="Arial" w:hAnsi="Arial"/>
          <w:sz w:val="18"/>
          <w:szCs w:val="18"/>
          <w:color w:val="auto"/>
        </w:rPr>
      </w:pPr>
    </w:p>
    <w:p>
      <w:pPr>
        <w:ind w:left="980" w:hanging="31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75" w:lineRule="exact"/>
        <w:rPr>
          <w:rFonts w:ascii="Arial" w:cs="Arial" w:eastAsia="Arial" w:hAnsi="Arial"/>
          <w:sz w:val="18"/>
          <w:szCs w:val="18"/>
          <w:color w:val="auto"/>
        </w:rPr>
      </w:pPr>
    </w:p>
    <w:p>
      <w:pPr>
        <w:ind w:left="980" w:right="160" w:hanging="314"/>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and other intellectual property rights; and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980" w:hanging="31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any litigation claims.</w:t>
      </w:r>
    </w:p>
    <w:p>
      <w:pPr>
        <w:spacing w:after="0" w:line="17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expect to finance our future cash needs through sales of our approved drug products (Elelyso and Elfabrio), corporate collaborations, licensing or similar arrangements, public or private equity offerings and/or debt financings. We currently do not have any commitments for future external funding, except with respect to milestone payments and royalties that may become payable under the Chiesi Agreements. As of September 30, 2023, shares of our common stock for total gross proceeds of approximately $6.4 million remain available to be sold under our 2023 Sales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Currency Fluctuations</w:t>
      </w:r>
    </w:p>
    <w:p>
      <w:pPr>
        <w:spacing w:after="0" w:line="18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Currency fluctuations could affect us through increased or decreased acquisition costs for certain goods and services and salaries expenses. We do not believe currency fluctuations have had a material effect on our results of operations during the three and nine months ended September 30,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of each of September 30, 2023 and December 31,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2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66"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Approximately 43%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8"/>
        </w:trPr>
        <w:tc>
          <w:tcPr>
            <w:tcW w:w="4000" w:type="dxa"/>
            <w:vAlign w:val="bottom"/>
          </w:tcPr>
          <w:p>
            <w:pPr>
              <w:spacing w:after="0"/>
              <w:rPr>
                <w:sz w:val="14"/>
                <w:szCs w:val="14"/>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Nine Months Ended</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2"/>
                <w:szCs w:val="12"/>
                <w:color w:val="auto"/>
              </w:rPr>
            </w:pPr>
          </w:p>
        </w:tc>
        <w:tc>
          <w:tcPr>
            <w:tcW w:w="1380" w:type="dxa"/>
            <w:vAlign w:val="bottom"/>
            <w:tcBorders>
              <w:top w:val="single" w:sz="8" w:color="auto"/>
              <w:bottom w:val="single" w:sz="8" w:color="auto"/>
            </w:tcBorders>
            <w:gridSpan w:val="3"/>
          </w:tcPr>
          <w:p>
            <w:pPr>
              <w:jc w:val="right"/>
              <w:ind w:right="198"/>
              <w:spacing w:after="0" w:line="13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400" w:type="dxa"/>
            <w:vAlign w:val="bottom"/>
            <w:tcBorders>
              <w:top w:val="single" w:sz="8" w:color="auto"/>
              <w:bottom w:val="single" w:sz="8" w:color="auto"/>
            </w:tcBorders>
            <w:gridSpan w:val="3"/>
          </w:tcPr>
          <w:p>
            <w:pPr>
              <w:jc w:val="right"/>
              <w:ind w:right="218"/>
              <w:spacing w:after="0" w:line="13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03"/>
              <w:spacing w:after="0" w:line="139"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8"/>
              <w:spacing w:after="0" w:line="139"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03"/>
              <w:spacing w:after="0" w:line="139"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18"/>
              <w:spacing w:after="0" w:line="139"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41"/>
              <w:spacing w:after="0" w:line="139"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4"/>
        </w:trPr>
        <w:tc>
          <w:tcPr>
            <w:tcW w:w="4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Average rate for period</w:t>
            </w:r>
          </w:p>
        </w:tc>
        <w:tc>
          <w:tcPr>
            <w:tcW w:w="620" w:type="dxa"/>
            <w:vAlign w:val="bottom"/>
            <w:shd w:val="clear" w:color="auto" w:fill="CCEEFF"/>
          </w:tcPr>
          <w:p>
            <w:pPr>
              <w:jc w:val="right"/>
              <w:ind w:right="23"/>
              <w:spacing w:after="0" w:line="204" w:lineRule="exact"/>
              <w:rPr>
                <w:sz w:val="20"/>
                <w:szCs w:val="20"/>
                <w:color w:val="auto"/>
              </w:rPr>
            </w:pPr>
            <w:r>
              <w:rPr>
                <w:rFonts w:ascii="Arial" w:cs="Arial" w:eastAsia="Arial" w:hAnsi="Arial"/>
                <w:sz w:val="18"/>
                <w:szCs w:val="18"/>
                <w:color w:val="auto"/>
              </w:rPr>
              <w:t>3.745</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3"/>
              <w:spacing w:after="0" w:line="204" w:lineRule="exact"/>
              <w:rPr>
                <w:sz w:val="20"/>
                <w:szCs w:val="20"/>
                <w:color w:val="auto"/>
              </w:rPr>
            </w:pPr>
            <w:r>
              <w:rPr>
                <w:rFonts w:ascii="Arial" w:cs="Arial" w:eastAsia="Arial" w:hAnsi="Arial"/>
                <w:sz w:val="18"/>
                <w:szCs w:val="18"/>
                <w:color w:val="auto"/>
              </w:rPr>
              <w:t>3.643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8"/>
              <w:spacing w:after="0" w:line="204" w:lineRule="exact"/>
              <w:rPr>
                <w:sz w:val="20"/>
                <w:szCs w:val="20"/>
                <w:color w:val="auto"/>
              </w:rPr>
            </w:pPr>
            <w:r>
              <w:rPr>
                <w:rFonts w:ascii="Arial" w:cs="Arial" w:eastAsia="Arial" w:hAnsi="Arial"/>
                <w:sz w:val="18"/>
                <w:szCs w:val="18"/>
                <w:color w:val="auto"/>
              </w:rPr>
              <w:t>3.315</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1"/>
              <w:spacing w:after="0" w:line="204" w:lineRule="exact"/>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Rate at period-end</w:t>
            </w:r>
          </w:p>
        </w:tc>
        <w:tc>
          <w:tcPr>
            <w:tcW w:w="620" w:type="dxa"/>
            <w:vAlign w:val="bottom"/>
          </w:tcPr>
          <w:p>
            <w:pPr>
              <w:jc w:val="right"/>
              <w:ind w:right="23"/>
              <w:spacing w:after="0"/>
              <w:rPr>
                <w:sz w:val="20"/>
                <w:szCs w:val="20"/>
                <w:color w:val="auto"/>
              </w:rPr>
            </w:pPr>
            <w:r>
              <w:rPr>
                <w:rFonts w:ascii="Arial" w:cs="Arial" w:eastAsia="Arial" w:hAnsi="Arial"/>
                <w:sz w:val="18"/>
                <w:szCs w:val="18"/>
                <w:color w:val="auto"/>
              </w:rPr>
              <w:t>3.824</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19"/>
                <w:szCs w:val="19"/>
                <w:color w:val="auto"/>
              </w:rPr>
            </w:pPr>
          </w:p>
        </w:tc>
        <w:tc>
          <w:tcPr>
            <w:tcW w:w="620" w:type="dxa"/>
            <w:vAlign w:val="bottom"/>
          </w:tcPr>
          <w:p>
            <w:pPr>
              <w:jc w:val="right"/>
              <w:ind w:right="23"/>
              <w:spacing w:after="0"/>
              <w:rPr>
                <w:sz w:val="20"/>
                <w:szCs w:val="20"/>
                <w:color w:val="auto"/>
              </w:rPr>
            </w:pPr>
            <w:r>
              <w:rPr>
                <w:rFonts w:ascii="Arial" w:cs="Arial" w:eastAsia="Arial" w:hAnsi="Arial"/>
                <w:sz w:val="18"/>
                <w:szCs w:val="18"/>
                <w:color w:val="auto"/>
              </w:rPr>
              <w:t>3.824</w:t>
            </w:r>
          </w:p>
        </w:tc>
        <w:tc>
          <w:tcPr>
            <w:tcW w:w="140" w:type="dxa"/>
            <w:vAlign w:val="bottom"/>
          </w:tcPr>
          <w:p>
            <w:pPr>
              <w:spacing w:after="0"/>
              <w:rPr>
                <w:sz w:val="19"/>
                <w:szCs w:val="19"/>
                <w:color w:val="auto"/>
              </w:rPr>
            </w:pP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3.543</w:t>
            </w:r>
          </w:p>
        </w:tc>
        <w:tc>
          <w:tcPr>
            <w:tcW w:w="140" w:type="dxa"/>
            <w:vAlign w:val="bottom"/>
          </w:tcPr>
          <w:p>
            <w:pPr>
              <w:spacing w:after="0"/>
              <w:rPr>
                <w:sz w:val="19"/>
                <w:szCs w:val="19"/>
                <w:color w:val="auto"/>
              </w:rPr>
            </w:pPr>
          </w:p>
        </w:tc>
        <w:tc>
          <w:tcPr>
            <w:tcW w:w="900" w:type="dxa"/>
            <w:vAlign w:val="bottom"/>
          </w:tcPr>
          <w:p>
            <w:pPr>
              <w:jc w:val="right"/>
              <w:ind w:right="161"/>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Based on the evaluation, our Chief Executive Officer and Chief Financial Officer have concluded that, as of the end of the period covered by this Quarterly Report on Form 10-Q, our disclosure controls and procedures were effective to provide reasonable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9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1" w:lineRule="exact"/>
        <w:rPr>
          <w:sz w:val="20"/>
          <w:szCs w:val="20"/>
          <w:color w:val="auto"/>
        </w:rPr>
      </w:pPr>
    </w:p>
    <w:p>
      <w:pPr>
        <w:jc w:val="both"/>
        <w:ind w:right="240"/>
        <w:spacing w:after="0" w:line="24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2023 that have materially affected, or that are reasonably likely to materially affect, our internal control over financial reporting.</w:t>
      </w: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629793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00"/>
          </w:cols>
          <w:pgMar w:left="980" w:top="655" w:right="10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5" w:lineRule="exact"/>
        <w:rPr>
          <w:sz w:val="20"/>
          <w:szCs w:val="20"/>
          <w:color w:val="auto"/>
        </w:rPr>
      </w:pPr>
    </w:p>
    <w:p>
      <w:pPr>
        <w:jc w:val="both"/>
        <w:ind w:right="500"/>
        <w:spacing w:after="0" w:line="253" w:lineRule="auto"/>
        <w:rPr>
          <w:sz w:val="20"/>
          <w:szCs w:val="20"/>
          <w:color w:val="auto"/>
        </w:rPr>
      </w:pPr>
      <w:r>
        <w:rPr>
          <w:rFonts w:ascii="Arial" w:cs="Arial" w:eastAsia="Arial" w:hAnsi="Arial"/>
          <w:sz w:val="18"/>
          <w:szCs w:val="18"/>
          <w:color w:val="auto"/>
        </w:rPr>
        <w:t>Except as set forth below, there have been no material changes to the risk factors previously disclosed in our Annual Report on Form 10-K for the year ended December 31, 2022 and in our Quarterly Reports on Form 10-Q for the three-month periods ended March 31, 2023 and June 30, 2023.</w:t>
      </w:r>
    </w:p>
    <w:p>
      <w:pPr>
        <w:spacing w:after="0" w:line="144"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color w:val="auto"/>
        </w:rPr>
        <w:t>Significant parts of our operations are located in Israel and, therefore, our results may be adversely affected by political, economic and military conditions in Israel.</w:t>
      </w:r>
    </w:p>
    <w:p>
      <w:pPr>
        <w:spacing w:after="0" w:line="136"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Our executive office and operations are located in the State of Israel. Accordingly, economic, geopolitical and military conditions in Israel directly affect our business. Any armed conflicts, political instability, terrorism, cyberattacks or any other hostilities involving Israel or the interruption or curtailment of trade between Israel and its present trading partners could affect adversely our operations. In October 2023, terrorists from the Hamas organization infiltrated Israel’s southern border from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have increased. In response, Israel’s security cabinet declared war against the Hamas and a military campaign against these terrorist organizations commenced in parallel to their continued rocket and terror attacks. The attacks by Hamas and Hezbollah, and Israel’s defensive measures, may result in a greater regional conflict. To date, our operations have not been adversely affected by this situation. Hostilities have not taken place where our facilities are located and we do not anticipate any disruption to the supply of Elfabrio or Elelyso. However, our facilities are in range of rockets that were fired from Lebanon into Israel during a 2006 war with the Hezbollah in Lebanon, and suffered minimal damages during one of the rocket attacks. Our insurance policies do not cover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If our facilities are damaged as a result of hostile action, our operations may be materially adversely affected.</w:t>
      </w:r>
    </w:p>
    <w:p>
      <w:pPr>
        <w:spacing w:after="0" w:line="35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Ongoing and revived hostilities or other Israeli political or economic factors, could prevent or delay future shipments of our products, harm our operations and product development and cause any future sales to decrease. In the event that hostilities disrupt the ongoing operation of our facilities or the airports and seaports on which we depend to import and export our supplies, materials, drug substance and other products, our operations may be materially adverse affected. It is currently not possible to predict the duration or severity of the ongoing conflict or its effects on our business, operations and financial conditions. The ongoing conflict is rapidly evolving and developing, and could disrupt certain of our business and operations, among others</w:t>
      </w:r>
    </w:p>
    <w:p>
      <w:pPr>
        <w:spacing w:after="0" w:line="121" w:lineRule="exact"/>
        <w:rPr>
          <w:sz w:val="20"/>
          <w:szCs w:val="20"/>
          <w:color w:val="auto"/>
        </w:rPr>
      </w:pPr>
    </w:p>
    <w:p>
      <w:pPr>
        <w:ind w:right="540"/>
        <w:spacing w:after="0" w:line="269" w:lineRule="auto"/>
        <w:rPr>
          <w:sz w:val="20"/>
          <w:szCs w:val="20"/>
          <w:color w:val="auto"/>
        </w:rPr>
      </w:pPr>
      <w:r>
        <w:rPr>
          <w:rFonts w:ascii="Arial" w:cs="Arial" w:eastAsia="Arial" w:hAnsi="Arial"/>
          <w:sz w:val="18"/>
          <w:szCs w:val="18"/>
          <w:b w:val="1"/>
          <w:bCs w:val="1"/>
          <w:color w:val="auto"/>
        </w:rPr>
        <w:t>Our operations may be disrupted by the obligations of our personnel to perform military service which could have a material adverse effect on our business.</w:t>
      </w:r>
    </w:p>
    <w:p>
      <w:pPr>
        <w:spacing w:after="0" w:line="136" w:lineRule="exact"/>
        <w:rPr>
          <w:sz w:val="20"/>
          <w:szCs w:val="20"/>
          <w:color w:val="auto"/>
        </w:rPr>
      </w:pPr>
    </w:p>
    <w:p>
      <w:pPr>
        <w:jc w:val="both"/>
        <w:ind w:right="80"/>
        <w:spacing w:after="0" w:line="280" w:lineRule="auto"/>
        <w:rPr>
          <w:sz w:val="20"/>
          <w:szCs w:val="20"/>
          <w:color w:val="auto"/>
        </w:rPr>
      </w:pPr>
      <w:r>
        <w:rPr>
          <w:rFonts w:ascii="Arial" w:cs="Arial" w:eastAsia="Arial" w:hAnsi="Arial"/>
          <w:sz w:val="16"/>
          <w:szCs w:val="16"/>
          <w:color w:val="auto"/>
        </w:rPr>
        <w:t>Many of our male employees in Israel, including members of senior management, are obligated to perform up to one month (in some cases more) of annual military reserve duty until they reach the age of 45 and, in the event of a military conflict, could be called to active duty. To date, we have not suffered any disruptions to our operations from the absence of employees in connection with the recent military action.</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However, we continue to face the risk that our operations could be disrupted by the absence of a significant number of our employees related to military service or the absence for extended periods of military service of one or more of our key employees. Any such disruption may have a material adverse effect on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During the quarter ended September 30, 2023, none of our directors or officers adopted or terminated a Rule 10b5-1 trading arrangement or non-Rule 10b5-1 trading arrangement (as such terms are defined in Item 408 of Regulation S-K). .</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0" w:type="dxa"/>
            <w:vAlign w:val="bottom"/>
            <w:gridSpan w:val="3"/>
          </w:tcPr>
          <w:p>
            <w:pPr>
              <w:jc w:val="center"/>
              <w:ind w:right="633"/>
              <w:spacing w:after="0"/>
              <w:rPr>
                <w:sz w:val="20"/>
                <w:szCs w:val="20"/>
                <w:color w:val="auto"/>
              </w:rPr>
            </w:pPr>
            <w:r>
              <w:rPr>
                <w:rFonts w:ascii="Arial" w:cs="Arial" w:eastAsia="Arial" w:hAnsi="Arial"/>
                <w:sz w:val="14"/>
                <w:szCs w:val="14"/>
                <w:b w:val="1"/>
                <w:bCs w:val="1"/>
                <w:color w:val="auto"/>
                <w:w w:val="90"/>
              </w:rPr>
              <w:t>Incorporated by Reference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 or Furnished</w:t>
            </w:r>
          </w:p>
        </w:tc>
        <w:tc>
          <w:tcPr>
            <w:tcW w:w="0" w:type="dxa"/>
            <w:vAlign w:val="bottom"/>
          </w:tcPr>
          <w:p>
            <w:pPr>
              <w:spacing w:after="0"/>
              <w:rPr>
                <w:sz w:val="1"/>
                <w:szCs w:val="1"/>
                <w:color w:val="auto"/>
              </w:rPr>
            </w:pPr>
          </w:p>
        </w:tc>
      </w:tr>
      <w:tr>
        <w:trPr>
          <w:trHeight w:val="107"/>
        </w:trPr>
        <w:tc>
          <w:tcPr>
            <w:tcW w:w="8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60" w:type="dxa"/>
            <w:vAlign w:val="bottom"/>
            <w:gridSpan w:val="24"/>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Form</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gridSpan w:val="24"/>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4"/>
        </w:trPr>
        <w:tc>
          <w:tcPr>
            <w:tcW w:w="840" w:type="dxa"/>
            <w:vAlign w:val="bottom"/>
          </w:tcPr>
          <w:p>
            <w:pPr>
              <w:spacing w:after="0" w:line="184" w:lineRule="exact"/>
              <w:rPr>
                <w:sz w:val="20"/>
                <w:szCs w:val="20"/>
                <w:color w:val="auto"/>
              </w:rPr>
            </w:pPr>
            <w:r>
              <w:rPr>
                <w:rFonts w:ascii="Arial" w:cs="Arial" w:eastAsia="Arial" w:hAnsi="Arial"/>
                <w:sz w:val="18"/>
                <w:szCs w:val="18"/>
                <w:color w:val="auto"/>
              </w:rPr>
              <w:t>3.1</w:t>
            </w:r>
          </w:p>
        </w:tc>
        <w:tc>
          <w:tcPr>
            <w:tcW w:w="3640" w:type="dxa"/>
            <w:vAlign w:val="bottom"/>
            <w:gridSpan w:val="28"/>
          </w:tcPr>
          <w:p>
            <w:pPr>
              <w:spacing w:after="0" w:line="184" w:lineRule="exact"/>
              <w:rPr>
                <w:rFonts w:ascii="Arial" w:cs="Arial" w:eastAsia="Arial" w:hAnsi="Arial"/>
                <w:sz w:val="18"/>
                <w:szCs w:val="18"/>
                <w:color w:val="0000EE"/>
              </w:rPr>
            </w:pPr>
            <w:hyperlink r:id="rId58">
              <w:r>
                <w:rPr>
                  <w:rFonts w:ascii="Arial" w:cs="Arial" w:eastAsia="Arial" w:hAnsi="Arial"/>
                  <w:sz w:val="18"/>
                  <w:szCs w:val="18"/>
                  <w:color w:val="0000EE"/>
                </w:rPr>
                <w:t>Certificate of Incorporation of the Company</w:t>
              </w:r>
            </w:hyperlink>
          </w:p>
        </w:tc>
        <w:tc>
          <w:tcPr>
            <w:tcW w:w="700" w:type="dxa"/>
            <w:vAlign w:val="bottom"/>
          </w:tcPr>
          <w:p>
            <w:pPr>
              <w:jc w:val="center"/>
              <w:spacing w:after="0" w:line="184" w:lineRule="exact"/>
              <w:rPr>
                <w:sz w:val="20"/>
                <w:szCs w:val="20"/>
                <w:color w:val="auto"/>
              </w:rPr>
            </w:pPr>
            <w:r>
              <w:rPr>
                <w:rFonts w:ascii="Arial" w:cs="Arial" w:eastAsia="Arial" w:hAnsi="Arial"/>
                <w:sz w:val="18"/>
                <w:szCs w:val="18"/>
                <w:color w:val="auto"/>
                <w:w w:val="99"/>
              </w:rPr>
              <w:t>8-K</w:t>
            </w:r>
          </w:p>
        </w:tc>
        <w:tc>
          <w:tcPr>
            <w:tcW w:w="900" w:type="dxa"/>
            <w:vAlign w:val="bottom"/>
          </w:tcPr>
          <w:p>
            <w:pPr>
              <w:ind w:left="40"/>
              <w:spacing w:after="0" w:line="184" w:lineRule="exact"/>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line="184" w:lineRule="exact"/>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line="184" w:lineRule="exact"/>
              <w:rPr>
                <w:sz w:val="20"/>
                <w:szCs w:val="20"/>
                <w:color w:val="auto"/>
              </w:rPr>
            </w:pPr>
            <w:r>
              <w:rPr>
                <w:rFonts w:ascii="Arial" w:cs="Arial" w:eastAsia="Arial" w:hAnsi="Arial"/>
                <w:sz w:val="18"/>
                <w:szCs w:val="18"/>
                <w:color w:val="auto"/>
                <w:w w:val="92"/>
              </w:rPr>
              <w:t>April 1, 2016</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3480" w:type="dxa"/>
            <w:vAlign w:val="bottom"/>
            <w:tcBorders>
              <w:bottom w:val="single" w:sz="8" w:color="0000EE"/>
            </w:tcBorders>
            <w:gridSpan w:val="23"/>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Amendment to Certificate of Incorporation of the</w:t>
              </w:r>
            </w:hyperlink>
          </w:p>
        </w:tc>
        <w:tc>
          <w:tcPr>
            <w:tcW w:w="160" w:type="dxa"/>
            <w:vAlign w:val="bottom"/>
            <w:gridSpan w:val="5"/>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Def 14A</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Appen. A</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July 1, 2016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680" w:type="dxa"/>
            <w:vAlign w:val="bottom"/>
            <w:tcBorders>
              <w:bottom w:val="single" w:sz="8" w:color="0000EE"/>
            </w:tcBorders>
          </w:tcPr>
          <w:p>
            <w:pPr>
              <w:spacing w:after="0" w:line="191" w:lineRule="exact"/>
              <w:rPr>
                <w:rFonts w:ascii="Arial" w:cs="Arial" w:eastAsia="Arial" w:hAnsi="Arial"/>
                <w:sz w:val="18"/>
                <w:szCs w:val="18"/>
                <w:color w:val="0000EE"/>
                <w:w w:val="85"/>
              </w:rPr>
            </w:pPr>
            <w:hyperlink r:id="rId59">
              <w:r>
                <w:rPr>
                  <w:rFonts w:ascii="Arial" w:cs="Arial" w:eastAsia="Arial" w:hAnsi="Arial"/>
                  <w:sz w:val="18"/>
                  <w:szCs w:val="18"/>
                  <w:color w:val="0000EE"/>
                  <w:w w:val="85"/>
                </w:rPr>
                <w:t>Company</w:t>
              </w:r>
            </w:hyperlink>
          </w:p>
        </w:tc>
        <w:tc>
          <w:tcPr>
            <w:tcW w:w="2960" w:type="dxa"/>
            <w:vAlign w:val="bottom"/>
            <w:gridSpan w:val="27"/>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3640" w:type="dxa"/>
            <w:vAlign w:val="bottom"/>
            <w:gridSpan w:val="28"/>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Second Amendment to Certificate of Incorporation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Def 14A</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Appen. 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October 17, 2018</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580" w:type="dxa"/>
            <w:vAlign w:val="bottom"/>
            <w:tcBorders>
              <w:top w:val="single" w:sz="8" w:color="0000EE"/>
            </w:tcBorders>
            <w:gridSpan w:val="26"/>
          </w:tcPr>
          <w:p>
            <w:pPr>
              <w:spacing w:after="0" w:line="191" w:lineRule="exact"/>
              <w:rPr>
                <w:rFonts w:ascii="Arial" w:cs="Arial" w:eastAsia="Arial" w:hAnsi="Arial"/>
                <w:sz w:val="18"/>
                <w:szCs w:val="18"/>
                <w:color w:val="0000EE"/>
              </w:rPr>
            </w:pPr>
            <w:hyperlink r:id="rId60">
              <w:r>
                <w:rPr>
                  <w:rFonts w:ascii="Arial" w:cs="Arial" w:eastAsia="Arial" w:hAnsi="Arial"/>
                  <w:sz w:val="18"/>
                  <w:szCs w:val="18"/>
                  <w:color w:val="0000EE"/>
                </w:rPr>
                <w:t>of the Company</w:t>
              </w:r>
            </w:hyperlink>
          </w:p>
        </w:tc>
        <w:tc>
          <w:tcPr>
            <w:tcW w:w="6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3.4</w:t>
            </w:r>
          </w:p>
        </w:tc>
        <w:tc>
          <w:tcPr>
            <w:tcW w:w="3480" w:type="dxa"/>
            <w:vAlign w:val="bottom"/>
            <w:tcBorders>
              <w:bottom w:val="single" w:sz="8" w:color="0000EE"/>
            </w:tcBorders>
            <w:gridSpan w:val="23"/>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Third Amendment to Certificate of Incorporation</w:t>
              </w:r>
            </w:hyperlink>
          </w:p>
        </w:tc>
        <w:tc>
          <w:tcPr>
            <w:tcW w:w="160" w:type="dxa"/>
            <w:vAlign w:val="bottom"/>
            <w:gridSpan w:val="5"/>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December 19, 2019</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640" w:type="dxa"/>
            <w:vAlign w:val="bottom"/>
            <w:gridSpan w:val="28"/>
          </w:tcPr>
          <w:p>
            <w:pPr>
              <w:spacing w:after="0" w:line="191" w:lineRule="exact"/>
              <w:rPr>
                <w:rFonts w:ascii="Arial" w:cs="Arial" w:eastAsia="Arial" w:hAnsi="Arial"/>
                <w:sz w:val="18"/>
                <w:szCs w:val="18"/>
                <w:color w:val="0000EE"/>
              </w:rPr>
            </w:pPr>
            <w:hyperlink r:id="rId61">
              <w:r>
                <w:rPr>
                  <w:rFonts w:ascii="Arial" w:cs="Arial" w:eastAsia="Arial" w:hAnsi="Arial"/>
                  <w:sz w:val="18"/>
                  <w:szCs w:val="18"/>
                  <w:color w:val="0000EE"/>
                </w:rPr>
                <w:t>of the Company</w:t>
              </w:r>
            </w:hyperlink>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3.5</w:t>
            </w:r>
          </w:p>
        </w:tc>
        <w:tc>
          <w:tcPr>
            <w:tcW w:w="3540" w:type="dxa"/>
            <w:vAlign w:val="bottom"/>
            <w:tcBorders>
              <w:bottom w:val="single" w:sz="8" w:color="0000EE"/>
            </w:tcBorders>
            <w:gridSpan w:val="24"/>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Fourth Amendment to Certificate of Incorporation</w:t>
              </w:r>
            </w:hyperlink>
          </w:p>
        </w:tc>
        <w:tc>
          <w:tcPr>
            <w:tcW w:w="100" w:type="dxa"/>
            <w:vAlign w:val="bottom"/>
            <w:gridSpan w:val="4"/>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August 15, 2022</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640" w:type="dxa"/>
            <w:vAlign w:val="bottom"/>
            <w:gridSpan w:val="28"/>
          </w:tcPr>
          <w:p>
            <w:pPr>
              <w:spacing w:after="0" w:line="191" w:lineRule="exact"/>
              <w:rPr>
                <w:rFonts w:ascii="Arial" w:cs="Arial" w:eastAsia="Arial" w:hAnsi="Arial"/>
                <w:sz w:val="18"/>
                <w:szCs w:val="18"/>
                <w:color w:val="0000EE"/>
              </w:rPr>
            </w:pPr>
            <w:hyperlink r:id="rId62">
              <w:r>
                <w:rPr>
                  <w:rFonts w:ascii="Arial" w:cs="Arial" w:eastAsia="Arial" w:hAnsi="Arial"/>
                  <w:sz w:val="18"/>
                  <w:szCs w:val="18"/>
                  <w:color w:val="0000EE"/>
                </w:rPr>
                <w:t>of the Company</w:t>
              </w:r>
            </w:hyperlink>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3.6</w:t>
            </w:r>
          </w:p>
        </w:tc>
        <w:tc>
          <w:tcPr>
            <w:tcW w:w="3600" w:type="dxa"/>
            <w:vAlign w:val="bottom"/>
            <w:tcBorders>
              <w:bottom w:val="single" w:sz="8" w:color="0000EE"/>
            </w:tcBorders>
            <w:gridSpan w:val="27"/>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Fifth Amendment to Certificate of Incorporation of</w:t>
              </w:r>
            </w:hyperlink>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August 7, 2023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940" w:type="dxa"/>
            <w:vAlign w:val="bottom"/>
            <w:tcBorders>
              <w:bottom w:val="single" w:sz="8" w:color="0000EE"/>
            </w:tcBorders>
            <w:gridSpan w:val="2"/>
          </w:tcPr>
          <w:p>
            <w:pPr>
              <w:spacing w:after="0" w:line="191" w:lineRule="exact"/>
              <w:rPr>
                <w:rFonts w:ascii="Arial" w:cs="Arial" w:eastAsia="Arial" w:hAnsi="Arial"/>
                <w:sz w:val="18"/>
                <w:szCs w:val="18"/>
                <w:color w:val="0000EE"/>
                <w:w w:val="85"/>
              </w:rPr>
            </w:pPr>
            <w:hyperlink r:id="rId63">
              <w:r>
                <w:rPr>
                  <w:rFonts w:ascii="Arial" w:cs="Arial" w:eastAsia="Arial" w:hAnsi="Arial"/>
                  <w:sz w:val="18"/>
                  <w:szCs w:val="18"/>
                  <w:color w:val="0000EE"/>
                  <w:w w:val="85"/>
                </w:rPr>
                <w:t>the Company</w:t>
              </w:r>
            </w:hyperlink>
          </w:p>
        </w:tc>
        <w:tc>
          <w:tcPr>
            <w:tcW w:w="2700" w:type="dxa"/>
            <w:vAlign w:val="bottom"/>
            <w:gridSpan w:val="26"/>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3.7</w:t>
            </w:r>
          </w:p>
        </w:tc>
        <w:tc>
          <w:tcPr>
            <w:tcW w:w="3640" w:type="dxa"/>
            <w:vAlign w:val="bottom"/>
            <w:gridSpan w:val="28"/>
          </w:tcPr>
          <w:p>
            <w:pPr>
              <w:spacing w:after="0"/>
              <w:rPr>
                <w:rFonts w:ascii="Arial" w:cs="Arial" w:eastAsia="Arial" w:hAnsi="Arial"/>
                <w:sz w:val="18"/>
                <w:szCs w:val="18"/>
                <w:color w:val="0000EE"/>
              </w:rPr>
            </w:pPr>
            <w:hyperlink r:id="rId64">
              <w:r>
                <w:rPr>
                  <w:rFonts w:ascii="Arial" w:cs="Arial" w:eastAsia="Arial" w:hAnsi="Arial"/>
                  <w:sz w:val="18"/>
                  <w:szCs w:val="18"/>
                  <w:color w:val="0000EE"/>
                </w:rPr>
                <w:t>Bylaws of the Company</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April 1, 2016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3120" w:type="dxa"/>
            <w:vAlign w:val="bottom"/>
            <w:tcBorders>
              <w:bottom w:val="single" w:sz="8" w:color="0000EE"/>
            </w:tcBorders>
            <w:gridSpan w:val="14"/>
          </w:tcPr>
          <w:p>
            <w:pPr>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Form of Restricted Stock Agreement/Notice</w:t>
              </w:r>
            </w:hyperlink>
          </w:p>
        </w:tc>
        <w:tc>
          <w:tcPr>
            <w:tcW w:w="520" w:type="dxa"/>
            <w:vAlign w:val="bottom"/>
            <w:gridSpan w:val="14"/>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July 18, 2012</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3640" w:type="dxa"/>
            <w:vAlign w:val="bottom"/>
            <w:gridSpan w:val="28"/>
          </w:tcPr>
          <w:p>
            <w:pPr>
              <w:spacing w:after="0"/>
              <w:rPr>
                <w:rFonts w:ascii="Arial" w:cs="Arial" w:eastAsia="Arial" w:hAnsi="Arial"/>
                <w:sz w:val="18"/>
                <w:szCs w:val="18"/>
                <w:color w:val="0000EE"/>
              </w:rPr>
            </w:pPr>
            <w:hyperlink r:id="rId66">
              <w:r>
                <w:rPr>
                  <w:rFonts w:ascii="Arial" w:cs="Arial" w:eastAsia="Arial" w:hAnsi="Arial"/>
                  <w:sz w:val="18"/>
                  <w:szCs w:val="18"/>
                  <w:color w:val="0000EE"/>
                </w:rPr>
                <w:t>Description of Capital Stock</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February 27, 2023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11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r:id="rId67">
              <w:r>
                <w:rPr>
                  <w:rFonts w:ascii="Arial" w:cs="Arial" w:eastAsia="Arial" w:hAnsi="Arial"/>
                  <w:sz w:val="18"/>
                  <w:szCs w:val="18"/>
                  <w:color w:val="0000EE"/>
                  <w:w w:val="88"/>
                </w:rPr>
                <w:t>Form of Warrant</w:t>
              </w:r>
            </w:hyperlink>
          </w:p>
        </w:tc>
        <w:tc>
          <w:tcPr>
            <w:tcW w:w="820" w:type="dxa"/>
            <w:vAlign w:val="bottom"/>
            <w:tcBorders>
              <w:top w:val="single" w:sz="8" w:color="0000EE"/>
            </w:tcBorders>
            <w:gridSpan w:val="2"/>
          </w:tcPr>
          <w:p>
            <w:pPr>
              <w:spacing w:after="0"/>
              <w:rPr>
                <w:sz w:val="21"/>
                <w:szCs w:val="21"/>
                <w:color w:val="auto"/>
              </w:rPr>
            </w:pPr>
          </w:p>
        </w:tc>
        <w:tc>
          <w:tcPr>
            <w:tcW w:w="1640" w:type="dxa"/>
            <w:vAlign w:val="bottom"/>
            <w:gridSpan w:val="22"/>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March 12, 2020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3640" w:type="dxa"/>
            <w:vAlign w:val="bottom"/>
            <w:gridSpan w:val="28"/>
          </w:tcPr>
          <w:p>
            <w:pPr>
              <w:spacing w:after="0"/>
              <w:rPr>
                <w:rFonts w:ascii="Arial" w:cs="Arial" w:eastAsia="Arial" w:hAnsi="Arial"/>
                <w:sz w:val="18"/>
                <w:szCs w:val="18"/>
                <w:color w:val="0000EE"/>
                <w:w w:val="98"/>
              </w:rPr>
            </w:pPr>
            <w:hyperlink r:id="rId68">
              <w:r>
                <w:rPr>
                  <w:rFonts w:ascii="Arial" w:cs="Arial" w:eastAsia="Arial" w:hAnsi="Arial"/>
                  <w:sz w:val="18"/>
                  <w:szCs w:val="18"/>
                  <w:color w:val="0000EE"/>
                  <w:w w:val="98"/>
                </w:rPr>
                <w:t>Form of Stock Option Agreement (Executives)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August 10, 2020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31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8"/>
              </w:rPr>
            </w:pPr>
            <w:hyperlink r:id="rId69">
              <w:r>
                <w:rPr>
                  <w:rFonts w:ascii="Arial" w:cs="Arial" w:eastAsia="Arial" w:hAnsi="Arial"/>
                  <w:sz w:val="18"/>
                  <w:szCs w:val="18"/>
                  <w:color w:val="0000EE"/>
                  <w:w w:val="88"/>
                </w:rPr>
                <w:t>Form of Stock Option Agreement (Standard)</w:t>
              </w:r>
            </w:hyperlink>
          </w:p>
        </w:tc>
        <w:tc>
          <w:tcPr>
            <w:tcW w:w="140" w:type="dxa"/>
            <w:vAlign w:val="bottom"/>
            <w:tcBorders>
              <w:top w:val="single" w:sz="8" w:color="0000EE"/>
            </w:tcBorders>
            <w:gridSpan w:val="3"/>
          </w:tcPr>
          <w:p>
            <w:pPr>
              <w:spacing w:after="0"/>
              <w:rPr>
                <w:sz w:val="21"/>
                <w:szCs w:val="21"/>
                <w:color w:val="auto"/>
              </w:rPr>
            </w:pPr>
          </w:p>
        </w:tc>
        <w:tc>
          <w:tcPr>
            <w:tcW w:w="340" w:type="dxa"/>
            <w:vAlign w:val="bottom"/>
            <w:gridSpan w:val="10"/>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August 10, 2020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3640" w:type="dxa"/>
            <w:vAlign w:val="bottom"/>
            <w:gridSpan w:val="28"/>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Indenture, dated as of August 24, 2021, between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August 26, 2021</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tcPr>
          <w:p>
            <w:pPr>
              <w:spacing w:after="0"/>
              <w:rPr>
                <w:sz w:val="16"/>
                <w:szCs w:val="16"/>
                <w:color w:val="auto"/>
              </w:rPr>
            </w:pPr>
          </w:p>
        </w:tc>
        <w:tc>
          <w:tcPr>
            <w:tcW w:w="3640" w:type="dxa"/>
            <w:vAlign w:val="bottom"/>
            <w:gridSpan w:val="28"/>
          </w:tcPr>
          <w:p>
            <w:pPr>
              <w:spacing w:after="0" w:line="191"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Protalix BioTherapeutics, Inc., the guarantors party</w:t>
              </w:r>
            </w:hyperlink>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180" w:type="dxa"/>
            <w:vAlign w:val="bottom"/>
            <w:tcBorders>
              <w:top w:val="single" w:sz="8" w:color="0000EE"/>
              <w:bottom w:val="single" w:sz="8" w:color="0000EE"/>
            </w:tcBorders>
            <w:gridSpan w:val="16"/>
          </w:tcPr>
          <w:p>
            <w:pPr>
              <w:spacing w:after="0" w:line="191"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thereto, The Bank of New York Mellon Trust</w:t>
              </w:r>
            </w:hyperlink>
          </w:p>
        </w:tc>
        <w:tc>
          <w:tcPr>
            <w:tcW w:w="420" w:type="dxa"/>
            <w:vAlign w:val="bottom"/>
            <w:tcBorders>
              <w:top w:val="single" w:sz="8" w:color="0000EE"/>
            </w:tcBorders>
            <w:gridSpan w:val="11"/>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640" w:type="dxa"/>
            <w:vAlign w:val="bottom"/>
            <w:gridSpan w:val="28"/>
          </w:tcPr>
          <w:p>
            <w:pPr>
              <w:spacing w:after="0" w:line="191" w:lineRule="exact"/>
              <w:rPr>
                <w:rFonts w:ascii="Arial" w:cs="Arial" w:eastAsia="Arial" w:hAnsi="Arial"/>
                <w:sz w:val="18"/>
                <w:szCs w:val="18"/>
                <w:color w:val="0000EE"/>
              </w:rPr>
            </w:pPr>
            <w:hyperlink r:id="rId70">
              <w:r>
                <w:rPr>
                  <w:rFonts w:ascii="Arial" w:cs="Arial" w:eastAsia="Arial" w:hAnsi="Arial"/>
                  <w:sz w:val="18"/>
                  <w:szCs w:val="18"/>
                  <w:color w:val="0000EE"/>
                </w:rPr>
                <w:t>Company, N.A., as trustee and Wilmington</w:t>
              </w:r>
            </w:hyperlink>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tcPr>
          <w:p>
            <w:pPr>
              <w:spacing w:after="0"/>
              <w:rPr>
                <w:sz w:val="16"/>
                <w:szCs w:val="16"/>
                <w:color w:val="auto"/>
              </w:rPr>
            </w:pPr>
          </w:p>
        </w:tc>
        <w:tc>
          <w:tcPr>
            <w:tcW w:w="3280" w:type="dxa"/>
            <w:vAlign w:val="bottom"/>
            <w:tcBorders>
              <w:bottom w:val="single" w:sz="8" w:color="0000EE"/>
            </w:tcBorders>
            <w:gridSpan w:val="17"/>
          </w:tcPr>
          <w:p>
            <w:pPr>
              <w:spacing w:after="0" w:line="191" w:lineRule="exact"/>
              <w:rPr>
                <w:rFonts w:ascii="Arial" w:cs="Arial" w:eastAsia="Arial" w:hAnsi="Arial"/>
                <w:sz w:val="18"/>
                <w:szCs w:val="18"/>
                <w:color w:val="0000EE"/>
                <w:w w:val="86"/>
              </w:rPr>
            </w:pPr>
            <w:hyperlink r:id="rId70">
              <w:r>
                <w:rPr>
                  <w:rFonts w:ascii="Arial" w:cs="Arial" w:eastAsia="Arial" w:hAnsi="Arial"/>
                  <w:sz w:val="18"/>
                  <w:szCs w:val="18"/>
                  <w:color w:val="0000EE"/>
                  <w:w w:val="86"/>
                </w:rPr>
                <w:t>Savings Fund Society, FSB, as collateral agent</w:t>
              </w:r>
            </w:hyperlink>
          </w:p>
        </w:tc>
        <w:tc>
          <w:tcPr>
            <w:tcW w:w="360" w:type="dxa"/>
            <w:vAlign w:val="bottom"/>
            <w:gridSpan w:val="11"/>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3640" w:type="dxa"/>
            <w:vAlign w:val="bottom"/>
            <w:gridSpan w:val="28"/>
          </w:tcPr>
          <w:p>
            <w:pPr>
              <w:spacing w:after="0"/>
              <w:rPr>
                <w:rFonts w:ascii="Arial" w:cs="Arial" w:eastAsia="Arial" w:hAnsi="Arial"/>
                <w:sz w:val="18"/>
                <w:szCs w:val="18"/>
                <w:color w:val="0000EE"/>
              </w:rPr>
            </w:pPr>
            <w:hyperlink r:id="rId71">
              <w:r>
                <w:rPr>
                  <w:rFonts w:ascii="Arial" w:cs="Arial" w:eastAsia="Arial" w:hAnsi="Arial"/>
                  <w:sz w:val="18"/>
                  <w:szCs w:val="18"/>
                  <w:color w:val="0000EE"/>
                </w:rPr>
                <w:t>Form of Exchange Note (2024)</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August 26, 2021</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3480" w:type="dxa"/>
            <w:vAlign w:val="bottom"/>
            <w:tcBorders>
              <w:bottom w:val="single" w:sz="8" w:color="0000EE"/>
            </w:tcBorders>
            <w:gridSpan w:val="23"/>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Amended and Restated Pro BioTherapeutics, Inc.</w:t>
              </w:r>
            </w:hyperlink>
          </w:p>
        </w:tc>
        <w:tc>
          <w:tcPr>
            <w:tcW w:w="160" w:type="dxa"/>
            <w:vAlign w:val="bottom"/>
            <w:gridSpan w:val="5"/>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00" w:type="dxa"/>
            <w:vAlign w:val="bottom"/>
          </w:tcPr>
          <w:p>
            <w:pPr>
              <w:ind w:left="40"/>
              <w:spacing w:after="0"/>
              <w:rPr>
                <w:sz w:val="20"/>
                <w:szCs w:val="20"/>
                <w:color w:val="auto"/>
              </w:rPr>
            </w:pPr>
            <w:r>
              <w:rPr>
                <w:rFonts w:ascii="Arial" w:cs="Arial" w:eastAsia="Arial" w:hAnsi="Arial"/>
                <w:sz w:val="18"/>
                <w:szCs w:val="18"/>
                <w:color w:val="auto"/>
                <w:w w:val="97"/>
              </w:rPr>
              <w:t>001-33357</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August 7, 2023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2780" w:type="dxa"/>
            <w:vAlign w:val="bottom"/>
            <w:tcBorders>
              <w:bottom w:val="single" w:sz="8" w:color="0000EE"/>
            </w:tcBorders>
            <w:gridSpan w:val="10"/>
          </w:tcPr>
          <w:p>
            <w:pPr>
              <w:spacing w:after="0" w:line="191" w:lineRule="exact"/>
              <w:rPr>
                <w:rFonts w:ascii="Arial" w:cs="Arial" w:eastAsia="Arial" w:hAnsi="Arial"/>
                <w:sz w:val="18"/>
                <w:szCs w:val="18"/>
                <w:color w:val="0000EE"/>
                <w:w w:val="87"/>
              </w:rPr>
            </w:pPr>
            <w:hyperlink r:id="rId72">
              <w:r>
                <w:rPr>
                  <w:rFonts w:ascii="Arial" w:cs="Arial" w:eastAsia="Arial" w:hAnsi="Arial"/>
                  <w:sz w:val="18"/>
                  <w:szCs w:val="18"/>
                  <w:color w:val="0000EE"/>
                  <w:w w:val="87"/>
                </w:rPr>
                <w:t>2006 Stock Incentive Plan, as amended</w:t>
              </w:r>
            </w:hyperlink>
          </w:p>
        </w:tc>
        <w:tc>
          <w:tcPr>
            <w:tcW w:w="860" w:type="dxa"/>
            <w:vAlign w:val="bottom"/>
            <w:gridSpan w:val="18"/>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34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Certification of Chief Executive Officer pursuant</w:t>
            </w:r>
          </w:p>
        </w:tc>
        <w:tc>
          <w:tcPr>
            <w:tcW w:w="180" w:type="dxa"/>
            <w:vAlign w:val="bottom"/>
            <w:gridSpan w:val="6"/>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640" w:type="dxa"/>
            <w:vAlign w:val="bottom"/>
            <w:gridSpan w:val="28"/>
          </w:tcPr>
          <w:p>
            <w:pPr>
              <w:spacing w:after="0" w:line="191" w:lineRule="exact"/>
              <w:rPr>
                <w:sz w:val="20"/>
                <w:szCs w:val="20"/>
                <w:color w:val="auto"/>
              </w:rPr>
            </w:pPr>
            <w:r>
              <w:rPr>
                <w:rFonts w:ascii="Arial" w:cs="Arial" w:eastAsia="Arial" w:hAnsi="Arial"/>
                <w:sz w:val="18"/>
                <w:szCs w:val="18"/>
                <w:color w:val="0000EE"/>
                <w:w w:val="91"/>
              </w:rPr>
              <w:t>to Rule 13a-14(a) as adopted pursuant to Section</w:t>
            </w: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2760" w:type="dxa"/>
            <w:vAlign w:val="bottom"/>
            <w:tcBorders>
              <w:top w:val="single" w:sz="8" w:color="0000EE"/>
              <w:bottom w:val="single" w:sz="8" w:color="0000EE"/>
            </w:tcBorders>
            <w:gridSpan w:val="9"/>
          </w:tcPr>
          <w:p>
            <w:pPr>
              <w:spacing w:after="0" w:line="191" w:lineRule="exact"/>
              <w:rPr>
                <w:sz w:val="20"/>
                <w:szCs w:val="20"/>
                <w:color w:val="auto"/>
              </w:rPr>
            </w:pPr>
            <w:r>
              <w:rPr>
                <w:rFonts w:ascii="Arial" w:cs="Arial" w:eastAsia="Arial" w:hAnsi="Arial"/>
                <w:sz w:val="18"/>
                <w:szCs w:val="18"/>
                <w:color w:val="0000EE"/>
                <w:w w:val="88"/>
              </w:rPr>
              <w:t>302 of the Sarbanes-Oxley Act of 2002</w:t>
            </w:r>
          </w:p>
        </w:tc>
        <w:tc>
          <w:tcPr>
            <w:tcW w:w="660" w:type="dxa"/>
            <w:vAlign w:val="bottom"/>
            <w:tcBorders>
              <w:top w:val="single" w:sz="8" w:color="0000EE"/>
            </w:tcBorders>
            <w:gridSpan w:val="12"/>
          </w:tcPr>
          <w:p>
            <w:pPr>
              <w:spacing w:after="0"/>
              <w:rPr>
                <w:sz w:val="16"/>
                <w:szCs w:val="16"/>
                <w:color w:val="auto"/>
              </w:rPr>
            </w:pPr>
          </w:p>
        </w:tc>
        <w:tc>
          <w:tcPr>
            <w:tcW w:w="220" w:type="dxa"/>
            <w:vAlign w:val="bottom"/>
            <w:gridSpan w:val="7"/>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3640" w:type="dxa"/>
            <w:vAlign w:val="bottom"/>
            <w:gridSpan w:val="28"/>
          </w:tcPr>
          <w:p>
            <w:pPr>
              <w:spacing w:after="0"/>
              <w:rPr>
                <w:sz w:val="20"/>
                <w:szCs w:val="20"/>
                <w:color w:val="auto"/>
              </w:rPr>
            </w:pPr>
            <w:r>
              <w:rPr>
                <w:rFonts w:ascii="Arial" w:cs="Arial" w:eastAsia="Arial" w:hAnsi="Arial"/>
                <w:sz w:val="18"/>
                <w:szCs w:val="18"/>
                <w:color w:val="0000EE"/>
                <w:w w:val="92"/>
              </w:rPr>
              <w:t>Certification of Chief Financial Officer pursuant to</w:t>
            </w: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560" w:type="dxa"/>
            <w:vAlign w:val="bottom"/>
            <w:tcBorders>
              <w:top w:val="single" w:sz="8" w:color="0000EE"/>
              <w:bottom w:val="single" w:sz="8" w:color="0000EE"/>
            </w:tcBorders>
            <w:gridSpan w:val="25"/>
          </w:tcPr>
          <w:p>
            <w:pPr>
              <w:spacing w:after="0" w:line="191" w:lineRule="exact"/>
              <w:rPr>
                <w:sz w:val="20"/>
                <w:szCs w:val="20"/>
                <w:color w:val="auto"/>
              </w:rPr>
            </w:pPr>
            <w:r>
              <w:rPr>
                <w:rFonts w:ascii="Arial" w:cs="Arial" w:eastAsia="Arial" w:hAnsi="Arial"/>
                <w:sz w:val="18"/>
                <w:szCs w:val="18"/>
                <w:color w:val="0000EE"/>
                <w:w w:val="86"/>
              </w:rPr>
              <w:t>Rule 13a-14(a) as adopted pursuant to Section 302</w:t>
            </w:r>
          </w:p>
        </w:tc>
        <w:tc>
          <w:tcPr>
            <w:tcW w:w="20" w:type="dxa"/>
            <w:vAlign w:val="bottom"/>
            <w:tcBorders>
              <w:top w:val="single" w:sz="8" w:color="0000EE"/>
            </w:tcBorders>
          </w:tcPr>
          <w:p>
            <w:pPr>
              <w:spacing w:after="0"/>
              <w:rPr>
                <w:sz w:val="16"/>
                <w:szCs w:val="16"/>
                <w:color w:val="auto"/>
              </w:rPr>
            </w:pPr>
          </w:p>
        </w:tc>
        <w:tc>
          <w:tcPr>
            <w:tcW w:w="6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2460" w:type="dxa"/>
            <w:vAlign w:val="bottom"/>
            <w:tcBorders>
              <w:bottom w:val="single" w:sz="8" w:color="0000EE"/>
            </w:tcBorders>
            <w:gridSpan w:val="8"/>
          </w:tcPr>
          <w:p>
            <w:pPr>
              <w:spacing w:after="0" w:line="191" w:lineRule="exact"/>
              <w:rPr>
                <w:sz w:val="20"/>
                <w:szCs w:val="20"/>
                <w:color w:val="auto"/>
              </w:rPr>
            </w:pPr>
            <w:r>
              <w:rPr>
                <w:rFonts w:ascii="Arial" w:cs="Arial" w:eastAsia="Arial" w:hAnsi="Arial"/>
                <w:sz w:val="18"/>
                <w:szCs w:val="18"/>
                <w:color w:val="0000EE"/>
                <w:w w:val="88"/>
              </w:rPr>
              <w:t>of the Sarbanes-Oxley Act of 2002</w:t>
            </w:r>
          </w:p>
        </w:tc>
        <w:tc>
          <w:tcPr>
            <w:tcW w:w="1180" w:type="dxa"/>
            <w:vAlign w:val="bottom"/>
            <w:gridSpan w:val="20"/>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3640" w:type="dxa"/>
            <w:vAlign w:val="bottom"/>
            <w:gridSpan w:val="28"/>
          </w:tcPr>
          <w:p>
            <w:pPr>
              <w:spacing w:after="0"/>
              <w:rPr>
                <w:sz w:val="20"/>
                <w:szCs w:val="20"/>
                <w:color w:val="auto"/>
              </w:rPr>
            </w:pPr>
            <w:r>
              <w:rPr>
                <w:rFonts w:ascii="Arial" w:cs="Arial" w:eastAsia="Arial" w:hAnsi="Arial"/>
                <w:sz w:val="18"/>
                <w:szCs w:val="18"/>
                <w:color w:val="0000EE"/>
                <w:w w:val="94"/>
              </w:rPr>
              <w:t>18 U.S.C. Section 1350, as adopted pursuant to</w:t>
            </w: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760" w:type="dxa"/>
            <w:vAlign w:val="bottom"/>
            <w:gridSpan w:val="9"/>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2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tcPr>
          <w:p>
            <w:pPr>
              <w:spacing w:after="0"/>
              <w:rPr>
                <w:sz w:val="16"/>
                <w:szCs w:val="16"/>
                <w:color w:val="auto"/>
              </w:rPr>
            </w:pPr>
          </w:p>
        </w:tc>
        <w:tc>
          <w:tcPr>
            <w:tcW w:w="3400" w:type="dxa"/>
            <w:vAlign w:val="bottom"/>
            <w:tcBorders>
              <w:bottom w:val="single" w:sz="8" w:color="0000EE"/>
            </w:tcBorders>
            <w:gridSpan w:val="20"/>
          </w:tcPr>
          <w:p>
            <w:pPr>
              <w:spacing w:after="0" w:line="191" w:lineRule="exact"/>
              <w:rPr>
                <w:sz w:val="20"/>
                <w:szCs w:val="20"/>
                <w:color w:val="auto"/>
              </w:rPr>
            </w:pPr>
            <w:r>
              <w:rPr>
                <w:rFonts w:ascii="Arial" w:cs="Arial" w:eastAsia="Arial" w:hAnsi="Arial"/>
                <w:sz w:val="18"/>
                <w:szCs w:val="18"/>
                <w:color w:val="0000EE"/>
                <w:w w:val="88"/>
              </w:rPr>
              <w:t>Section 906 of the Sarbanes-Oxley Act of 2002,</w:t>
            </w:r>
          </w:p>
        </w:tc>
        <w:tc>
          <w:tcPr>
            <w:tcW w:w="240" w:type="dxa"/>
            <w:vAlign w:val="bottom"/>
            <w:gridSpan w:val="8"/>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640" w:type="dxa"/>
            <w:vAlign w:val="bottom"/>
            <w:gridSpan w:val="28"/>
          </w:tcPr>
          <w:p>
            <w:pPr>
              <w:spacing w:after="0" w:line="191" w:lineRule="exact"/>
              <w:rPr>
                <w:sz w:val="20"/>
                <w:szCs w:val="20"/>
                <w:color w:val="auto"/>
              </w:rPr>
            </w:pPr>
            <w:r>
              <w:rPr>
                <w:rFonts w:ascii="Arial" w:cs="Arial" w:eastAsia="Arial" w:hAnsi="Arial"/>
                <w:sz w:val="18"/>
                <w:szCs w:val="18"/>
                <w:color w:val="0000EE"/>
              </w:rPr>
              <w:t>Certification of Chief Executive Officer</w:t>
            </w: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760" w:type="dxa"/>
            <w:vAlign w:val="bottom"/>
            <w:gridSpan w:val="9"/>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4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3640" w:type="dxa"/>
            <w:vAlign w:val="bottom"/>
            <w:gridSpan w:val="28"/>
          </w:tcPr>
          <w:p>
            <w:pPr>
              <w:spacing w:after="0"/>
              <w:rPr>
                <w:sz w:val="20"/>
                <w:szCs w:val="20"/>
                <w:color w:val="auto"/>
              </w:rPr>
            </w:pPr>
            <w:r>
              <w:rPr>
                <w:rFonts w:ascii="Arial" w:cs="Arial" w:eastAsia="Arial" w:hAnsi="Arial"/>
                <w:sz w:val="18"/>
                <w:szCs w:val="18"/>
                <w:color w:val="0000EE"/>
                <w:w w:val="94"/>
              </w:rPr>
              <w:t>18 U.S.C. Section 1350, as adopted pursuant to</w:t>
            </w: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760" w:type="dxa"/>
            <w:vAlign w:val="bottom"/>
            <w:gridSpan w:val="9"/>
            <w:shd w:val="clear" w:color="auto" w:fill="0000EE"/>
          </w:tcPr>
          <w:p>
            <w:pPr>
              <w:spacing w:after="0" w:line="20" w:lineRule="exact"/>
              <w:rPr>
                <w:sz w:val="1"/>
                <w:szCs w:val="1"/>
                <w:color w:val="auto"/>
              </w:rPr>
            </w:pPr>
          </w:p>
        </w:tc>
        <w:tc>
          <w:tcPr>
            <w:tcW w:w="560" w:type="dxa"/>
            <w:vAlign w:val="bottom"/>
            <w:gridSpan w:val="10"/>
            <w:shd w:val="clear" w:color="auto" w:fill="0000EE"/>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tcPr>
          <w:p>
            <w:pPr>
              <w:spacing w:after="0"/>
              <w:rPr>
                <w:sz w:val="16"/>
                <w:szCs w:val="16"/>
                <w:color w:val="auto"/>
              </w:rPr>
            </w:pPr>
          </w:p>
        </w:tc>
        <w:tc>
          <w:tcPr>
            <w:tcW w:w="3400" w:type="dxa"/>
            <w:vAlign w:val="bottom"/>
            <w:tcBorders>
              <w:bottom w:val="single" w:sz="8" w:color="0000EE"/>
            </w:tcBorders>
            <w:gridSpan w:val="20"/>
          </w:tcPr>
          <w:p>
            <w:pPr>
              <w:spacing w:after="0" w:line="191" w:lineRule="exact"/>
              <w:rPr>
                <w:sz w:val="20"/>
                <w:szCs w:val="20"/>
                <w:color w:val="auto"/>
              </w:rPr>
            </w:pPr>
            <w:r>
              <w:rPr>
                <w:rFonts w:ascii="Arial" w:cs="Arial" w:eastAsia="Arial" w:hAnsi="Arial"/>
                <w:sz w:val="18"/>
                <w:szCs w:val="18"/>
                <w:color w:val="0000EE"/>
                <w:w w:val="88"/>
              </w:rPr>
              <w:t>Section 906 of the Sarbanes-Oxley Act of 2002,</w:t>
            </w:r>
          </w:p>
        </w:tc>
        <w:tc>
          <w:tcPr>
            <w:tcW w:w="240" w:type="dxa"/>
            <w:vAlign w:val="bottom"/>
            <w:gridSpan w:val="8"/>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3640" w:type="dxa"/>
            <w:vAlign w:val="bottom"/>
            <w:gridSpan w:val="28"/>
          </w:tcPr>
          <w:p>
            <w:pPr>
              <w:spacing w:after="0" w:line="191" w:lineRule="exact"/>
              <w:rPr>
                <w:sz w:val="20"/>
                <w:szCs w:val="20"/>
                <w:color w:val="auto"/>
              </w:rPr>
            </w:pPr>
            <w:r>
              <w:rPr>
                <w:rFonts w:ascii="Arial" w:cs="Arial" w:eastAsia="Arial" w:hAnsi="Arial"/>
                <w:sz w:val="18"/>
                <w:szCs w:val="18"/>
                <w:color w:val="0000EE"/>
              </w:rPr>
              <w:t>Certification of Chief Financial Officer</w:t>
            </w: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8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5" w:right="99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Table of Contents</w:t>
            </w:r>
          </w:p>
        </w:tc>
        <w:tc>
          <w:tcPr>
            <w:tcW w:w="554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746"/>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 xml:space="preserve">XBRL Instance Document - </w:t>
            </w:r>
            <w:r>
              <w:rPr>
                <w:rFonts w:ascii="Arial" w:cs="Arial" w:eastAsia="Arial" w:hAnsi="Arial"/>
                <w:sz w:val="18"/>
                <w:szCs w:val="18"/>
                <w:color w:val="333333"/>
              </w:rPr>
              <w:t>the instance document</w:t>
            </w:r>
          </w:p>
        </w:tc>
        <w:tc>
          <w:tcPr>
            <w:tcW w:w="2500" w:type="dxa"/>
            <w:vAlign w:val="bottom"/>
          </w:tcPr>
          <w:p>
            <w:pPr>
              <w:ind w:left="2380"/>
              <w:spacing w:after="0"/>
              <w:rPr>
                <w:sz w:val="20"/>
                <w:szCs w:val="20"/>
                <w:color w:val="auto"/>
              </w:rPr>
            </w:pPr>
            <w:r>
              <w:rPr>
                <w:rFonts w:ascii="Arial" w:cs="Arial" w:eastAsia="Arial" w:hAnsi="Arial"/>
                <w:sz w:val="18"/>
                <w:szCs w:val="18"/>
                <w:color w:val="auto"/>
                <w:w w:val="82"/>
              </w:rPr>
              <w:t>X</w:t>
            </w:r>
          </w:p>
        </w:tc>
      </w:tr>
      <w:tr>
        <w:trPr>
          <w:trHeight w:val="211"/>
        </w:trPr>
        <w:tc>
          <w:tcPr>
            <w:tcW w:w="760" w:type="dxa"/>
            <w:vAlign w:val="bottom"/>
          </w:tcPr>
          <w:p>
            <w:pPr>
              <w:spacing w:after="0"/>
              <w:rPr>
                <w:sz w:val="18"/>
                <w:szCs w:val="18"/>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333333"/>
              </w:rPr>
              <w:t>does not appear in the Interactive Data File</w:t>
            </w:r>
          </w:p>
        </w:tc>
        <w:tc>
          <w:tcPr>
            <w:tcW w:w="2500" w:type="dxa"/>
            <w:vAlign w:val="bottom"/>
          </w:tcPr>
          <w:p>
            <w:pPr>
              <w:spacing w:after="0"/>
              <w:rPr>
                <w:sz w:val="18"/>
                <w:szCs w:val="18"/>
                <w:color w:val="auto"/>
              </w:rPr>
            </w:pPr>
          </w:p>
        </w:tc>
      </w:tr>
      <w:tr>
        <w:trPr>
          <w:trHeight w:val="211"/>
        </w:trPr>
        <w:tc>
          <w:tcPr>
            <w:tcW w:w="760" w:type="dxa"/>
            <w:vAlign w:val="bottom"/>
          </w:tcPr>
          <w:p>
            <w:pPr>
              <w:spacing w:after="0"/>
              <w:rPr>
                <w:sz w:val="18"/>
                <w:szCs w:val="18"/>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333333"/>
              </w:rPr>
              <w:t>because its XBRL tags are embedded within the</w:t>
            </w:r>
          </w:p>
        </w:tc>
        <w:tc>
          <w:tcPr>
            <w:tcW w:w="2500" w:type="dxa"/>
            <w:vAlign w:val="bottom"/>
          </w:tcPr>
          <w:p>
            <w:pPr>
              <w:spacing w:after="0"/>
              <w:rPr>
                <w:sz w:val="18"/>
                <w:szCs w:val="18"/>
                <w:color w:val="auto"/>
              </w:rPr>
            </w:pPr>
          </w:p>
        </w:tc>
      </w:tr>
      <w:tr>
        <w:trPr>
          <w:trHeight w:val="223"/>
        </w:trPr>
        <w:tc>
          <w:tcPr>
            <w:tcW w:w="76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333333"/>
              </w:rPr>
              <w:t>Inline XBRL document</w:t>
            </w:r>
          </w:p>
        </w:tc>
        <w:tc>
          <w:tcPr>
            <w:tcW w:w="2500" w:type="dxa"/>
            <w:vAlign w:val="bottom"/>
          </w:tcPr>
          <w:p>
            <w:pPr>
              <w:spacing w:after="0"/>
              <w:rPr>
                <w:sz w:val="19"/>
                <w:szCs w:val="19"/>
                <w:color w:val="auto"/>
              </w:rPr>
            </w:pPr>
          </w:p>
        </w:tc>
      </w:tr>
      <w:tr>
        <w:trPr>
          <w:trHeight w:val="252"/>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Schema</w:t>
            </w:r>
          </w:p>
        </w:tc>
        <w:tc>
          <w:tcPr>
            <w:tcW w:w="2500" w:type="dxa"/>
            <w:vAlign w:val="bottom"/>
          </w:tcPr>
          <w:p>
            <w:pPr>
              <w:ind w:left="2380"/>
              <w:spacing w:after="0"/>
              <w:rPr>
                <w:sz w:val="20"/>
                <w:szCs w:val="20"/>
                <w:color w:val="auto"/>
              </w:rPr>
            </w:pPr>
            <w:r>
              <w:rPr>
                <w:rFonts w:ascii="Arial" w:cs="Arial" w:eastAsia="Arial" w:hAnsi="Arial"/>
                <w:sz w:val="18"/>
                <w:szCs w:val="18"/>
                <w:color w:val="auto"/>
                <w:w w:val="82"/>
              </w:rPr>
              <w:t>X</w:t>
            </w:r>
          </w:p>
        </w:tc>
      </w:tr>
      <w:tr>
        <w:trPr>
          <w:trHeight w:val="223"/>
        </w:trPr>
        <w:tc>
          <w:tcPr>
            <w:tcW w:w="76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Document</w:t>
            </w:r>
          </w:p>
        </w:tc>
        <w:tc>
          <w:tcPr>
            <w:tcW w:w="2500" w:type="dxa"/>
            <w:vAlign w:val="bottom"/>
          </w:tcPr>
          <w:p>
            <w:pPr>
              <w:spacing w:after="0"/>
              <w:rPr>
                <w:sz w:val="19"/>
                <w:szCs w:val="19"/>
                <w:color w:val="auto"/>
              </w:rPr>
            </w:pPr>
          </w:p>
        </w:tc>
      </w:tr>
      <w:tr>
        <w:trPr>
          <w:trHeight w:val="252"/>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Calculation</w:t>
            </w:r>
          </w:p>
        </w:tc>
        <w:tc>
          <w:tcPr>
            <w:tcW w:w="2500" w:type="dxa"/>
            <w:vAlign w:val="bottom"/>
          </w:tcPr>
          <w:p>
            <w:pPr>
              <w:ind w:left="2380"/>
              <w:spacing w:after="0"/>
              <w:rPr>
                <w:sz w:val="20"/>
                <w:szCs w:val="20"/>
                <w:color w:val="auto"/>
              </w:rPr>
            </w:pPr>
            <w:r>
              <w:rPr>
                <w:rFonts w:ascii="Arial" w:cs="Arial" w:eastAsia="Arial" w:hAnsi="Arial"/>
                <w:sz w:val="18"/>
                <w:szCs w:val="18"/>
                <w:color w:val="auto"/>
                <w:w w:val="82"/>
              </w:rPr>
              <w:t>X</w:t>
            </w:r>
          </w:p>
        </w:tc>
      </w:tr>
      <w:tr>
        <w:trPr>
          <w:trHeight w:val="223"/>
        </w:trPr>
        <w:tc>
          <w:tcPr>
            <w:tcW w:w="76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00" w:type="dxa"/>
            <w:vAlign w:val="bottom"/>
          </w:tcPr>
          <w:p>
            <w:pPr>
              <w:spacing w:after="0"/>
              <w:rPr>
                <w:sz w:val="19"/>
                <w:szCs w:val="19"/>
                <w:color w:val="auto"/>
              </w:rPr>
            </w:pPr>
          </w:p>
        </w:tc>
      </w:tr>
      <w:tr>
        <w:trPr>
          <w:trHeight w:val="252"/>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Definition</w:t>
            </w:r>
          </w:p>
        </w:tc>
        <w:tc>
          <w:tcPr>
            <w:tcW w:w="2500" w:type="dxa"/>
            <w:vAlign w:val="bottom"/>
          </w:tcPr>
          <w:p>
            <w:pPr>
              <w:ind w:left="2380"/>
              <w:spacing w:after="0"/>
              <w:rPr>
                <w:sz w:val="20"/>
                <w:szCs w:val="20"/>
                <w:color w:val="auto"/>
              </w:rPr>
            </w:pPr>
            <w:r>
              <w:rPr>
                <w:rFonts w:ascii="Arial" w:cs="Arial" w:eastAsia="Arial" w:hAnsi="Arial"/>
                <w:sz w:val="18"/>
                <w:szCs w:val="18"/>
                <w:color w:val="auto"/>
                <w:w w:val="82"/>
              </w:rPr>
              <w:t>X</w:t>
            </w:r>
          </w:p>
        </w:tc>
      </w:tr>
      <w:tr>
        <w:trPr>
          <w:trHeight w:val="223"/>
        </w:trPr>
        <w:tc>
          <w:tcPr>
            <w:tcW w:w="76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00" w:type="dxa"/>
            <w:vAlign w:val="bottom"/>
          </w:tcPr>
          <w:p>
            <w:pPr>
              <w:spacing w:after="0"/>
              <w:rPr>
                <w:sz w:val="19"/>
                <w:szCs w:val="19"/>
                <w:color w:val="auto"/>
              </w:rPr>
            </w:pPr>
          </w:p>
        </w:tc>
      </w:tr>
      <w:tr>
        <w:trPr>
          <w:trHeight w:val="252"/>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Labels</w:t>
            </w:r>
          </w:p>
        </w:tc>
        <w:tc>
          <w:tcPr>
            <w:tcW w:w="2500" w:type="dxa"/>
            <w:vAlign w:val="bottom"/>
          </w:tcPr>
          <w:p>
            <w:pPr>
              <w:ind w:left="2380"/>
              <w:spacing w:after="0"/>
              <w:rPr>
                <w:sz w:val="20"/>
                <w:szCs w:val="20"/>
                <w:color w:val="auto"/>
              </w:rPr>
            </w:pPr>
            <w:r>
              <w:rPr>
                <w:rFonts w:ascii="Arial" w:cs="Arial" w:eastAsia="Arial" w:hAnsi="Arial"/>
                <w:sz w:val="18"/>
                <w:szCs w:val="18"/>
                <w:color w:val="auto"/>
                <w:w w:val="82"/>
              </w:rPr>
              <w:t>X</w:t>
            </w:r>
          </w:p>
        </w:tc>
      </w:tr>
      <w:tr>
        <w:trPr>
          <w:trHeight w:val="223"/>
        </w:trPr>
        <w:tc>
          <w:tcPr>
            <w:tcW w:w="76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00" w:type="dxa"/>
            <w:vAlign w:val="bottom"/>
          </w:tcPr>
          <w:p>
            <w:pPr>
              <w:spacing w:after="0"/>
              <w:rPr>
                <w:sz w:val="19"/>
                <w:szCs w:val="19"/>
                <w:color w:val="auto"/>
              </w:rPr>
            </w:pPr>
          </w:p>
        </w:tc>
      </w:tr>
      <w:tr>
        <w:trPr>
          <w:trHeight w:val="252"/>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Inline XBRL Taxonomy Extension Presentation</w:t>
            </w:r>
          </w:p>
        </w:tc>
        <w:tc>
          <w:tcPr>
            <w:tcW w:w="2500" w:type="dxa"/>
            <w:vAlign w:val="bottom"/>
          </w:tcPr>
          <w:p>
            <w:pPr>
              <w:ind w:left="2380"/>
              <w:spacing w:after="0"/>
              <w:rPr>
                <w:sz w:val="20"/>
                <w:szCs w:val="20"/>
                <w:color w:val="auto"/>
              </w:rPr>
            </w:pPr>
            <w:r>
              <w:rPr>
                <w:rFonts w:ascii="Arial" w:cs="Arial" w:eastAsia="Arial" w:hAnsi="Arial"/>
                <w:sz w:val="18"/>
                <w:szCs w:val="18"/>
                <w:color w:val="auto"/>
                <w:w w:val="82"/>
              </w:rPr>
              <w:t>X</w:t>
            </w:r>
          </w:p>
        </w:tc>
      </w:tr>
      <w:tr>
        <w:trPr>
          <w:trHeight w:val="223"/>
        </w:trPr>
        <w:tc>
          <w:tcPr>
            <w:tcW w:w="760" w:type="dxa"/>
            <w:vAlign w:val="bottom"/>
          </w:tcPr>
          <w:p>
            <w:pPr>
              <w:spacing w:after="0"/>
              <w:rPr>
                <w:sz w:val="19"/>
                <w:szCs w:val="19"/>
                <w:color w:val="auto"/>
              </w:rPr>
            </w:pPr>
          </w:p>
        </w:tc>
        <w:tc>
          <w:tcPr>
            <w:tcW w:w="6040" w:type="dxa"/>
            <w:vAlign w:val="bottom"/>
            <w:gridSpan w:val="2"/>
          </w:tcPr>
          <w:p>
            <w:pPr>
              <w:ind w:left="80"/>
              <w:spacing w:after="0"/>
              <w:rPr>
                <w:sz w:val="20"/>
                <w:szCs w:val="20"/>
                <w:color w:val="auto"/>
              </w:rPr>
            </w:pPr>
            <w:r>
              <w:rPr>
                <w:rFonts w:ascii="Arial" w:cs="Arial" w:eastAsia="Arial" w:hAnsi="Arial"/>
                <w:sz w:val="18"/>
                <w:szCs w:val="18"/>
                <w:color w:val="auto"/>
              </w:rPr>
              <w:t>Linkbase Document</w:t>
            </w:r>
          </w:p>
        </w:tc>
        <w:tc>
          <w:tcPr>
            <w:tcW w:w="2500" w:type="dxa"/>
            <w:vAlign w:val="bottom"/>
          </w:tcPr>
          <w:p>
            <w:pPr>
              <w:spacing w:after="0"/>
              <w:rPr>
                <w:sz w:val="19"/>
                <w:szCs w:val="19"/>
                <w:color w:val="auto"/>
              </w:rPr>
            </w:pPr>
          </w:p>
        </w:tc>
      </w:tr>
    </w:tbl>
    <w:p>
      <w:pPr>
        <w:spacing w:after="0" w:line="81" w:lineRule="exact"/>
        <w:rPr>
          <w:sz w:val="20"/>
          <w:szCs w:val="20"/>
          <w:color w:val="auto"/>
        </w:rPr>
      </w:pPr>
    </w:p>
    <w:p>
      <w:pPr>
        <w:ind w:left="840" w:right="5439" w:hanging="835"/>
        <w:spacing w:after="0" w:line="253"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4880" w:right="119" w:hanging="4875"/>
        <w:spacing w:after="0" w:line="599" w:lineRule="auto"/>
        <w:tabs>
          <w:tab w:leader="none" w:pos="3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629793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479"/>
          </w:cols>
          <w:pgMar w:left="980" w:top="632"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1" w:lineRule="exact"/>
        <w:rPr>
          <w:sz w:val="20"/>
          <w:szCs w:val="20"/>
          <w:color w:val="auto"/>
        </w:rPr>
      </w:pPr>
    </w:p>
    <w:p>
      <w:pPr>
        <w:ind w:right="400" w:firstLine="455"/>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PROTALIX BIOTHERAPEUTICS, INC.</w:t>
            </w:r>
          </w:p>
        </w:tc>
      </w:tr>
      <w:tr>
        <w:trPr>
          <w:trHeight w:val="223"/>
        </w:trPr>
        <w:tc>
          <w:tcPr>
            <w:tcW w:w="3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720" w:type="dxa"/>
            <w:vAlign w:val="bottom"/>
          </w:tcPr>
          <w:p>
            <w:pPr>
              <w:ind w:left="1940"/>
              <w:spacing w:after="0"/>
              <w:rPr>
                <w:sz w:val="20"/>
                <w:szCs w:val="20"/>
                <w:color w:val="auto"/>
              </w:rPr>
            </w:pPr>
            <w:r>
              <w:rPr>
                <w:rFonts w:ascii="Arial" w:cs="Arial" w:eastAsia="Arial" w:hAnsi="Arial"/>
                <w:sz w:val="18"/>
                <w:szCs w:val="18"/>
                <w:color w:val="auto"/>
              </w:rPr>
              <w:t>(Registrant)</w:t>
            </w:r>
          </w:p>
        </w:tc>
      </w:tr>
      <w:tr>
        <w:trPr>
          <w:trHeight w:val="488"/>
        </w:trPr>
        <w:tc>
          <w:tcPr>
            <w:tcW w:w="3300" w:type="dxa"/>
            <w:vAlign w:val="bottom"/>
          </w:tcPr>
          <w:p>
            <w:pPr>
              <w:spacing w:after="0"/>
              <w:rPr>
                <w:sz w:val="20"/>
                <w:szCs w:val="20"/>
                <w:color w:val="auto"/>
              </w:rPr>
            </w:pPr>
            <w:r>
              <w:rPr>
                <w:rFonts w:ascii="Arial" w:cs="Arial" w:eastAsia="Arial" w:hAnsi="Arial"/>
                <w:sz w:val="18"/>
                <w:szCs w:val="18"/>
                <w:color w:val="auto"/>
              </w:rPr>
              <w:t>Date: November 6, 2023</w:t>
            </w:r>
          </w:p>
        </w:tc>
        <w:tc>
          <w:tcPr>
            <w:tcW w:w="6600" w:type="dxa"/>
            <w:vAlign w:val="bottom"/>
            <w:gridSpan w:val="2"/>
          </w:tcPr>
          <w:p>
            <w:pPr>
              <w:ind w:left="1560"/>
              <w:spacing w:after="0"/>
              <w:rPr>
                <w:sz w:val="20"/>
                <w:szCs w:val="20"/>
                <w:color w:val="auto"/>
              </w:rPr>
            </w:pPr>
            <w:r>
              <w:rPr>
                <w:rFonts w:ascii="Arial" w:cs="Arial" w:eastAsia="Arial" w:hAnsi="Arial"/>
                <w:sz w:val="18"/>
                <w:szCs w:val="18"/>
                <w:color w:val="auto"/>
              </w:rPr>
              <w:t>By: /s/ Dror Bashan</w:t>
            </w:r>
          </w:p>
        </w:tc>
      </w:tr>
      <w:tr>
        <w:trPr>
          <w:trHeight w:val="192"/>
        </w:trPr>
        <w:tc>
          <w:tcPr>
            <w:tcW w:w="3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72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Dror Bashan</w:t>
            </w:r>
          </w:p>
        </w:tc>
      </w:tr>
      <w:tr>
        <w:trPr>
          <w:trHeight w:val="211"/>
        </w:trPr>
        <w:tc>
          <w:tcPr>
            <w:tcW w:w="3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3"/>
        </w:trPr>
        <w:tc>
          <w:tcPr>
            <w:tcW w:w="3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14"/>
        </w:trPr>
        <w:tc>
          <w:tcPr>
            <w:tcW w:w="3300" w:type="dxa"/>
            <w:vAlign w:val="bottom"/>
          </w:tcPr>
          <w:p>
            <w:pPr>
              <w:spacing w:after="0"/>
              <w:rPr>
                <w:sz w:val="20"/>
                <w:szCs w:val="20"/>
                <w:color w:val="auto"/>
              </w:rPr>
            </w:pPr>
            <w:r>
              <w:rPr>
                <w:rFonts w:ascii="Arial" w:cs="Arial" w:eastAsia="Arial" w:hAnsi="Arial"/>
                <w:sz w:val="18"/>
                <w:szCs w:val="18"/>
                <w:color w:val="auto"/>
              </w:rPr>
              <w:t>Date: November 6, 2023</w:t>
            </w:r>
          </w:p>
        </w:tc>
        <w:tc>
          <w:tcPr>
            <w:tcW w:w="6600" w:type="dxa"/>
            <w:vAlign w:val="bottom"/>
            <w:gridSpan w:val="2"/>
          </w:tcPr>
          <w:p>
            <w:pPr>
              <w:ind w:left="1560"/>
              <w:spacing w:after="0"/>
              <w:rPr>
                <w:sz w:val="20"/>
                <w:szCs w:val="20"/>
                <w:color w:val="auto"/>
              </w:rPr>
            </w:pPr>
            <w:r>
              <w:rPr>
                <w:rFonts w:ascii="Arial" w:cs="Arial" w:eastAsia="Arial" w:hAnsi="Arial"/>
                <w:sz w:val="18"/>
                <w:szCs w:val="18"/>
                <w:color w:val="auto"/>
              </w:rPr>
              <w:t>By: /s/ Eyal Rubin</w:t>
            </w:r>
          </w:p>
        </w:tc>
      </w:tr>
      <w:tr>
        <w:trPr>
          <w:trHeight w:val="27"/>
        </w:trPr>
        <w:tc>
          <w:tcPr>
            <w:tcW w:w="3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192"/>
        </w:trPr>
        <w:tc>
          <w:tcPr>
            <w:tcW w:w="3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720" w:type="dxa"/>
            <w:vAlign w:val="bottom"/>
          </w:tcPr>
          <w:p>
            <w:pPr>
              <w:spacing w:after="0" w:line="192" w:lineRule="exact"/>
              <w:rPr>
                <w:sz w:val="20"/>
                <w:szCs w:val="20"/>
                <w:color w:val="auto"/>
              </w:rPr>
            </w:pPr>
            <w:r>
              <w:rPr>
                <w:rFonts w:ascii="Arial" w:cs="Arial" w:eastAsia="Arial" w:hAnsi="Arial"/>
                <w:sz w:val="18"/>
                <w:szCs w:val="18"/>
                <w:color w:val="auto"/>
              </w:rPr>
              <w:t>Eyal Rubin</w:t>
            </w:r>
          </w:p>
        </w:tc>
      </w:tr>
      <w:tr>
        <w:trPr>
          <w:trHeight w:val="211"/>
        </w:trPr>
        <w:tc>
          <w:tcPr>
            <w:tcW w:w="3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1"/>
              </w:rPr>
              <w:t>Senior Vice President and Chief Financial Officer, Treasurer and</w:t>
            </w:r>
          </w:p>
        </w:tc>
      </w:tr>
      <w:tr>
        <w:trPr>
          <w:trHeight w:val="211"/>
        </w:trPr>
        <w:tc>
          <w:tcPr>
            <w:tcW w:w="3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Secretary</w:t>
            </w:r>
          </w:p>
        </w:tc>
      </w:tr>
      <w:tr>
        <w:trPr>
          <w:trHeight w:val="223"/>
        </w:trPr>
        <w:tc>
          <w:tcPr>
            <w:tcW w:w="3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793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55"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Dror Bashan, certify that:</w:t>
      </w:r>
    </w:p>
    <w:p>
      <w:pPr>
        <w:spacing w:after="0" w:line="175" w:lineRule="exact"/>
        <w:rPr>
          <w:sz w:val="20"/>
          <w:szCs w:val="20"/>
          <w:color w:val="auto"/>
        </w:rPr>
      </w:pPr>
    </w:p>
    <w:p>
      <w:pPr>
        <w:ind w:left="480" w:hanging="474"/>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75" w:lineRule="exact"/>
        <w:rPr>
          <w:rFonts w:ascii="Arial" w:cs="Arial" w:eastAsia="Arial" w:hAnsi="Arial"/>
          <w:sz w:val="18"/>
          <w:szCs w:val="18"/>
          <w:color w:val="auto"/>
        </w:rPr>
      </w:pPr>
    </w:p>
    <w:p>
      <w:pPr>
        <w:jc w:val="both"/>
        <w:ind w:left="440" w:right="20" w:hanging="434"/>
        <w:spacing w:after="0" w:line="253" w:lineRule="auto"/>
        <w:tabs>
          <w:tab w:leader="none" w:pos="4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40" w:hanging="434"/>
        <w:spacing w:after="0" w:line="253" w:lineRule="auto"/>
        <w:tabs>
          <w:tab w:leader="none" w:pos="4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8"/>
          <w:szCs w:val="18"/>
          <w:color w:val="auto"/>
        </w:rPr>
      </w:pPr>
    </w:p>
    <w:p>
      <w:pPr>
        <w:ind w:left="440" w:right="140" w:hanging="434"/>
        <w:spacing w:after="0" w:line="253" w:lineRule="auto"/>
        <w:tabs>
          <w:tab w:leader="none" w:pos="4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8"/>
          <w:szCs w:val="18"/>
          <w:color w:val="auto"/>
        </w:rPr>
      </w:pPr>
    </w:p>
    <w:p>
      <w:pPr>
        <w:ind w:left="1280" w:right="40" w:hanging="641"/>
        <w:spacing w:after="0" w:line="300" w:lineRule="auto"/>
        <w:tabs>
          <w:tab w:leader="none" w:pos="1281" w:val="left"/>
        </w:tabs>
        <w:numPr>
          <w:ilvl w:val="2"/>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6"/>
          <w:szCs w:val="16"/>
          <w:color w:val="auto"/>
        </w:rPr>
      </w:pPr>
    </w:p>
    <w:p>
      <w:pPr>
        <w:ind w:left="1280" w:right="320" w:hanging="641"/>
        <w:spacing w:after="0" w:line="328" w:lineRule="auto"/>
        <w:tabs>
          <w:tab w:leader="none" w:pos="1291" w:val="left"/>
        </w:tabs>
        <w:numPr>
          <w:ilvl w:val="2"/>
          <w:numId w:val="2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5"/>
          <w:szCs w:val="15"/>
          <w:color w:val="auto"/>
        </w:rPr>
      </w:pPr>
    </w:p>
    <w:p>
      <w:pPr>
        <w:ind w:left="1280" w:right="200" w:hanging="641"/>
        <w:spacing w:after="0" w:line="253" w:lineRule="auto"/>
        <w:tabs>
          <w:tab w:leader="none" w:pos="1281" w:val="left"/>
        </w:tabs>
        <w:numPr>
          <w:ilvl w:val="2"/>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8"/>
          <w:szCs w:val="18"/>
          <w:color w:val="auto"/>
        </w:rPr>
      </w:pPr>
    </w:p>
    <w:p>
      <w:pPr>
        <w:ind w:left="1280" w:hanging="641"/>
        <w:spacing w:after="0" w:line="300" w:lineRule="auto"/>
        <w:tabs>
          <w:tab w:leader="none" w:pos="1291" w:val="left"/>
        </w:tabs>
        <w:numPr>
          <w:ilvl w:val="2"/>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6"/>
          <w:szCs w:val="16"/>
          <w:color w:val="auto"/>
        </w:rPr>
      </w:pPr>
    </w:p>
    <w:p>
      <w:pPr>
        <w:ind w:left="440" w:right="260" w:hanging="434"/>
        <w:spacing w:after="0" w:line="253" w:lineRule="auto"/>
        <w:tabs>
          <w:tab w:leader="none" w:pos="4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8"/>
          <w:szCs w:val="18"/>
          <w:color w:val="auto"/>
        </w:rPr>
      </w:pPr>
    </w:p>
    <w:p>
      <w:pPr>
        <w:ind w:left="860" w:right="40" w:hanging="424"/>
        <w:spacing w:after="0" w:line="253" w:lineRule="auto"/>
        <w:tabs>
          <w:tab w:leader="none" w:pos="87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8"/>
          <w:szCs w:val="18"/>
          <w:color w:val="auto"/>
        </w:rPr>
      </w:pPr>
    </w:p>
    <w:p>
      <w:pPr>
        <w:ind w:left="860" w:right="40" w:hanging="423"/>
        <w:spacing w:after="0" w:line="262" w:lineRule="auto"/>
        <w:tabs>
          <w:tab w:leader="none" w:pos="88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1153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31153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Dror Bashan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629793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Eyal Rubin, certify that:</w:t>
      </w:r>
    </w:p>
    <w:p>
      <w:pPr>
        <w:spacing w:after="0" w:line="175" w:lineRule="exact"/>
        <w:rPr>
          <w:sz w:val="20"/>
          <w:szCs w:val="20"/>
          <w:color w:val="auto"/>
        </w:rPr>
      </w:pPr>
    </w:p>
    <w:p>
      <w:pPr>
        <w:ind w:left="480" w:hanging="47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Protalix BioTherapeutics, Inc.;</w:t>
      </w:r>
    </w:p>
    <w:p>
      <w:pPr>
        <w:spacing w:after="0" w:line="175" w:lineRule="exact"/>
        <w:rPr>
          <w:rFonts w:ascii="Arial" w:cs="Arial" w:eastAsia="Arial" w:hAnsi="Arial"/>
          <w:sz w:val="18"/>
          <w:szCs w:val="18"/>
          <w:color w:val="auto"/>
        </w:rPr>
      </w:pPr>
    </w:p>
    <w:p>
      <w:pPr>
        <w:jc w:val="both"/>
        <w:ind w:left="440" w:right="20" w:hanging="434"/>
        <w:spacing w:after="0" w:line="253" w:lineRule="auto"/>
        <w:tabs>
          <w:tab w:leader="none" w:pos="4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40" w:hanging="434"/>
        <w:spacing w:after="0" w:line="253" w:lineRule="auto"/>
        <w:tabs>
          <w:tab w:leader="none" w:pos="4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8"/>
          <w:szCs w:val="18"/>
          <w:color w:val="auto"/>
        </w:rPr>
      </w:pPr>
    </w:p>
    <w:p>
      <w:pPr>
        <w:ind w:left="440" w:right="140" w:hanging="434"/>
        <w:spacing w:after="0" w:line="253" w:lineRule="auto"/>
        <w:tabs>
          <w:tab w:leader="none" w:pos="4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Arial" w:cs="Arial" w:eastAsia="Arial" w:hAnsi="Arial"/>
          <w:sz w:val="18"/>
          <w:szCs w:val="18"/>
          <w:color w:val="auto"/>
        </w:rPr>
      </w:pPr>
    </w:p>
    <w:p>
      <w:pPr>
        <w:ind w:left="1280" w:right="40" w:hanging="641"/>
        <w:spacing w:after="0" w:line="300" w:lineRule="auto"/>
        <w:tabs>
          <w:tab w:leader="none" w:pos="1281" w:val="left"/>
        </w:tabs>
        <w:numPr>
          <w:ilvl w:val="2"/>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6"/>
          <w:szCs w:val="16"/>
          <w:color w:val="auto"/>
        </w:rPr>
      </w:pPr>
    </w:p>
    <w:p>
      <w:pPr>
        <w:ind w:left="1280" w:right="320" w:hanging="641"/>
        <w:spacing w:after="0" w:line="328" w:lineRule="auto"/>
        <w:tabs>
          <w:tab w:leader="none" w:pos="1291" w:val="left"/>
        </w:tabs>
        <w:numPr>
          <w:ilvl w:val="2"/>
          <w:numId w:val="2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5"/>
          <w:szCs w:val="15"/>
          <w:color w:val="auto"/>
        </w:rPr>
      </w:pPr>
    </w:p>
    <w:p>
      <w:pPr>
        <w:ind w:left="1280" w:right="200" w:hanging="641"/>
        <w:spacing w:after="0" w:line="253" w:lineRule="auto"/>
        <w:tabs>
          <w:tab w:leader="none" w:pos="1281" w:val="left"/>
        </w:tabs>
        <w:numPr>
          <w:ilvl w:val="2"/>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8"/>
          <w:szCs w:val="18"/>
          <w:color w:val="auto"/>
        </w:rPr>
      </w:pPr>
    </w:p>
    <w:p>
      <w:pPr>
        <w:ind w:left="1280" w:hanging="641"/>
        <w:spacing w:after="0" w:line="300" w:lineRule="auto"/>
        <w:tabs>
          <w:tab w:leader="none" w:pos="1291" w:val="left"/>
        </w:tabs>
        <w:numPr>
          <w:ilvl w:val="2"/>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6"/>
          <w:szCs w:val="16"/>
          <w:color w:val="auto"/>
        </w:rPr>
      </w:pPr>
    </w:p>
    <w:p>
      <w:pPr>
        <w:ind w:left="440" w:right="260" w:hanging="434"/>
        <w:spacing w:after="0" w:line="253" w:lineRule="auto"/>
        <w:tabs>
          <w:tab w:leader="none" w:pos="4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8"/>
          <w:szCs w:val="18"/>
          <w:color w:val="auto"/>
        </w:rPr>
      </w:pPr>
    </w:p>
    <w:p>
      <w:pPr>
        <w:ind w:left="860" w:right="40" w:hanging="424"/>
        <w:spacing w:after="0" w:line="253" w:lineRule="auto"/>
        <w:tabs>
          <w:tab w:leader="none" w:pos="87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8"/>
          <w:szCs w:val="18"/>
          <w:color w:val="auto"/>
        </w:rPr>
      </w:pPr>
    </w:p>
    <w:p>
      <w:pPr>
        <w:ind w:left="860" w:right="40" w:hanging="423"/>
        <w:spacing w:after="0" w:line="262" w:lineRule="auto"/>
        <w:tabs>
          <w:tab w:leader="none" w:pos="88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2023</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10160</wp:posOffset>
            </wp:positionV>
            <wp:extent cx="31489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Eyal Rubin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Sr. Vice President &amp; Chief Financial Officer,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629793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September 30, 2023 as filed with the Securities and Exchange Commission (the “Report”), I, Dror Bashan, President and Chief Executive Officer of the Company, hereby certify as of the date hereof, solely for purposes of Title 18, Chapter 63, Section 1350 of the United States Code, that to the best of my knowledge:</w:t>
      </w:r>
    </w:p>
    <w:p>
      <w:pPr>
        <w:spacing w:after="0" w:line="153" w:lineRule="exact"/>
        <w:rPr>
          <w:sz w:val="20"/>
          <w:szCs w:val="20"/>
          <w:color w:val="auto"/>
        </w:rPr>
      </w:pPr>
    </w:p>
    <w:p>
      <w:pPr>
        <w:ind w:left="440" w:right="180" w:hanging="3"/>
        <w:spacing w:after="0" w:line="262" w:lineRule="auto"/>
        <w:tabs>
          <w:tab w:leader="none" w:pos="6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54" w:lineRule="exact"/>
        <w:rPr>
          <w:rFonts w:ascii="Arial" w:cs="Arial" w:eastAsia="Arial" w:hAnsi="Arial"/>
          <w:sz w:val="18"/>
          <w:szCs w:val="18"/>
          <w:color w:val="auto"/>
        </w:rPr>
      </w:pPr>
    </w:p>
    <w:p>
      <w:pPr>
        <w:ind w:left="440" w:right="120" w:hanging="4"/>
        <w:spacing w:after="0" w:line="262" w:lineRule="auto"/>
        <w:tabs>
          <w:tab w:leader="none" w:pos="6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2023</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10160</wp:posOffset>
            </wp:positionV>
            <wp:extent cx="3148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Dror Bashan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629793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quarterly report of Protalix BioTherapeutics, Inc. (the “Company”) on Form 10-Q for the period ended September 30, 2023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53" w:lineRule="exact"/>
        <w:rPr>
          <w:sz w:val="20"/>
          <w:szCs w:val="20"/>
          <w:color w:val="auto"/>
        </w:rPr>
      </w:pPr>
    </w:p>
    <w:p>
      <w:pPr>
        <w:ind w:left="440" w:right="180" w:hanging="4"/>
        <w:spacing w:after="0" w:line="262" w:lineRule="auto"/>
        <w:tabs>
          <w:tab w:leader="none" w:pos="6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54" w:lineRule="exact"/>
        <w:rPr>
          <w:rFonts w:ascii="Arial" w:cs="Arial" w:eastAsia="Arial" w:hAnsi="Arial"/>
          <w:sz w:val="18"/>
          <w:szCs w:val="18"/>
          <w:color w:val="auto"/>
        </w:rPr>
      </w:pPr>
    </w:p>
    <w:p>
      <w:pPr>
        <w:ind w:left="440" w:right="120" w:hanging="4"/>
        <w:spacing w:after="0" w:line="262" w:lineRule="auto"/>
        <w:tabs>
          <w:tab w:leader="none" w:pos="6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2023</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10160</wp:posOffset>
            </wp:positionV>
            <wp:extent cx="31489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Eyal Rubin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629793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lowerLetter"/>
      <w:start w:val="2"/>
    </w:lvl>
    <w:lvl w:ilvl="1">
      <w:lvlJc w:val="left"/>
      <w:lvlText w:val="%2."/>
      <w:numFmt w:val="decimal"/>
      <w:start w:val="1"/>
    </w:lvl>
  </w:abstractNum>
  <w:abstractNum w:abstractNumId="6">
    <w:nsid w:val="3F2DBA31"/>
    <w:multiLevelType w:val="hybridMultilevel"/>
    <w:lvl w:ilvl="0">
      <w:lvlJc w:val="left"/>
      <w:lvlText w:val="%1."/>
      <w:numFmt w:val="decimal"/>
      <w:start w:val="2"/>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1)"/>
      <w:numFmt w:val="lowerLetter"/>
      <w:start w:val="2"/>
    </w:lvl>
  </w:abstractNum>
  <w:abstractNum w:abstractNumId="9">
    <w:nsid w:val="62BBD95A"/>
    <w:multiLevelType w:val="hybridMultilevel"/>
    <w:lvl w:ilvl="0">
      <w:lvlJc w:val="left"/>
      <w:lvlText w:val="(%1)"/>
      <w:numFmt w:val="lowerLetter"/>
      <w:start w:val="3"/>
    </w:lvl>
    <w:lvl w:ilvl="1">
      <w:lvlJc w:val="left"/>
      <w:lvlText w:val="%2)"/>
      <w:numFmt w:val="decimal"/>
      <w:start w:val="2"/>
    </w:lvl>
    <w:lvl w:ilvl="2">
      <w:lvlJc w:val="left"/>
      <w:lvlText w:val="%3)"/>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Roman"/>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a"/>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04"/>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58" Type="http://schemas.openxmlformats.org/officeDocument/2006/relationships/hyperlink" Target="https://www.sec.gov/Archives/edgar/data/1006281/000114420416092335/v435826_ex3-1.htm" TargetMode="External"/><Relationship Id="rId59" Type="http://schemas.openxmlformats.org/officeDocument/2006/relationships/hyperlink" Target="https://www.sec.gov/Archives/edgar/data/1006281/000114420416111273/v443094_def14a.htm" TargetMode="External"/><Relationship Id="rId60" Type="http://schemas.openxmlformats.org/officeDocument/2006/relationships/hyperlink" Target="https://www.sec.gov/Archives/edgar/data/1006281/000114420418054229/tv504383-def14a.htm" TargetMode="External"/><Relationship Id="rId61" Type="http://schemas.openxmlformats.org/officeDocument/2006/relationships/hyperlink" Target="https://www.sec.gov/Archives/edgar/data/1006281/000110465919074602/tm1926620d1_ex3-1.htm" TargetMode="External"/><Relationship Id="rId62" Type="http://schemas.openxmlformats.org/officeDocument/2006/relationships/hyperlink" Target="https://www.sec.gov/Archives/edgar/data/1006281/000155837022013560/plx-20220630xex3d5.htm" TargetMode="External"/><Relationship Id="rId63" Type="http://schemas.openxmlformats.org/officeDocument/2006/relationships/hyperlink" Target="https://www.sec.gov/Archives/edgar/data/1006281/000155837023013483/plx-20230630xex3d6.htm" TargetMode="External"/><Relationship Id="rId64" Type="http://schemas.openxmlformats.org/officeDocument/2006/relationships/hyperlink" Target="https://www.sec.gov/Archives/edgar/data/1006281/000114420416092335/v435826_ex3-2.htm" TargetMode="External"/><Relationship Id="rId65" Type="http://schemas.openxmlformats.org/officeDocument/2006/relationships/hyperlink" Target="https://www.sec.gov/Archives/edgar/data/1006281/000114420412040015/v318898_ex4-1.htm" TargetMode="External"/><Relationship Id="rId66" Type="http://schemas.openxmlformats.org/officeDocument/2006/relationships/hyperlink" Target="https://www.sec.gov/Archives/edgar/data/1006281/000155837023002102/plx-20221231xex4d7.htm" TargetMode="External"/><Relationship Id="rId67" Type="http://schemas.openxmlformats.org/officeDocument/2006/relationships/hyperlink" Target="https://www.sec.gov/Archives/edgar/data/1006281/000110465920032169/tm2012488d1_ex4-1.htm" TargetMode="External"/><Relationship Id="rId68" Type="http://schemas.openxmlformats.org/officeDocument/2006/relationships/hyperlink" Target="https://www.sec.gov/Archives/edgar/data/1006281/000110465920092375/plx-20200630xex4d8.htm" TargetMode="External"/><Relationship Id="rId69" Type="http://schemas.openxmlformats.org/officeDocument/2006/relationships/hyperlink" Target="https://www.sec.gov/Archives/edgar/data/1006281/000110465920092375/plx-20200630xex4d9.htm" TargetMode="External"/><Relationship Id="rId70" Type="http://schemas.openxmlformats.org/officeDocument/2006/relationships/hyperlink" Target="https://www.sec.gov/Archives/edgar/data/1006281/000155837021012078/plx-20210824xex4d2.htm" TargetMode="External"/><Relationship Id="rId71" Type="http://schemas.openxmlformats.org/officeDocument/2006/relationships/hyperlink" Target="https://www.sec.gov/Archives/edgar/data/1006281/000155837021012078/plx-20210824xex4d3.htm" TargetMode="External"/><Relationship Id="rId72" Type="http://schemas.openxmlformats.org/officeDocument/2006/relationships/hyperlink" Target="https://www.sec.gov/Archives/edgar/data/1006281/000155837023013483/plx-202306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2023-11-06T06:58:43Z</dcterms:created>
  <dcterms:modified xsi:type="dcterms:W3CDTF">2023-11-06T06:58:43Z</dcterms:modified>
</cp:coreProperties>
</file>