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134620</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148590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Protalix BioTherapeutics,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90170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84"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spacing w:after="0"/>
              <w:rPr>
                <w:sz w:val="18"/>
                <w:szCs w:val="18"/>
                <w:color w:val="auto"/>
              </w:rPr>
            </w:pP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001-33357</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65-0643773</w:t>
            </w: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620" w:type="dxa"/>
            <w:vAlign w:val="bottom"/>
          </w:tcPr>
          <w:p>
            <w:pPr>
              <w:spacing w:after="0"/>
              <w:rPr>
                <w:sz w:val="18"/>
                <w:szCs w:val="18"/>
                <w:color w:val="auto"/>
              </w:rPr>
            </w:pP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 University Plaza</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3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Hackensack, NJ</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07601</w:t>
            </w:r>
          </w:p>
        </w:tc>
      </w:tr>
      <w:tr>
        <w:trPr>
          <w:trHeight w:val="23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201-696-9345</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21"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98"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2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3" w:lineRule="exact"/>
        <w:rPr>
          <w:sz w:val="24"/>
          <w:szCs w:val="24"/>
          <w:color w:val="auto"/>
        </w:rPr>
      </w:pPr>
    </w:p>
    <w:tbl>
      <w:tblPr>
        <w:tblLayout w:type="fixed"/>
        <w:tblInd w:w="50" w:type="dxa"/>
        <w:tblCellMar>
          <w:top w:w="0" w:type="dxa"/>
          <w:left w:w="0" w:type="dxa"/>
          <w:bottom w:w="0" w:type="dxa"/>
          <w:right w:w="0" w:type="dxa"/>
        </w:tblCellMar>
      </w:tblPr>
      <w:tr>
        <w:trPr>
          <w:trHeight w:val="230"/>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PLX</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30"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67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591185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25400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sectPr>
      </w:pPr>
    </w:p>
    <w:bookmarkStart w:id="1" w:name="page2"/>
    <w:bookmarkEnd w:id="1"/>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On May 13, 2026, Protalix BioTherapeutics, Inc. (the “Company”) issued a press release announcing its financial results for the fiscal quarter ended March 31, 2026 and provided a business and clinical update. A copy of the press release is furnished as Exhibit 99.1 to this Current Report on Form 8-K.</w:t>
      </w:r>
    </w:p>
    <w:p>
      <w:pPr>
        <w:spacing w:after="0" w:line="149"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9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05"/>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2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46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8"/>
              </w:rPr>
              <w:t>Press Release dated May 13, 2026</w:t>
            </w:r>
          </w:p>
        </w:tc>
        <w:tc>
          <w:tcPr>
            <w:tcW w:w="5200" w:type="dxa"/>
            <w:vAlign w:val="bottom"/>
            <w:tcBorders>
              <w:top w:val="single" w:sz="8" w:color="auto"/>
            </w:tcBorders>
          </w:tcPr>
          <w:p>
            <w:pPr>
              <w:spacing w:after="0"/>
              <w:rPr>
                <w:sz w:val="14"/>
                <w:szCs w:val="14"/>
                <w:color w:val="auto"/>
              </w:rPr>
            </w:pPr>
          </w:p>
        </w:tc>
      </w:tr>
      <w:tr>
        <w:trPr>
          <w:trHeight w:val="237"/>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16"/>
        </w:trPr>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0"/>
        <w:spacing w:after="0"/>
        <w:tabs>
          <w:tab w:leader="none" w:pos="508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7"/>
          <w:szCs w:val="17"/>
          <w:b w:val="1"/>
          <w:bCs w:val="1"/>
          <w:color w:val="auto"/>
        </w:rPr>
        <w:t>PROTALIX BIOTHERAPEUTICS,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17145</wp:posOffset>
            </wp:positionV>
            <wp:extent cx="2263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Dror Bashan</w:t>
      </w:r>
    </w:p>
    <w:p>
      <w:pPr>
        <w:spacing w:after="0" w:line="23" w:lineRule="exact"/>
        <w:rPr>
          <w:sz w:val="20"/>
          <w:szCs w:val="20"/>
          <w:color w:val="auto"/>
        </w:rPr>
      </w:pPr>
    </w:p>
    <w:p>
      <w:pPr>
        <w:jc w:val="right"/>
        <w:ind w:right="339"/>
        <w:spacing w:after="0"/>
        <w:tabs>
          <w:tab w:leader="none" w:pos="2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ind w:left="754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-140335</wp:posOffset>
            </wp:positionV>
            <wp:extent cx="146558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55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Protalix BioTherapeutics Reports First Quarter 2026 Financial and Business Results</w:t>
      </w:r>
    </w:p>
    <w:p>
      <w:pPr>
        <w:spacing w:after="0" w:line="20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i w:val="1"/>
          <w:iCs w:val="1"/>
          <w:color w:val="auto"/>
        </w:rPr>
        <w:t>Company to host conference call and webcast today at 8:00 a.m. EDT</w:t>
      </w:r>
    </w:p>
    <w:p>
      <w:pPr>
        <w:spacing w:after="0" w:line="215" w:lineRule="exact"/>
        <w:rPr>
          <w:sz w:val="20"/>
          <w:szCs w:val="20"/>
          <w:color w:val="auto"/>
        </w:rPr>
      </w:pPr>
    </w:p>
    <w:p>
      <w:pPr>
        <w:ind w:left="900" w:hanging="330"/>
        <w:spacing w:after="0"/>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Elfabrio commercial execution continues following European Commission approval of the</w:t>
      </w:r>
    </w:p>
    <w:p>
      <w:pPr>
        <w:spacing w:after="0" w:line="21" w:lineRule="exact"/>
        <w:rPr>
          <w:rFonts w:ascii="Times New Roman" w:cs="Times New Roman" w:eastAsia="Times New Roman" w:hAnsi="Times New Roman"/>
          <w:sz w:val="20"/>
          <w:szCs w:val="20"/>
          <w:color w:val="auto"/>
        </w:rPr>
      </w:pPr>
    </w:p>
    <w:p>
      <w:pPr>
        <w:ind w:left="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mg/kg every-4-weeks (E4W) dosing regimen; $25 million milestone received from Chiesi</w:t>
      </w:r>
    </w:p>
    <w:p>
      <w:pPr>
        <w:spacing w:after="0" w:line="193" w:lineRule="exact"/>
        <w:rPr>
          <w:rFonts w:ascii="Times New Roman" w:cs="Times New Roman" w:eastAsia="Times New Roman" w:hAnsi="Times New Roman"/>
          <w:sz w:val="20"/>
          <w:szCs w:val="20"/>
          <w:color w:val="auto"/>
        </w:rPr>
      </w:pPr>
    </w:p>
    <w:p>
      <w:pPr>
        <w:ind w:left="900" w:right="599" w:hanging="330"/>
        <w:spacing w:after="0" w:line="269"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PRX-115 Phase 2 study continues to advance as planned with top-line results anticipated in the second half of 2027</w:t>
      </w:r>
    </w:p>
    <w:p>
      <w:pPr>
        <w:spacing w:after="0" w:line="159" w:lineRule="exact"/>
        <w:rPr>
          <w:rFonts w:ascii="Times New Roman" w:cs="Times New Roman" w:eastAsia="Times New Roman" w:hAnsi="Times New Roman"/>
          <w:sz w:val="20"/>
          <w:szCs w:val="20"/>
          <w:color w:val="auto"/>
        </w:rPr>
      </w:pPr>
    </w:p>
    <w:p>
      <w:pPr>
        <w:ind w:left="900" w:right="879" w:hanging="330"/>
        <w:spacing w:after="0" w:line="269"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reaffirms its previously stated 2026 revenue guidance of $78.0-$83.0 million including the $25.0 million milestone received from Chiesi</w:t>
      </w:r>
    </w:p>
    <w:p>
      <w:pPr>
        <w:spacing w:after="0" w:line="159" w:lineRule="exact"/>
        <w:rPr>
          <w:rFonts w:ascii="Times New Roman" w:cs="Times New Roman" w:eastAsia="Times New Roman" w:hAnsi="Times New Roman"/>
          <w:sz w:val="20"/>
          <w:szCs w:val="20"/>
          <w:color w:val="auto"/>
        </w:rPr>
      </w:pPr>
    </w:p>
    <w:p>
      <w:pPr>
        <w:ind w:left="900" w:right="499" w:hanging="330"/>
        <w:spacing w:after="0" w:line="254"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cash equivalents, and short-term bank deposits were $51 million as of March 31, 2026, providing sufficient capital to fund ongoing operations including the Phase 2 RELEASE clinical trial of PRX-115</w:t>
      </w:r>
    </w:p>
    <w:p>
      <w:pPr>
        <w:spacing w:after="0" w:line="170" w:lineRule="exact"/>
        <w:rPr>
          <w:sz w:val="20"/>
          <w:szCs w:val="20"/>
          <w:color w:val="auto"/>
        </w:rPr>
      </w:pPr>
    </w:p>
    <w:p>
      <w:pPr>
        <w:jc w:val="both"/>
        <w:ind w:left="240" w:right="25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CARMIEL, Israel, May 13, 2026 </w:t>
      </w:r>
      <w:r>
        <w:rPr>
          <w:rFonts w:ascii="Times New Roman" w:cs="Times New Roman" w:eastAsia="Times New Roman" w:hAnsi="Times New Roman"/>
          <w:sz w:val="20"/>
          <w:szCs w:val="20"/>
          <w:color w:val="auto"/>
        </w:rPr>
        <w:t>-- Protalix BioTherapeutics, Inc. (NYSE American:PLX),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biopharmaceutical company focused on the discovery, development, production, and commercialization of innovative therapeutics for rare diseases with significant unmet needs, today reported financial results for the first quarter ended March 31, 2026, and provided a business and clinical update.</w:t>
      </w:r>
    </w:p>
    <w:p>
      <w:pPr>
        <w:spacing w:after="0" w:line="180" w:lineRule="exact"/>
        <w:rPr>
          <w:sz w:val="20"/>
          <w:szCs w:val="20"/>
          <w:color w:val="auto"/>
        </w:rPr>
      </w:pPr>
    </w:p>
    <w:p>
      <w:pPr>
        <w:jc w:val="both"/>
        <w:ind w:left="240" w:right="259"/>
        <w:spacing w:after="0" w:line="254" w:lineRule="auto"/>
        <w:rPr>
          <w:sz w:val="20"/>
          <w:szCs w:val="20"/>
          <w:color w:val="auto"/>
        </w:rPr>
      </w:pPr>
      <w:r>
        <w:rPr>
          <w:rFonts w:ascii="Times New Roman" w:cs="Times New Roman" w:eastAsia="Times New Roman" w:hAnsi="Times New Roman"/>
          <w:sz w:val="20"/>
          <w:szCs w:val="20"/>
          <w:color w:val="auto"/>
        </w:rPr>
        <w:t>During the first quarter, the Company continued to execute against its commercial partnerships, advance its clinical and preclinical development programs, and reaffirm its strategic priorities and financial outlook for 2026.</w:t>
      </w:r>
    </w:p>
    <w:p>
      <w:pPr>
        <w:spacing w:after="0" w:line="174" w:lineRule="exact"/>
        <w:rPr>
          <w:sz w:val="20"/>
          <w:szCs w:val="20"/>
          <w:color w:val="auto"/>
        </w:rPr>
      </w:pPr>
    </w:p>
    <w:p>
      <w:pPr>
        <w:jc w:val="both"/>
        <w:ind w:left="240" w:right="259"/>
        <w:spacing w:after="0" w:line="244" w:lineRule="auto"/>
        <w:rPr>
          <w:sz w:val="20"/>
          <w:szCs w:val="20"/>
          <w:color w:val="auto"/>
        </w:rPr>
      </w:pPr>
      <w:r>
        <w:rPr>
          <w:rFonts w:ascii="Times New Roman" w:cs="Times New Roman" w:eastAsia="Times New Roman" w:hAnsi="Times New Roman"/>
          <w:sz w:val="20"/>
          <w:szCs w:val="20"/>
          <w:color w:val="auto"/>
        </w:rPr>
        <w:t>“Protalix entered 2026 with positive momentum,” said Dror Bashan, President and Chief Executive Officer of Protalix BioTherapeutics. “With the recent regulatory progress for Elfabrio in Europe, which triggered the $25 million milestone payment, the continued enrollment of our PRX-115 Phase 2 RELEASE study, and a growing focus on rare renal diseases, we believe the company is entering a pivotal period of growth and clinical advancement. We are confident in our strategy and reaffirm our guidance for 2026. We believe our business model positions us well to generate long</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term value while advancing therapies that meaningfully address unmet needs.”</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First Quarter 2026 Operational Update</w:t>
      </w:r>
    </w:p>
    <w:p>
      <w:pPr>
        <w:spacing w:after="0" w:line="1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Elfabrio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b w:val="1"/>
          <w:bCs w:val="1"/>
          <w:i w:val="1"/>
          <w:iCs w:val="1"/>
          <w:color w:val="auto"/>
        </w:rPr>
        <w:t xml:space="preserve"> for Fabry Disease</w:t>
      </w:r>
    </w:p>
    <w:p>
      <w:pPr>
        <w:ind w:left="900" w:right="279" w:hanging="330"/>
        <w:spacing w:after="0" w:line="246"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Protalix and its partner, Chiesi Farmaceutici, continue to support the launch and expansion of Elfabrio across approved markets.</w:t>
      </w:r>
    </w:p>
    <w:p>
      <w:pPr>
        <w:spacing w:after="0" w:line="1" w:lineRule="exact"/>
        <w:rPr>
          <w:rFonts w:ascii="Times New Roman" w:cs="Times New Roman" w:eastAsia="Times New Roman" w:hAnsi="Times New Roman"/>
          <w:sz w:val="20"/>
          <w:szCs w:val="20"/>
          <w:color w:val="auto"/>
        </w:rPr>
      </w:pPr>
    </w:p>
    <w:p>
      <w:pPr>
        <w:jc w:val="both"/>
        <w:ind w:left="900" w:right="279" w:hanging="330"/>
        <w:spacing w:after="0" w:line="239"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previously announced European Commission approval of the 2 mg/kg every-4-weeks (E4W) dosing regimen, Protalix believes Elfabrio is well-positioned to reduce treatment burden for patients with Fabry disease in the European Union without compromising efficacy.</w:t>
      </w:r>
    </w:p>
    <w:p>
      <w:pPr>
        <w:spacing w:after="0" w:line="1" w:lineRule="exact"/>
        <w:rPr>
          <w:rFonts w:ascii="Times New Roman" w:cs="Times New Roman" w:eastAsia="Times New Roman" w:hAnsi="Times New Roman"/>
          <w:sz w:val="20"/>
          <w:szCs w:val="20"/>
          <w:color w:val="auto"/>
        </w:rPr>
      </w:pPr>
    </w:p>
    <w:p>
      <w:pPr>
        <w:ind w:left="900" w:right="279" w:hanging="330"/>
        <w:spacing w:after="0" w:line="239"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E4W option enhances Elfabrio’s competitive positioning in the European Union and supports broader adoption by providing increased dosing flexibility.</w:t>
      </w:r>
    </w:p>
    <w:p>
      <w:pPr>
        <w:ind w:left="900" w:right="279" w:hanging="330"/>
        <w:spacing w:after="0" w:line="239"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FDA-approved dosing regimen for Elfabrio in the United States remains 1 mg/kg every 2 weeks.</w:t>
      </w:r>
    </w:p>
    <w:p>
      <w:pPr>
        <w:jc w:val="both"/>
        <w:ind w:left="900" w:right="279" w:hanging="330"/>
        <w:spacing w:after="0" w:line="210"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global Fabry market projected to reach approximately $3 billion by 2031, Elfabrio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 xml:space="preserve"> is positioned as a leading therapy with the potential to achieve a meaningful 15% to 20% global market share, supported by strong execution through Protalix’s partnership with Chiesi.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631190</wp:posOffset>
            </wp:positionV>
            <wp:extent cx="540067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 w:name="page5"/>
    <w:bookmarkEnd w:id="4"/>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PRX-115 for Uncontrolled Gout – RELEASE Phase 2 continues enrollment</w:t>
      </w:r>
    </w:p>
    <w:p>
      <w:pPr>
        <w:spacing w:after="0" w:line="26" w:lineRule="exact"/>
        <w:rPr>
          <w:sz w:val="20"/>
          <w:szCs w:val="20"/>
          <w:color w:val="auto"/>
        </w:rPr>
      </w:pPr>
    </w:p>
    <w:p>
      <w:pPr>
        <w:ind w:left="900" w:right="279" w:hanging="330"/>
        <w:spacing w:after="0" w:line="239"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Phase 2 clinical trial (NCT07280156) of PRX-115, a recombinant PEGylated uricase, for the treatment of uncontrolled gout continues to enroll patients.</w:t>
      </w:r>
    </w:p>
    <w:p>
      <w:pPr>
        <w:ind w:left="900" w:hanging="330"/>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continues to anticipate top-line results in the second half of 2027.</w:t>
      </w:r>
    </w:p>
    <w:p>
      <w:pPr>
        <w:jc w:val="both"/>
        <w:ind w:left="900" w:right="259" w:hanging="330"/>
        <w:spacing w:after="0" w:line="239"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PRX-115 is designed as a potential best-in-class, long-acting uricase therapy, which is supported by favorable Phase 1 data, with a possible E4W dosing schedule with or without an immunomodulator, or less frequent dosing with an immunomodulator, aiming to improve adherence and durability of response for patients with uncontrolled gout.</w:t>
      </w:r>
    </w:p>
    <w:p>
      <w:pPr>
        <w:spacing w:after="0" w:line="1" w:lineRule="exact"/>
        <w:rPr>
          <w:rFonts w:ascii="Times New Roman" w:cs="Times New Roman" w:eastAsia="Times New Roman" w:hAnsi="Times New Roman"/>
          <w:sz w:val="20"/>
          <w:szCs w:val="20"/>
          <w:color w:val="auto"/>
        </w:rPr>
      </w:pPr>
    </w:p>
    <w:p>
      <w:pPr>
        <w:jc w:val="both"/>
        <w:ind w:left="900" w:right="259" w:hanging="330"/>
        <w:spacing w:after="0" w:line="242"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addressing immunogenicity challenges and enabling more flexible dosing intervals, the Company believes PRX-115 is well-positioned to capture a meaningful share of the uncontrolled gout segment, where even modest penetration represents significant commercial opportunity.</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Focus on Rare Renal Indications (Preclinical Programs)</w:t>
      </w:r>
    </w:p>
    <w:p>
      <w:pPr>
        <w:spacing w:after="0" w:line="26" w:lineRule="exact"/>
        <w:rPr>
          <w:sz w:val="20"/>
          <w:szCs w:val="20"/>
          <w:color w:val="auto"/>
        </w:rPr>
      </w:pPr>
    </w:p>
    <w:p>
      <w:pPr>
        <w:ind w:left="900" w:right="279" w:hanging="330"/>
        <w:spacing w:after="0" w:line="246"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continues to advance PRX-119, its long-acting DNase I program, as part of a broader strategic focus on rare renal indications.</w:t>
      </w:r>
    </w:p>
    <w:p>
      <w:pPr>
        <w:spacing w:after="0" w:line="181" w:lineRule="exact"/>
        <w:rPr>
          <w:rFonts w:ascii="Times New Roman" w:cs="Times New Roman" w:eastAsia="Times New Roman" w:hAnsi="Times New Roman"/>
          <w:sz w:val="20"/>
          <w:szCs w:val="20"/>
          <w:color w:val="auto"/>
        </w:rPr>
      </w:pPr>
    </w:p>
    <w:p>
      <w:pPr>
        <w:ind w:left="900" w:right="279" w:hanging="330"/>
        <w:spacing w:after="0" w:line="287"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also continues to collaborate with Secarna to identify RNA-based therapeutic candidates that may complement its proprietary ProCellEx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 xml:space="preserve"> platform.</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Financial Outlook: Building Durable Growth and Long–Term Value</w:t>
      </w:r>
    </w:p>
    <w:p>
      <w:pPr>
        <w:spacing w:after="0" w:line="26" w:lineRule="exact"/>
        <w:rPr>
          <w:sz w:val="20"/>
          <w:szCs w:val="20"/>
          <w:color w:val="auto"/>
        </w:rPr>
      </w:pPr>
    </w:p>
    <w:p>
      <w:pPr>
        <w:jc w:val="both"/>
        <w:ind w:left="240" w:right="259"/>
        <w:spacing w:after="0" w:line="257" w:lineRule="auto"/>
        <w:rPr>
          <w:sz w:val="20"/>
          <w:szCs w:val="20"/>
          <w:color w:val="auto"/>
        </w:rPr>
      </w:pPr>
      <w:r>
        <w:rPr>
          <w:rFonts w:ascii="Times New Roman" w:cs="Times New Roman" w:eastAsia="Times New Roman" w:hAnsi="Times New Roman"/>
          <w:sz w:val="19"/>
          <w:szCs w:val="19"/>
          <w:color w:val="auto"/>
        </w:rPr>
        <w:t>The Company operates a profitable growing commercial business through its partnerships, and a focused pipeline aligned to areas of high unmet need. The Company has a strong balance sheet, with no outstanding debt or warrants. The Company believes that its current business model limits downside risk while preserving significant upside potential as the Company progresses its clinical and preclinical programs, expands its commercial footprint, and pursues strategic partnerships to accelerate impact and scale.</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Priorities remain consistent:</w:t>
      </w:r>
    </w:p>
    <w:p>
      <w:pPr>
        <w:spacing w:after="0" w:line="21" w:lineRule="exact"/>
        <w:rPr>
          <w:sz w:val="20"/>
          <w:szCs w:val="20"/>
          <w:color w:val="auto"/>
        </w:rPr>
      </w:pPr>
    </w:p>
    <w:p>
      <w:pPr>
        <w:ind w:left="900" w:hanging="330"/>
        <w:spacing w:after="0"/>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our commercial partnerships</w:t>
      </w:r>
    </w:p>
    <w:p>
      <w:pPr>
        <w:ind w:left="900" w:hanging="330"/>
        <w:spacing w:after="0"/>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PRX–115 as a potential best–in–class therapy for patients with uncontrolled gout</w:t>
      </w:r>
    </w:p>
    <w:p>
      <w:pPr>
        <w:ind w:left="900" w:hanging="330"/>
        <w:spacing w:after="0"/>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rare renal programs leveraging the Company’s R&amp;D strengths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The Company reaffirms its previously stated 2026 revenue expectations:</w:t>
      </w:r>
    </w:p>
    <w:p>
      <w:pPr>
        <w:spacing w:after="0" w:line="22" w:lineRule="exact"/>
        <w:rPr>
          <w:sz w:val="20"/>
          <w:szCs w:val="20"/>
          <w:color w:val="auto"/>
        </w:rPr>
      </w:pPr>
    </w:p>
    <w:p>
      <w:pPr>
        <w:ind w:left="900" w:right="279" w:hanging="330"/>
        <w:spacing w:after="0" w:line="239" w:lineRule="auto"/>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in 2026 to range from approximately $78.0 million to $83.0 million including the $25.0 million milestone which the Company has received from Chiesi.</w:t>
      </w:r>
    </w:p>
    <w:p>
      <w:pPr>
        <w:ind w:left="1540" w:right="279" w:hanging="324"/>
        <w:spacing w:after="0" w:line="223"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Full-year 2026 revenues from sales of Elfabrio without milestones to range from</w:t>
      </w:r>
      <w:r>
        <w:rPr>
          <w:rFonts w:ascii="Courier New" w:cs="Courier New" w:eastAsia="Courier New" w:hAnsi="Courier New"/>
          <w:sz w:val="20"/>
          <w:szCs w:val="20"/>
          <w:color w:val="auto"/>
        </w:rPr>
        <w:t xml:space="preserve"> </w:t>
      </w:r>
      <w:r>
        <w:rPr>
          <w:rFonts w:ascii="Times New Roman" w:cs="Times New Roman" w:eastAsia="Times New Roman" w:hAnsi="Times New Roman"/>
          <w:sz w:val="20"/>
          <w:szCs w:val="20"/>
          <w:color w:val="auto"/>
        </w:rPr>
        <w:t>approximately $33.0 million to $35.0 million.</w:t>
      </w:r>
    </w:p>
    <w:p>
      <w:pPr>
        <w:ind w:left="1540" w:right="279" w:hanging="324"/>
        <w:spacing w:after="0" w:line="226"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Full-year 2026 revenues from sales of Elelyso to range from approximately $20.0 million</w:t>
      </w:r>
      <w:r>
        <w:rPr>
          <w:rFonts w:ascii="Courier New" w:cs="Courier New" w:eastAsia="Courier New" w:hAnsi="Courier New"/>
          <w:sz w:val="20"/>
          <w:szCs w:val="20"/>
          <w:color w:val="auto"/>
        </w:rPr>
        <w:t xml:space="preserve"> </w:t>
      </w:r>
      <w:r>
        <w:rPr>
          <w:rFonts w:ascii="Times New Roman" w:cs="Times New Roman" w:eastAsia="Times New Roman" w:hAnsi="Times New Roman"/>
          <w:sz w:val="20"/>
          <w:szCs w:val="20"/>
          <w:color w:val="auto"/>
        </w:rPr>
        <w:t>to $23.0 million.</w:t>
      </w:r>
    </w:p>
    <w:p>
      <w:pPr>
        <w:spacing w:after="0" w:line="198" w:lineRule="exact"/>
        <w:rPr>
          <w:sz w:val="20"/>
          <w:szCs w:val="20"/>
          <w:color w:val="auto"/>
        </w:rPr>
      </w:pPr>
    </w:p>
    <w:p>
      <w:pPr>
        <w:ind w:left="240" w:right="439"/>
        <w:spacing w:after="0" w:line="276" w:lineRule="auto"/>
        <w:rPr>
          <w:sz w:val="20"/>
          <w:szCs w:val="20"/>
          <w:color w:val="auto"/>
        </w:rPr>
      </w:pPr>
      <w:r>
        <w:rPr>
          <w:rFonts w:ascii="Times New Roman" w:cs="Times New Roman" w:eastAsia="Times New Roman" w:hAnsi="Times New Roman"/>
          <w:sz w:val="19"/>
          <w:szCs w:val="19"/>
          <w:i w:val="1"/>
          <w:iCs w:val="1"/>
          <w:color w:val="auto"/>
        </w:rPr>
        <w:t>This outlook is not a guarantee of future performance, and stockholders should not rely on such forward-looking statements. These estimates are based on management’s current estimates, which are subject to change and may be updated accordingly. See “Forward-Looking Statements” for additional information.</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First Quarter 2026 Financial Highlights</w:t>
      </w:r>
    </w:p>
    <w:p>
      <w:pPr>
        <w:spacing w:after="0" w:line="32" w:lineRule="exact"/>
        <w:rPr>
          <w:sz w:val="20"/>
          <w:szCs w:val="20"/>
          <w:color w:val="auto"/>
        </w:rPr>
      </w:pPr>
    </w:p>
    <w:p>
      <w:pPr>
        <w:ind w:left="900" w:right="339" w:hanging="330"/>
        <w:spacing w:after="0" w:line="283" w:lineRule="auto"/>
        <w:tabs>
          <w:tab w:leader="none" w:pos="9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Revenues from selling goods </w:t>
      </w:r>
      <w:r>
        <w:rPr>
          <w:rFonts w:ascii="Times New Roman" w:cs="Times New Roman" w:eastAsia="Times New Roman" w:hAnsi="Times New Roman"/>
          <w:sz w:val="19"/>
          <w:szCs w:val="19"/>
          <w:color w:val="auto"/>
        </w:rPr>
        <w:t>were $7.4 million for the three months ended March 31, 2026,</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compared to $10.0 million for the same period in 2025. The change was primarily due to a timing shift in Pfizer’s purchases this past quarter, following elevated Elelyso orders in the same period during 2025 to address unexpected manufacturing issues on their end. This timing</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related impact was partially offset by $3.5 million in sales to Chiesi, which did not occur in the prior</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626745</wp:posOffset>
            </wp:positionV>
            <wp:extent cx="540067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 w:name="page6"/>
    <w:bookmarkEnd w:id="5"/>
    <w:p>
      <w:pPr>
        <w:ind w:left="900" w:right="279" w:hanging="330"/>
        <w:spacing w:after="0" w:line="260" w:lineRule="auto"/>
        <w:tabs>
          <w:tab w:leader="none" w:pos="9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Revenues from license and R&amp;D services </w:t>
      </w:r>
      <w:r>
        <w:rPr>
          <w:rFonts w:ascii="Times New Roman" w:cs="Times New Roman" w:eastAsia="Times New Roman" w:hAnsi="Times New Roman"/>
          <w:sz w:val="20"/>
          <w:szCs w:val="20"/>
          <w:color w:val="auto"/>
        </w:rPr>
        <w:t>were $26.3 million for the first quarter of 2026,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$0.1 million for the first quarter of 2025. The increase resulted primarily from a $25.0 million milestone payment received from Chiesi in connection with the approval of the E4W dosage in the European Union. The Company expects to generate minimal revenues from license and R&amp;D services, having completed the clinical development of Elfabrio, other than potential regulatory milestone payments.</w:t>
      </w:r>
    </w:p>
    <w:p>
      <w:pPr>
        <w:spacing w:after="0" w:line="235" w:lineRule="exact"/>
        <w:rPr>
          <w:rFonts w:ascii="Times New Roman" w:cs="Times New Roman" w:eastAsia="Times New Roman" w:hAnsi="Times New Roman"/>
          <w:sz w:val="22"/>
          <w:szCs w:val="22"/>
          <w:color w:val="auto"/>
        </w:rPr>
      </w:pPr>
    </w:p>
    <w:p>
      <w:pPr>
        <w:ind w:left="900" w:right="379" w:hanging="330"/>
        <w:spacing w:after="0" w:line="298" w:lineRule="auto"/>
        <w:tabs>
          <w:tab w:leader="none" w:pos="9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Cost of revenues </w:t>
      </w:r>
      <w:r>
        <w:rPr>
          <w:rFonts w:ascii="Times New Roman" w:cs="Times New Roman" w:eastAsia="Times New Roman" w:hAnsi="Times New Roman"/>
          <w:sz w:val="19"/>
          <w:szCs w:val="19"/>
          <w:color w:val="auto"/>
        </w:rPr>
        <w:t>were $4.1 million for the first quarter of 2026, a decrease of $4.1 million (50%)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compared to $8.2 million for the same period in 2025. The decrease was primarily attributable to lower sales volumes to Pfizer and Fiocruz, partially offset by increased sales to Chiesi.</w:t>
      </w:r>
    </w:p>
    <w:p>
      <w:pPr>
        <w:spacing w:after="0" w:line="171" w:lineRule="exact"/>
        <w:rPr>
          <w:rFonts w:ascii="Times New Roman" w:cs="Times New Roman" w:eastAsia="Times New Roman" w:hAnsi="Times New Roman"/>
          <w:sz w:val="19"/>
          <w:szCs w:val="19"/>
          <w:color w:val="auto"/>
        </w:rPr>
      </w:pPr>
    </w:p>
    <w:p>
      <w:pPr>
        <w:ind w:left="900" w:right="339" w:hanging="330"/>
        <w:spacing w:after="0" w:line="269"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Research &amp; development (R&amp;D) </w:t>
      </w:r>
      <w:r>
        <w:rPr>
          <w:rFonts w:ascii="Times New Roman" w:cs="Times New Roman" w:eastAsia="Times New Roman" w:hAnsi="Times New Roman"/>
          <w:sz w:val="20"/>
          <w:szCs w:val="20"/>
          <w:color w:val="auto"/>
        </w:rPr>
        <w:t>expenses totaled $5.4 million for the first quarter of 2026,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$3.5 million for the first quarter of 2025, representing an increase of $1.9 million (56%). The increase was driven primarily by preparations for and initiation of the Phase 2 RELEASE clinical trial of PRX-115. The Company expects to continue to incur R&amp;D expenses as the RELEASE study progresses, and additional preclinical and clinical programs advance.</w:t>
      </w:r>
    </w:p>
    <w:p>
      <w:pPr>
        <w:spacing w:after="0" w:line="209" w:lineRule="exact"/>
        <w:rPr>
          <w:rFonts w:ascii="Times New Roman" w:cs="Times New Roman" w:eastAsia="Times New Roman" w:hAnsi="Times New Roman"/>
          <w:sz w:val="20"/>
          <w:szCs w:val="20"/>
          <w:color w:val="auto"/>
        </w:rPr>
      </w:pPr>
    </w:p>
    <w:p>
      <w:pPr>
        <w:ind w:left="900" w:right="379" w:hanging="330"/>
        <w:spacing w:after="0" w:line="270"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Selling, general, and administrative (SG&amp;A) expenses </w:t>
      </w:r>
      <w:r>
        <w:rPr>
          <w:rFonts w:ascii="Times New Roman" w:cs="Times New Roman" w:eastAsia="Times New Roman" w:hAnsi="Times New Roman"/>
          <w:sz w:val="20"/>
          <w:szCs w:val="20"/>
          <w:color w:val="auto"/>
        </w:rPr>
        <w:t>were $3.1 million for the first quarter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2026, an increase of $0.5 million (17%) compared to $2.6 million for the prior-year period. The increase was driven primarily by higher salary and related expenses.</w:t>
      </w:r>
    </w:p>
    <w:p>
      <w:pPr>
        <w:spacing w:after="0" w:line="209" w:lineRule="exact"/>
        <w:rPr>
          <w:rFonts w:ascii="Times New Roman" w:cs="Times New Roman" w:eastAsia="Times New Roman" w:hAnsi="Times New Roman"/>
          <w:sz w:val="20"/>
          <w:szCs w:val="20"/>
          <w:color w:val="auto"/>
        </w:rPr>
      </w:pPr>
    </w:p>
    <w:p>
      <w:pPr>
        <w:ind w:left="900" w:right="439" w:hanging="330"/>
        <w:spacing w:after="0" w:line="277"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Financial income (expenses)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net </w:t>
      </w:r>
      <w:r>
        <w:rPr>
          <w:rFonts w:ascii="Times New Roman" w:cs="Times New Roman" w:eastAsia="Times New Roman" w:hAnsi="Times New Roman"/>
          <w:sz w:val="20"/>
          <w:szCs w:val="20"/>
          <w:color w:val="auto"/>
        </w:rPr>
        <w:t>was approximately $(0.0) million for the first quarter of 2026,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income of $0.4 million for the first quarter of 2025. The change resulted primarily from a $0.3 million exchange rate influence and $0.1 million lower interest income.</w:t>
      </w:r>
    </w:p>
    <w:p>
      <w:pPr>
        <w:spacing w:after="0" w:line="189" w:lineRule="exact"/>
        <w:rPr>
          <w:rFonts w:ascii="Times New Roman" w:cs="Times New Roman" w:eastAsia="Times New Roman" w:hAnsi="Times New Roman"/>
          <w:sz w:val="20"/>
          <w:szCs w:val="20"/>
          <w:color w:val="auto"/>
        </w:rPr>
      </w:pPr>
    </w:p>
    <w:p>
      <w:pPr>
        <w:ind w:left="900" w:right="279" w:hanging="330"/>
        <w:spacing w:after="0" w:line="269"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Taxes on income </w:t>
      </w:r>
      <w:r>
        <w:rPr>
          <w:rFonts w:ascii="Times New Roman" w:cs="Times New Roman" w:eastAsia="Times New Roman" w:hAnsi="Times New Roman"/>
          <w:sz w:val="20"/>
          <w:szCs w:val="20"/>
          <w:color w:val="auto"/>
        </w:rPr>
        <w:t>were approximately $2.8 million for the first quarter of 2026 and tax benefit was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approximately $(0.1) million for the first quarter of 2025. Income tax expense primarily reflects taxes on income derived from global intangible low-taxed income (GILTI), including the impact of capitalization requirements under Internal Revenue Code Section 174.</w:t>
      </w:r>
    </w:p>
    <w:p>
      <w:pPr>
        <w:spacing w:after="0" w:line="210" w:lineRule="exact"/>
        <w:rPr>
          <w:rFonts w:ascii="Times New Roman" w:cs="Times New Roman" w:eastAsia="Times New Roman" w:hAnsi="Times New Roman"/>
          <w:sz w:val="20"/>
          <w:szCs w:val="20"/>
          <w:color w:val="auto"/>
        </w:rPr>
      </w:pPr>
    </w:p>
    <w:p>
      <w:pPr>
        <w:ind w:left="900" w:hanging="330"/>
        <w:spacing w:after="0"/>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Cash, cash equivalents, and short-term bank deposits </w:t>
      </w:r>
      <w:r>
        <w:rPr>
          <w:rFonts w:ascii="Times New Roman" w:cs="Times New Roman" w:eastAsia="Times New Roman" w:hAnsi="Times New Roman"/>
          <w:sz w:val="20"/>
          <w:szCs w:val="20"/>
          <w:color w:val="auto"/>
        </w:rPr>
        <w:t>were $51.1 million on March 31, 2026.</w:t>
      </w:r>
    </w:p>
    <w:p>
      <w:pPr>
        <w:spacing w:after="0" w:line="256" w:lineRule="exact"/>
        <w:rPr>
          <w:rFonts w:ascii="Times New Roman" w:cs="Times New Roman" w:eastAsia="Times New Roman" w:hAnsi="Times New Roman"/>
          <w:sz w:val="20"/>
          <w:szCs w:val="20"/>
          <w:color w:val="auto"/>
        </w:rPr>
      </w:pPr>
    </w:p>
    <w:p>
      <w:pPr>
        <w:ind w:left="900" w:right="499" w:hanging="330"/>
        <w:spacing w:after="0" w:line="278"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income </w:t>
      </w:r>
      <w:r>
        <w:rPr>
          <w:rFonts w:ascii="Times New Roman" w:cs="Times New Roman" w:eastAsia="Times New Roman" w:hAnsi="Times New Roman"/>
          <w:sz w:val="20"/>
          <w:szCs w:val="20"/>
          <w:color w:val="auto"/>
        </w:rPr>
        <w:t>for the three months ended March 31, 2026 was $18.3 million, or $0.23 per share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basic and $0.22 per share – diluted, compared to a net loss of $3.6 million, or $(0.05) per share - basic and diluted, for the same period in 2025. The net income was driven primarily by the milestone revenue recognized from Chiesi.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711835</wp:posOffset>
            </wp:positionV>
            <wp:extent cx="54006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6" w:name="page7"/>
    <w:bookmarkEnd w:id="6"/>
    <w:p>
      <w:pPr>
        <w:ind w:left="240"/>
        <w:spacing w:after="0"/>
        <w:rPr>
          <w:sz w:val="20"/>
          <w:szCs w:val="20"/>
          <w:color w:val="auto"/>
        </w:rPr>
      </w:pPr>
      <w:r>
        <w:rPr>
          <w:rFonts w:ascii="Times New Roman" w:cs="Times New Roman" w:eastAsia="Times New Roman" w:hAnsi="Times New Roman"/>
          <w:sz w:val="20"/>
          <w:szCs w:val="20"/>
          <w:b w:val="1"/>
          <w:bCs w:val="1"/>
          <w:color w:val="auto"/>
        </w:rPr>
        <w:t>Conference Call and Webcast Information</w:t>
      </w:r>
    </w:p>
    <w:p>
      <w:pPr>
        <w:spacing w:after="0" w:line="26" w:lineRule="exact"/>
        <w:rPr>
          <w:sz w:val="20"/>
          <w:szCs w:val="20"/>
          <w:color w:val="auto"/>
        </w:rPr>
      </w:pPr>
    </w:p>
    <w:p>
      <w:pPr>
        <w:ind w:left="240" w:right="539"/>
        <w:spacing w:after="0" w:line="242" w:lineRule="auto"/>
        <w:rPr>
          <w:sz w:val="20"/>
          <w:szCs w:val="20"/>
          <w:color w:val="auto"/>
        </w:rPr>
      </w:pPr>
      <w:r>
        <w:rPr>
          <w:rFonts w:ascii="Times New Roman" w:cs="Times New Roman" w:eastAsia="Times New Roman" w:hAnsi="Times New Roman"/>
          <w:sz w:val="20"/>
          <w:szCs w:val="20"/>
          <w:color w:val="auto"/>
        </w:rPr>
        <w:t>The Company will host a conference call today, May 13, at 8:00 am EDT, to review the financial results and provide a business update. To participate in the conference call, please dial the following numbers prior to the start of the call:</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Conference Call Details:</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May 13, 2026</w:t>
      </w: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Time: </w:t>
      </w:r>
      <w:r>
        <w:rPr>
          <w:rFonts w:ascii="Times New Roman" w:cs="Times New Roman" w:eastAsia="Times New Roman" w:hAnsi="Times New Roman"/>
          <w:sz w:val="20"/>
          <w:szCs w:val="20"/>
          <w:color w:val="auto"/>
        </w:rPr>
        <w:t>8:00 a.m. Eastern Daylight Time (EDT)</w:t>
      </w: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Toll Free: </w:t>
      </w:r>
      <w:r>
        <w:rPr>
          <w:rFonts w:ascii="Times New Roman" w:cs="Times New Roman" w:eastAsia="Times New Roman" w:hAnsi="Times New Roman"/>
          <w:sz w:val="20"/>
          <w:szCs w:val="20"/>
          <w:color w:val="auto"/>
        </w:rPr>
        <w:t>1-877-423-9813</w:t>
      </w: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International: </w:t>
      </w:r>
      <w:r>
        <w:rPr>
          <w:rFonts w:ascii="Times New Roman" w:cs="Times New Roman" w:eastAsia="Times New Roman" w:hAnsi="Times New Roman"/>
          <w:sz w:val="20"/>
          <w:szCs w:val="20"/>
          <w:color w:val="auto"/>
        </w:rPr>
        <w:t>1-201-689-8573</w:t>
      </w: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Israeli Toll Free: </w:t>
      </w:r>
      <w:r>
        <w:rPr>
          <w:rFonts w:ascii="Times New Roman" w:cs="Times New Roman" w:eastAsia="Times New Roman" w:hAnsi="Times New Roman"/>
          <w:sz w:val="20"/>
          <w:szCs w:val="20"/>
          <w:color w:val="auto"/>
        </w:rPr>
        <w:t>1-809-406-247</w:t>
      </w: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Conference ID: </w:t>
      </w:r>
      <w:r>
        <w:rPr>
          <w:rFonts w:ascii="Times New Roman" w:cs="Times New Roman" w:eastAsia="Times New Roman" w:hAnsi="Times New Roman"/>
          <w:sz w:val="20"/>
          <w:szCs w:val="20"/>
          <w:color w:val="auto"/>
        </w:rPr>
        <w:t>13760475</w:t>
      </w: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Call me™: </w:t>
      </w:r>
      <w:r>
        <w:rPr>
          <w:rFonts w:ascii="Times New Roman" w:cs="Times New Roman" w:eastAsia="Times New Roman" w:hAnsi="Times New Roman"/>
          <w:sz w:val="20"/>
          <w:szCs w:val="20"/>
          <w:color w:val="auto"/>
        </w:rPr>
        <w:t>https://tinyurl.com/yjww2vxn</w:t>
      </w:r>
    </w:p>
    <w:p>
      <w:pPr>
        <w:spacing w:after="0" w:line="207" w:lineRule="exact"/>
        <w:rPr>
          <w:sz w:val="20"/>
          <w:szCs w:val="20"/>
          <w:color w:val="auto"/>
        </w:rPr>
      </w:pPr>
    </w:p>
    <w:p>
      <w:pPr>
        <w:ind w:left="240" w:right="499"/>
        <w:spacing w:after="0" w:line="269" w:lineRule="auto"/>
        <w:rPr>
          <w:sz w:val="20"/>
          <w:szCs w:val="20"/>
          <w:color w:val="auto"/>
        </w:rPr>
      </w:pPr>
      <w:r>
        <w:rPr>
          <w:rFonts w:ascii="Times New Roman" w:cs="Times New Roman" w:eastAsia="Times New Roman" w:hAnsi="Times New Roman"/>
          <w:sz w:val="20"/>
          <w:szCs w:val="20"/>
          <w:color w:val="auto"/>
        </w:rPr>
        <w:t>The Call me™ feature allows you to avoid the wait for an operator; you enter your phone number on the platform and the system calls you right away.</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Webcast Details:</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The conference will be webcast live from the Protalix website and will be available via the following links:</w:t>
      </w:r>
    </w:p>
    <w:p>
      <w:pPr>
        <w:spacing w:after="0" w:line="2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Company Link: https://ir.protalix.com/news-events/events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Webcast Link: https://tinyurl.com/ykmy9jmr</w:t>
      </w:r>
    </w:p>
    <w:p>
      <w:pPr>
        <w:ind w:left="240"/>
        <w:spacing w:after="0"/>
        <w:rPr>
          <w:sz w:val="20"/>
          <w:szCs w:val="20"/>
          <w:color w:val="auto"/>
        </w:rPr>
      </w:pPr>
      <w:r>
        <w:rPr>
          <w:rFonts w:ascii="Times New Roman" w:cs="Times New Roman" w:eastAsia="Times New Roman" w:hAnsi="Times New Roman"/>
          <w:sz w:val="20"/>
          <w:szCs w:val="20"/>
          <w:color w:val="auto"/>
        </w:rPr>
        <w:t>Conference ID: 13760475</w:t>
      </w:r>
    </w:p>
    <w:p>
      <w:pPr>
        <w:spacing w:after="0" w:line="207" w:lineRule="exact"/>
        <w:rPr>
          <w:sz w:val="20"/>
          <w:szCs w:val="20"/>
          <w:color w:val="auto"/>
        </w:rPr>
      </w:pPr>
    </w:p>
    <w:p>
      <w:pPr>
        <w:ind w:left="240" w:right="619"/>
        <w:spacing w:after="0" w:line="269" w:lineRule="auto"/>
        <w:rPr>
          <w:sz w:val="20"/>
          <w:szCs w:val="20"/>
          <w:color w:val="auto"/>
        </w:rPr>
      </w:pPr>
      <w:r>
        <w:rPr>
          <w:rFonts w:ascii="Times New Roman" w:cs="Times New Roman" w:eastAsia="Times New Roman" w:hAnsi="Times New Roman"/>
          <w:sz w:val="20"/>
          <w:szCs w:val="20"/>
          <w:color w:val="auto"/>
        </w:rPr>
        <w:t>Participants are requested to access the websites at least 15 minutes ahead of the conference to register, download, and install any necessary audio software.</w:t>
      </w:r>
    </w:p>
    <w:p>
      <w:pPr>
        <w:spacing w:after="0" w:line="173" w:lineRule="exact"/>
        <w:rPr>
          <w:sz w:val="20"/>
          <w:szCs w:val="20"/>
          <w:color w:val="auto"/>
        </w:rPr>
      </w:pPr>
    </w:p>
    <w:p>
      <w:pPr>
        <w:ind w:left="240" w:right="439"/>
        <w:spacing w:after="0" w:line="269" w:lineRule="auto"/>
        <w:rPr>
          <w:sz w:val="20"/>
          <w:szCs w:val="20"/>
          <w:color w:val="auto"/>
        </w:rPr>
      </w:pPr>
      <w:r>
        <w:rPr>
          <w:rFonts w:ascii="Times New Roman" w:cs="Times New Roman" w:eastAsia="Times New Roman" w:hAnsi="Times New Roman"/>
          <w:sz w:val="20"/>
          <w:szCs w:val="20"/>
          <w:color w:val="auto"/>
        </w:rPr>
        <w:t>A replay of the call will be available for two weeks on the Events Calendar of the Investors section of the Protalix website, at the above link.</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About Protalix BioTherapeutics, Inc.</w:t>
      </w:r>
    </w:p>
    <w:p>
      <w:pPr>
        <w:spacing w:after="0" w:line="26" w:lineRule="exact"/>
        <w:rPr>
          <w:sz w:val="20"/>
          <w:szCs w:val="20"/>
          <w:color w:val="auto"/>
        </w:rPr>
      </w:pPr>
    </w:p>
    <w:p>
      <w:pPr>
        <w:ind w:left="240" w:right="359"/>
        <w:spacing w:after="0" w:line="220" w:lineRule="auto"/>
        <w:rPr>
          <w:sz w:val="20"/>
          <w:szCs w:val="20"/>
          <w:color w:val="auto"/>
        </w:rPr>
      </w:pPr>
      <w:r>
        <w:rPr>
          <w:rFonts w:ascii="Times New Roman" w:cs="Times New Roman" w:eastAsia="Times New Roman" w:hAnsi="Times New Roman"/>
          <w:sz w:val="20"/>
          <w:szCs w:val="20"/>
          <w:color w:val="auto"/>
        </w:rPr>
        <w:t>Protalix is a biopharmaceutical company focused on the discovery, development, production, and commercialization of innovative therapeutics for rare diseases. Protalix has researched, developed, and currently manufactures two enzyme replacement therapies that are currently available in multiple markets. These therapies are recombinant therapeutic proteins expressed through Protalix’s proprietary plant cell-based expression system, ProCellEx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 ProCellEx is a unique plant cell-based system that enables Protalix to produce recombinant proteins in an industrial-scale manner with no exposure to mammalian cells. Protalix is the first company to gain U.S. Food and Drug Administration (FDA) approval of a protein produced through plant cell-based in suspension expression system. Protalix has licensed to Pfizer Inc. the worldwide development and commercialization rights to taliglucerase alfa, Elelyso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 for the treatment of Gaucher disease, excluding in Brazil where Protalix retains full rights.</w:t>
      </w:r>
    </w:p>
    <w:p>
      <w:pPr>
        <w:spacing w:after="0" w:line="191" w:lineRule="exact"/>
        <w:rPr>
          <w:sz w:val="20"/>
          <w:szCs w:val="20"/>
          <w:color w:val="auto"/>
        </w:rPr>
      </w:pPr>
    </w:p>
    <w:p>
      <w:pPr>
        <w:ind w:left="240" w:right="399"/>
        <w:spacing w:after="0" w:line="229" w:lineRule="auto"/>
        <w:rPr>
          <w:sz w:val="20"/>
          <w:szCs w:val="20"/>
          <w:color w:val="auto"/>
        </w:rPr>
      </w:pPr>
      <w:r>
        <w:rPr>
          <w:rFonts w:ascii="Times New Roman" w:cs="Times New Roman" w:eastAsia="Times New Roman" w:hAnsi="Times New Roman"/>
          <w:sz w:val="20"/>
          <w:szCs w:val="20"/>
          <w:color w:val="auto"/>
        </w:rPr>
        <w:t>Protalix has partnered with Chiesi Farmaceutici S.p.A. for the global development and commercialization of Elfabrio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 xml:space="preserve"> which was approved by both the FDA and the European Medicines Agency (EMA) in May 2023. Protalix’s development pipeline includes, among others, two proprietary versions of recombinant therapeutic proteins that target established pharmaceutical markets: PRX–115, a plant cell-expressed recombinant PEGylated uricase for the treatment of uncontrolled gout; and PRX–119, a plant cell-expressed long-acting DNase I for the treatment of NETs-related diseases. To learn more, please visit </w:t>
      </w:r>
      <w:r>
        <w:rPr>
          <w:rFonts w:ascii="Times New Roman" w:cs="Times New Roman" w:eastAsia="Times New Roman" w:hAnsi="Times New Roman"/>
          <w:sz w:val="20"/>
          <w:szCs w:val="20"/>
          <w:b w:val="1"/>
          <w:bCs w:val="1"/>
          <w:color w:val="auto"/>
        </w:rPr>
        <w:t>www.protalix.com</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32" w:lineRule="exact"/>
        <w:rPr>
          <w:sz w:val="20"/>
          <w:szCs w:val="20"/>
          <w:color w:val="auto"/>
        </w:rPr>
      </w:pPr>
    </w:p>
    <w:p>
      <w:pPr>
        <w:ind w:left="240" w:right="319"/>
        <w:spacing w:after="0" w:line="281" w:lineRule="auto"/>
        <w:rPr>
          <w:sz w:val="20"/>
          <w:szCs w:val="20"/>
          <w:color w:val="auto"/>
        </w:rPr>
      </w:pPr>
      <w:r>
        <w:rPr>
          <w:rFonts w:ascii="Times New Roman" w:cs="Times New Roman" w:eastAsia="Times New Roman" w:hAnsi="Times New Roman"/>
          <w:sz w:val="20"/>
          <w:szCs w:val="20"/>
          <w:color w:val="auto"/>
        </w:rPr>
        <w:t>To the extent that statements in this press release are not strictly historical, all such statements are forward-looking, and are made pursuant to the safe-harbor provisions of the Private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476885</wp:posOffset>
            </wp:positionV>
            <wp:extent cx="54006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7" w:name="page8"/>
    <w:bookmarkEnd w:id="7"/>
    <w:p>
      <w:pPr>
        <w:jc w:val="both"/>
        <w:ind w:left="240" w:right="279"/>
        <w:spacing w:after="0" w:line="277" w:lineRule="auto"/>
        <w:rPr>
          <w:sz w:val="20"/>
          <w:szCs w:val="20"/>
          <w:color w:val="auto"/>
        </w:rPr>
      </w:pPr>
      <w:r>
        <w:rPr>
          <w:rFonts w:ascii="Times New Roman" w:cs="Times New Roman" w:eastAsia="Times New Roman" w:hAnsi="Times New Roman"/>
          <w:sz w:val="19"/>
          <w:szCs w:val="19"/>
          <w:color w:val="auto"/>
        </w:rPr>
        <w:t>Litigation Reform Act of 1995. These statements generally relate to future events or the Company’s future financial or operating performance, including the 2026 financial outlook described above. Actual outcomes and results may differ materially from what is expressed or forecast in such forward-looking statements.</w:t>
      </w:r>
    </w:p>
    <w:p>
      <w:pPr>
        <w:spacing w:after="0" w:line="1" w:lineRule="exact"/>
        <w:rPr>
          <w:sz w:val="20"/>
          <w:szCs w:val="20"/>
          <w:color w:val="auto"/>
        </w:rPr>
      </w:pPr>
    </w:p>
    <w:p>
      <w:pPr>
        <w:ind w:left="240" w:right="279"/>
        <w:spacing w:after="0" w:line="260" w:lineRule="auto"/>
        <w:rPr>
          <w:sz w:val="20"/>
          <w:szCs w:val="20"/>
          <w:color w:val="auto"/>
        </w:rPr>
      </w:pPr>
      <w:r>
        <w:rPr>
          <w:rFonts w:ascii="Times New Roman" w:cs="Times New Roman" w:eastAsia="Times New Roman" w:hAnsi="Times New Roman"/>
          <w:sz w:val="20"/>
          <w:szCs w:val="20"/>
          <w:color w:val="auto"/>
        </w:rPr>
        <w:t>The terms “anticipate,” “believe,” “estimate,” “expect,” “can,” “continue,” “could,” “intend,” “may,” “plan,” “potential,” “predict,” “project,” “should,” “will,” “would,” and other words or phrases of similar import are intended to identify forward-looking statements. These forward-looking statements are subject to known and unknown risks and uncertainties that may cause actual future experience and results to differ materially from the statements made. These statements are based on our current beliefs and expectations as to such future outcomes. Drug discovery and development involve a high degree of risk and the final results of a clinical trial may be different than the preliminary findings of the clinical trial. Factors that might cause material differences include, among others: risks related to the commercialization of Elfabrio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 xml:space="preserve"> (pegunigalsidase alfa-iwxj), our approved product for the treatment of adult patients with Fabry disease; risks relating to Elfabrio’s market acceptance, competition, reimbursement, and regulatory actions, including as a result of the boxed warning contained in the FDA approval received for the product; risks related to the regulatory approval and commercial success of our other product and product candidates, if approved; risks related to our expectations with respect to the projected market of our products and product candidates; 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and/or inability to monitor patients adequately during or after treatment; the risk that the results of our clinical trials of our product candidates will not support the applicable claims of safety or efficacy and that our product candidates will not have the desired effects or will be associated with undesirable side effects or other unexpected characteristics; the possible disruption of our operations due to the regional conflict in Iran and the military actions between Israel and Iran, the Hamas terrorist organization located in the Gaza Strip, Hezbollah, the Houthis terrorist group that controls parts of Yemen, and others, including as a result of the disruption of the operations of certain regulatory authorities and of certain of our suppliers, collaborative partners, licensees, clinical trial sites, distributors, and customers, and the risk that the current hostilities will result in increased regional conflict; delays in the approval or potential rejection of any applications we file with the FDA, European Medicines Agency or other health regulatory authorities for our other product candidates and other risks relating to the review process; risks associated with global conditions and developments such as new or increased tariffs, new or changed trade restrictions, supply chain challenges, the inflationary environment and tight labor market, and instability in the banking industry, which may adversely impact our business, operations and ability to raise additional financing if and as required and on terms acceptable to us; risks related to any transactions we may effect in the public or private equity or debt markets to raise capital to finance future research and development activities, general and administrative expenses and working capital; risks relating to our evaluation and pursuit of strategic partnerships; risks relating to our ability to manage our relationship with our collaborators, distributors, and partners, including, but not limited to, Pfizer Inc. and Chiesi Farmaceutici S.p.A.; risks related to the amount and sufficiency of our cash and cash equivalents and short-term bank deposits; risks relating to changes to interim, top-line or preliminary data from clinical trials that we announce or publish; risks relating to the compliance by Fundação Oswaldo Cruz, or Fiocruz, an arm of the Brazilian Ministry of Health with its purchase obligations under our supply and technology transfer agreement that we entered into with Fiocruz in June 2013, which may have a material adverse effect on us and may result in our terminating such agreement; risk of significant lawsuits, including stockholder litigation, which is common in the life sciences sector; our dependence on performance by third-party providers of services and supplies, including without limitation, clinical trial services; the inherent risks and uncertainties in developing drug platforms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491490</wp:posOffset>
            </wp:positionV>
            <wp:extent cx="540067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8" w:name="page9"/>
    <w:bookmarkEnd w:id="8"/>
    <w:p>
      <w:pPr>
        <w:ind w:left="240" w:right="259"/>
        <w:spacing w:after="0" w:line="264" w:lineRule="auto"/>
        <w:rPr>
          <w:sz w:val="20"/>
          <w:szCs w:val="20"/>
          <w:color w:val="auto"/>
        </w:rPr>
      </w:pPr>
      <w:r>
        <w:rPr>
          <w:rFonts w:ascii="Times New Roman" w:cs="Times New Roman" w:eastAsia="Times New Roman" w:hAnsi="Times New Roman"/>
          <w:sz w:val="20"/>
          <w:szCs w:val="20"/>
          <w:color w:val="auto"/>
        </w:rPr>
        <w:t>products of the type we are developing; the impact of development of competing therapies and/or technologies by other companies; risks related to our supply of drug products to Pfizer; potential product liability risks, and risks of securing adequate levels of related insurance coverage; the possibility of infringing a third-party’s patents or other intellectual property rights and the uncertainty of obtaining patents covering our products and processes and successfully enforcing our intellectual property rights against third-parties; risks relating to changes in healthcare laws, rules and regulations in the United States or elsewhere; and other factors described in our filings with the U.S. Securities and Exchange Commission. The statements in this press release are valid only as of the date hereof and we disclaim any obligation to update this information, except as may be required by law. You are cautioned not to place undue reliance on these forward-looking statements.</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Mike Moyer, Managing Director</w:t>
      </w:r>
    </w:p>
    <w:p>
      <w:pPr>
        <w:ind w:left="240"/>
        <w:spacing w:after="0"/>
        <w:rPr>
          <w:sz w:val="20"/>
          <w:szCs w:val="20"/>
          <w:color w:val="auto"/>
        </w:rPr>
      </w:pPr>
      <w:r>
        <w:rPr>
          <w:rFonts w:ascii="Times New Roman" w:cs="Times New Roman" w:eastAsia="Times New Roman" w:hAnsi="Times New Roman"/>
          <w:sz w:val="20"/>
          <w:szCs w:val="20"/>
          <w:color w:val="auto"/>
        </w:rPr>
        <w:t>LifeSci Advisors</w:t>
      </w:r>
    </w:p>
    <w:p>
      <w:pPr>
        <w:ind w:left="240"/>
        <w:spacing w:after="0"/>
        <w:rPr>
          <w:sz w:val="20"/>
          <w:szCs w:val="20"/>
          <w:color w:val="auto"/>
        </w:rPr>
      </w:pPr>
      <w:r>
        <w:rPr>
          <w:rFonts w:ascii="Times New Roman" w:cs="Times New Roman" w:eastAsia="Times New Roman" w:hAnsi="Times New Roman"/>
          <w:sz w:val="20"/>
          <w:szCs w:val="20"/>
          <w:color w:val="auto"/>
        </w:rPr>
        <w:t>+1-617-308-4306</w:t>
      </w:r>
    </w:p>
    <w:p>
      <w:pPr>
        <w:ind w:left="240"/>
        <w:spacing w:after="0"/>
        <w:rPr>
          <w:sz w:val="20"/>
          <w:szCs w:val="20"/>
          <w:color w:val="auto"/>
        </w:rPr>
      </w:pPr>
      <w:r>
        <w:rPr>
          <w:rFonts w:ascii="Times New Roman" w:cs="Times New Roman" w:eastAsia="Times New Roman" w:hAnsi="Times New Roman"/>
          <w:sz w:val="20"/>
          <w:szCs w:val="20"/>
          <w:color w:val="auto"/>
        </w:rPr>
        <w:t>mmoyer@lifesciadvisors.com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634365</wp:posOffset>
            </wp:positionV>
            <wp:extent cx="54006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580" w:type="dxa"/>
            <w:vAlign w:val="bottom"/>
            <w:gridSpan w:val="7"/>
          </w:tcPr>
          <w:p>
            <w:pPr>
              <w:ind w:left="1000"/>
              <w:spacing w:after="0"/>
              <w:rPr>
                <w:sz w:val="20"/>
                <w:szCs w:val="20"/>
                <w:color w:val="auto"/>
              </w:rPr>
            </w:pPr>
            <w:r>
              <w:rPr>
                <w:rFonts w:ascii="Times New Roman" w:cs="Times New Roman" w:eastAsia="Times New Roman" w:hAnsi="Times New Roman"/>
                <w:sz w:val="14"/>
                <w:szCs w:val="14"/>
                <w:b w:val="1"/>
                <w:bCs w:val="1"/>
                <w:color w:val="auto"/>
              </w:rPr>
              <w:t>​​​ March 31, 2026  ​​​December 31, 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41,001</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bank deposits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deposit</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30,474</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86,356</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102,336</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w:t>
            </w:r>
          </w:p>
        </w:tc>
        <w:tc>
          <w:tcPr>
            <w:tcW w:w="1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27,388</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35,107</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67,229</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102,336</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46"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gridSpan w:val="5"/>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0" w:type="dxa"/>
            <w:vAlign w:val="bottom"/>
            <w:tcBorders>
              <w:bottom w:val="single" w:sz="8" w:color="CCEEFF"/>
            </w:tcBorders>
          </w:tcPr>
          <w:p>
            <w:pPr>
              <w:spacing w:after="0"/>
              <w:rPr>
                <w:sz w:val="12"/>
                <w:szCs w:val="12"/>
                <w:color w:val="auto"/>
              </w:rPr>
            </w:pPr>
          </w:p>
        </w:tc>
        <w:tc>
          <w:tcPr>
            <w:tcW w:w="5180" w:type="dxa"/>
            <w:vAlign w:val="bottom"/>
            <w:tcBorders>
              <w:bottom w:val="single" w:sz="8" w:color="CCEEFF"/>
            </w:tcBorders>
          </w:tcPr>
          <w:p>
            <w:pPr>
              <w:ind w:left="50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Borders>
              <w:top w:val="single" w:sz="8" w:color="auto"/>
              <w:bottom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36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7,419</w:t>
            </w:r>
          </w:p>
        </w:tc>
        <w:tc>
          <w:tcPr>
            <w:tcW w:w="360" w:type="dxa"/>
            <w:vAlign w:val="bottom"/>
            <w:tcBorders>
              <w:lef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9,995</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26,331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33,750</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(8,180)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(5,426)</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(3,475)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(2,603)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21,146</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(4,145)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EXPENSES</w:t>
            </w: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INCOME</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INCOME (EXPENSES), NET</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TAXES ON INCOME</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21,141</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(3,732)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TAXES ON INCOME (TAX BENEFIT)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18,317</w:t>
            </w:r>
          </w:p>
        </w:tc>
        <w:tc>
          <w:tcPr>
            <w:tcW w:w="20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(3,619)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 OF COMMON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Borders>
              <w:bottom w:val="single" w:sz="8" w:color="CCEEFF"/>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40" w:type="dxa"/>
            <w:vAlign w:val="bottom"/>
            <w:shd w:val="clear" w:color="auto" w:fill="CCEEFF"/>
          </w:tcPr>
          <w:p>
            <w:pPr>
              <w:spacing w:after="0"/>
              <w:rPr>
                <w:sz w:val="15"/>
                <w:szCs w:val="15"/>
                <w:color w:val="auto"/>
              </w:rPr>
            </w:pPr>
          </w:p>
        </w:tc>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20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180" w:type="dxa"/>
            <w:vAlign w:val="bottom"/>
          </w:tcPr>
          <w:p>
            <w:pPr>
              <w:ind w:left="40"/>
              <w:spacing w:after="0" w:line="156"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0.22</w:t>
            </w:r>
          </w:p>
        </w:tc>
        <w:tc>
          <w:tcPr>
            <w:tcW w:w="360" w:type="dxa"/>
            <w:vAlign w:val="bottom"/>
            <w:gridSpan w:val="2"/>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288"/>
              <w:spacing w:after="0" w:line="156" w:lineRule="exact"/>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USED IN COMPUTING EARNINGS (LOSS) PER SHARE: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79,848,892</w:t>
            </w:r>
          </w:p>
        </w:tc>
        <w:tc>
          <w:tcPr>
            <w:tcW w:w="200" w:type="dxa"/>
            <w:vAlign w:val="bottom"/>
            <w:tcBorders>
              <w:left w:val="single" w:sz="8" w:color="CCEEFF"/>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76,611,980</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0" w:type="dxa"/>
            <w:vAlign w:val="bottom"/>
          </w:tcPr>
          <w:p>
            <w:pPr>
              <w:spacing w:after="0"/>
              <w:rPr>
                <w:sz w:val="13"/>
                <w:szCs w:val="13"/>
                <w:color w:val="auto"/>
              </w:rPr>
            </w:pPr>
          </w:p>
        </w:tc>
        <w:tc>
          <w:tcPr>
            <w:tcW w:w="5180" w:type="dxa"/>
            <w:vAlign w:val="bottom"/>
          </w:tcPr>
          <w:p>
            <w:pPr>
              <w:ind w:left="40"/>
              <w:spacing w:after="0" w:line="156"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83,048,596</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76,611,980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7"/>
        </w:trPr>
        <w:tc>
          <w:tcPr>
            <w:tcW w:w="14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2026-05-13T05:58:34Z</dcterms:created>
  <dcterms:modified xsi:type="dcterms:W3CDTF">2026-05-13T05:58:34Z</dcterms:modified>
</cp:coreProperties>
</file>