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517525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134620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84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w:t>
            </w:r>
          </w:p>
        </w:tc>
      </w:tr>
      <w:tr>
        <w:trPr>
          <w:trHeight w:val="214"/>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Arial" w:cs="Arial" w:eastAsia="Arial" w:hAnsi="Arial"/>
                <w:sz w:val="14"/>
                <w:szCs w:val="14"/>
                <w:b w:val="1"/>
                <w:bCs w:val="1"/>
                <w:color w:val="auto"/>
              </w:rPr>
              <w:t>001-33357</w:t>
            </w:r>
          </w:p>
        </w:tc>
      </w:tr>
      <w:tr>
        <w:trPr>
          <w:trHeight w:val="186"/>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110490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PROTALIX BIOTHERAPEUTICS,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1"/>
              </w:rPr>
              <w:t>(State 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gridSpan w:val="4"/>
          </w:tcPr>
          <w:p>
            <w:pPr>
              <w:spacing w:after="0"/>
              <w:rPr>
                <w:sz w:val="14"/>
                <w:szCs w:val="14"/>
                <w:color w:val="auto"/>
              </w:rPr>
            </w:pPr>
          </w:p>
        </w:tc>
        <w:tc>
          <w:tcPr>
            <w:tcW w:w="1260" w:type="dxa"/>
            <w:vAlign w:val="bottom"/>
            <w:gridSpan w:val="5"/>
          </w:tcPr>
          <w:p>
            <w:pPr>
              <w:jc w:val="center"/>
              <w:ind w:left="149"/>
              <w:spacing w:after="0"/>
              <w:rPr>
                <w:sz w:val="20"/>
                <w:szCs w:val="20"/>
                <w:color w:val="auto"/>
              </w:rPr>
            </w:pPr>
            <w:r>
              <w:rPr>
                <w:rFonts w:ascii="Arial" w:cs="Arial" w:eastAsia="Arial" w:hAnsi="Arial"/>
                <w:sz w:val="14"/>
                <w:szCs w:val="14"/>
                <w:b w:val="1"/>
                <w:bCs w:val="1"/>
                <w:color w:val="auto"/>
                <w:w w:val="94"/>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other jurisdiction</w:t>
            </w:r>
          </w:p>
        </w:tc>
        <w:tc>
          <w:tcPr>
            <w:tcW w:w="1260" w:type="dxa"/>
            <w:vAlign w:val="bottom"/>
            <w:gridSpan w:val="5"/>
          </w:tcPr>
          <w:p>
            <w:pPr>
              <w:jc w:val="center"/>
              <w:ind w:left="109"/>
              <w:spacing w:after="0" w:line="119"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6"/>
        </w:trPr>
        <w:tc>
          <w:tcPr>
            <w:tcW w:w="5420" w:type="dxa"/>
            <w:vAlign w:val="bottom"/>
            <w:gridSpan w:val="7"/>
          </w:tcPr>
          <w:p>
            <w:pPr>
              <w:ind w:left="160"/>
              <w:spacing w:after="0"/>
              <w:rPr>
                <w:sz w:val="20"/>
                <w:szCs w:val="20"/>
                <w:color w:val="auto"/>
              </w:rPr>
            </w:pPr>
            <w:r>
              <w:rPr>
                <w:rFonts w:ascii="Arial" w:cs="Arial" w:eastAsia="Arial" w:hAnsi="Arial"/>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9"/>
        </w:trPr>
        <w:tc>
          <w:tcPr>
            <w:tcW w:w="5420" w:type="dxa"/>
            <w:vAlign w:val="bottom"/>
            <w:gridSpan w:val="7"/>
          </w:tcPr>
          <w:p>
            <w:pPr>
              <w:jc w:val="center"/>
              <w:ind w:right="2988"/>
              <w:spacing w:after="0"/>
              <w:rPr>
                <w:sz w:val="20"/>
                <w:szCs w:val="20"/>
                <w:color w:val="auto"/>
              </w:rPr>
            </w:pPr>
            <w:r>
              <w:rPr>
                <w:rFonts w:ascii="Arial" w:cs="Arial" w:eastAsia="Arial" w:hAnsi="Arial"/>
                <w:sz w:val="14"/>
                <w:szCs w:val="14"/>
                <w:b w:val="1"/>
                <w:bCs w:val="1"/>
                <w:color w:val="auto"/>
                <w:w w:val="94"/>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Arial" w:cs="Arial" w:eastAsia="Arial" w:hAnsi="Arial"/>
                <w:sz w:val="14"/>
                <w:szCs w:val="14"/>
                <w:b w:val="1"/>
                <w:bCs w:val="1"/>
                <w:color w:val="auto"/>
                <w:w w:val="91"/>
              </w:rPr>
              <w:t>Suite 100</w:t>
            </w:r>
          </w:p>
        </w:tc>
        <w:tc>
          <w:tcPr>
            <w:tcW w:w="1080" w:type="dxa"/>
            <w:vAlign w:val="bottom"/>
            <w:gridSpan w:val="4"/>
            <w:vMerge w:val="restart"/>
          </w:tcPr>
          <w:p>
            <w:pPr>
              <w:jc w:val="center"/>
              <w:ind w:left="289"/>
              <w:spacing w:after="0"/>
              <w:rPr>
                <w:sz w:val="20"/>
                <w:szCs w:val="20"/>
                <w:color w:val="auto"/>
              </w:rPr>
            </w:pPr>
            <w:r>
              <w:rPr>
                <w:rFonts w:ascii="Arial" w:cs="Arial" w:eastAsia="Arial" w:hAnsi="Arial"/>
                <w:sz w:val="14"/>
                <w:szCs w:val="14"/>
                <w:b w:val="1"/>
                <w:bCs w:val="1"/>
                <w:color w:val="auto"/>
                <w:w w:val="92"/>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7"/>
              </w:rPr>
              <w:t>(Address of</w:t>
            </w:r>
          </w:p>
        </w:tc>
        <w:tc>
          <w:tcPr>
            <w:tcW w:w="4720" w:type="dxa"/>
            <w:vAlign w:val="bottom"/>
            <w:gridSpan w:val="6"/>
          </w:tcPr>
          <w:p>
            <w:pPr>
              <w:jc w:val="center"/>
              <w:ind w:right="3668"/>
              <w:spacing w:after="0" w:line="158" w:lineRule="exact"/>
              <w:rPr>
                <w:sz w:val="20"/>
                <w:szCs w:val="20"/>
                <w:color w:val="auto"/>
              </w:rPr>
            </w:pPr>
            <w:r>
              <w:rPr>
                <w:rFonts w:ascii="Arial" w:cs="Arial" w:eastAsia="Arial" w:hAnsi="Arial"/>
                <w:sz w:val="14"/>
                <w:szCs w:val="14"/>
                <w:b w:val="1"/>
                <w:bCs w:val="1"/>
                <w:color w:val="auto"/>
                <w:w w:val="91"/>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Arial" w:cs="Arial" w:eastAsia="Arial" w:hAnsi="Arial"/>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92"/>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(201)-696-9345</w:t>
            </w: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629221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775"/>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6"/>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Trading Symbol(s)</w:t>
            </w:r>
          </w:p>
        </w:tc>
        <w:tc>
          <w:tcPr>
            <w:tcW w:w="3440" w:type="dxa"/>
            <w:vAlign w:val="bottom"/>
          </w:tcPr>
          <w:p>
            <w:pPr>
              <w:jc w:val="center"/>
              <w:ind w:left="6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2860" w:type="dxa"/>
            <w:vAlign w:val="bottom"/>
          </w:tcPr>
          <w:p>
            <w:pPr>
              <w:jc w:val="center"/>
              <w:ind w:right="868"/>
              <w:spacing w:after="0"/>
              <w:rPr>
                <w:sz w:val="20"/>
                <w:szCs w:val="20"/>
                <w:color w:val="auto"/>
              </w:rPr>
            </w:pPr>
            <w:r>
              <w:rPr>
                <w:rFonts w:ascii="Arial" w:cs="Arial" w:eastAsia="Arial" w:hAnsi="Arial"/>
                <w:sz w:val="14"/>
                <w:szCs w:val="14"/>
                <w:color w:val="auto"/>
                <w:w w:val="93"/>
              </w:rPr>
              <w:t>Common stock, $0.001 par value</w:t>
            </w:r>
          </w:p>
        </w:tc>
        <w:tc>
          <w:tcPr>
            <w:tcW w:w="2820" w:type="dxa"/>
            <w:vAlign w:val="bottom"/>
          </w:tcPr>
          <w:p>
            <w:pPr>
              <w:jc w:val="center"/>
              <w:ind w:left="108"/>
              <w:spacing w:after="0"/>
              <w:rPr>
                <w:sz w:val="20"/>
                <w:szCs w:val="20"/>
                <w:color w:val="auto"/>
              </w:rPr>
            </w:pPr>
            <w:r>
              <w:rPr>
                <w:rFonts w:ascii="Arial" w:cs="Arial" w:eastAsia="Arial" w:hAnsi="Arial"/>
                <w:sz w:val="14"/>
                <w:szCs w:val="14"/>
                <w:color w:val="auto"/>
              </w:rPr>
              <w:t>PLX</w:t>
            </w:r>
          </w:p>
        </w:tc>
        <w:tc>
          <w:tcPr>
            <w:tcW w:w="3440" w:type="dxa"/>
            <w:vAlign w:val="bottom"/>
          </w:tcPr>
          <w:p>
            <w:pPr>
              <w:jc w:val="center"/>
              <w:ind w:left="688"/>
              <w:spacing w:after="0"/>
              <w:rPr>
                <w:sz w:val="20"/>
                <w:szCs w:val="20"/>
                <w:color w:val="auto"/>
              </w:rPr>
            </w:pPr>
            <w:r>
              <w:rPr>
                <w:rFonts w:ascii="Arial" w:cs="Arial" w:eastAsia="Arial" w:hAnsi="Arial"/>
                <w:sz w:val="14"/>
                <w:szCs w:val="14"/>
                <w:color w:val="auto"/>
                <w:w w:val="94"/>
              </w:rPr>
              <w:t>NYSE American</w:t>
            </w:r>
          </w:p>
        </w:tc>
      </w:tr>
    </w:tbl>
    <w:p>
      <w:pPr>
        <w:spacing w:after="0" w:line="61" w:lineRule="exact"/>
        <w:rPr>
          <w:sz w:val="24"/>
          <w:szCs w:val="24"/>
          <w:color w:val="auto"/>
        </w:rPr>
      </w:pPr>
    </w:p>
    <w:p>
      <w:pPr>
        <w:ind w:right="4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right="1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1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20" w:type="dxa"/>
            <w:vAlign w:val="bottom"/>
          </w:tcPr>
          <w:p>
            <w:pPr>
              <w:ind w:left="162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58" w:lineRule="exact"/>
        <w:rPr>
          <w:sz w:val="24"/>
          <w:szCs w:val="24"/>
          <w:color w:val="auto"/>
        </w:rPr>
      </w:pPr>
    </w:p>
    <w:p>
      <w:pPr>
        <w:ind w:right="42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right="2360"/>
        <w:spacing w:after="0" w:line="23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On August 1, 2021, approximately 45,556,647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904" w:right="10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15"/>
                <w:szCs w:val="15"/>
                <w:color w:val="auto"/>
              </w:rPr>
            </w:pPr>
          </w:p>
        </w:tc>
      </w:tr>
      <w:tr>
        <w:trPr>
          <w:trHeight w:val="250"/>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gridSpan w:val="3"/>
          </w:tcPr>
          <w:p>
            <w:pPr>
              <w:spacing w:after="0"/>
              <w:rPr>
                <w:sz w:val="21"/>
                <w:szCs w:val="21"/>
                <w:color w:val="auto"/>
              </w:rPr>
            </w:pPr>
          </w:p>
        </w:tc>
        <w:tc>
          <w:tcPr>
            <w:tcW w:w="270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As of June 30, 2021 and December 31, 2020</w:t>
              </w:r>
            </w:hyperlink>
          </w:p>
        </w:tc>
        <w:tc>
          <w:tcPr>
            <w:tcW w:w="132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 – For the Six and Three Months Ended June 30, 2021</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2020</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Stockholders’ equity (Capital Deficiency) (Unaudited) – For the</w:t>
              </w:r>
            </w:hyperlink>
          </w:p>
        </w:tc>
        <w:tc>
          <w:tcPr>
            <w:tcW w:w="2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Six and Three Months Ended June 30, 2021 and 2020</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 (Unaudited) – For the Six Months Ended June 30, 2021 and 2020</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460" w:type="dxa"/>
            <w:vAlign w:val="bottom"/>
            <w:tcBorders>
              <w:top w:val="single" w:sz="8" w:color="0000EE"/>
            </w:tcBorders>
            <w:gridSpan w:val="8"/>
          </w:tcPr>
          <w:p>
            <w:pPr>
              <w:spacing w:after="0"/>
              <w:rPr>
                <w:sz w:val="17"/>
                <w:szCs w:val="17"/>
                <w:color w:val="auto"/>
              </w:rPr>
            </w:pPr>
          </w:p>
        </w:tc>
        <w:tc>
          <w:tcPr>
            <w:tcW w:w="100" w:type="dxa"/>
            <w:vAlign w:val="bottom"/>
            <w:gridSpan w:val="2"/>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7</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27</w:t>
            </w: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856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28</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1500" w:type="dxa"/>
            <w:vAlign w:val="bottom"/>
            <w:gridSpan w:val="5"/>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89"/>
              </w:rPr>
              <w:t>29</w:t>
            </w: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856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5.</w:t>
              </w:r>
            </w:hyperlink>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260" w:type="dxa"/>
            <w:vAlign w:val="bottom"/>
            <w:gridSpan w:val="3"/>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Exhibits</w:t>
              </w:r>
            </w:hyperlink>
          </w:p>
        </w:tc>
        <w:tc>
          <w:tcPr>
            <w:tcW w:w="790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780" w:type="dxa"/>
            <w:vAlign w:val="bottom"/>
            <w:gridSpan w:val="4"/>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Signatures</w:t>
              </w:r>
            </w:hyperlink>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920" w:type="dxa"/>
            <w:vAlign w:val="bottom"/>
          </w:tcPr>
          <w:p>
            <w:pPr>
              <w:ind w:left="30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Short-term bank deposits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43,058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Trade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in respect of employee rights upon retirement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108,204</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67,934</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STOCKHOLDERS’ EQUITY (NET OF CAPITAL</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DEFICIENCY)</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Trade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6,128</w:t>
            </w:r>
          </w:p>
        </w:tc>
        <w:tc>
          <w:tcPr>
            <w:tcW w:w="2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liability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Convertible notes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56,355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Promissory note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96,247</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86,474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LONG TERM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liability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Liability for employee rights upon retirement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 term liabilities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 term liabilities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8,116</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104,363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STOCKHOLDERS’ EQUITY (CAPITAL DEFICIENCY)</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and stockholders’ equity (net of capital deficiency)</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260"/>
        <w:spacing w:after="0" w:line="263"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OPERATIONS </w:t>
      </w:r>
      <w:r>
        <w:rPr>
          <w:rFonts w:ascii="Arial" w:cs="Arial" w:eastAsia="Arial" w:hAnsi="Arial"/>
          <w:sz w:val="18"/>
          <w:szCs w:val="18"/>
          <w:color w:val="auto"/>
        </w:rPr>
        <w:t>(U.S. dollars in thousands, except share and per share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 2021</w:t>
            </w:r>
          </w:p>
        </w:tc>
        <w:tc>
          <w:tcPr>
            <w:tcW w:w="1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2021</w:t>
            </w:r>
          </w:p>
        </w:tc>
        <w:tc>
          <w:tcPr>
            <w:tcW w:w="1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2020</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 FROM SELLING GOODS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REVENUES FROM LICENSE AND R&amp;D SERVICES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7,319</w:t>
            </w:r>
          </w:p>
        </w:tc>
        <w:tc>
          <w:tcPr>
            <w:tcW w:w="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10,967</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4"/>
                <w:szCs w:val="14"/>
                <w:b w:val="1"/>
                <w:bCs w:val="1"/>
                <w:color w:val="auto"/>
              </w:rPr>
              <w:t>COST OF GOODS SOLD (1)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RESEARCH AND DEVELOPMENT EXPENSES (2)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(9,186)</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SELLING, GENERAL AND ADMINISTRATIVE EXPENSES (3)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w:t>
            </w:r>
          </w:p>
        </w:tc>
        <w:tc>
          <w:tcPr>
            <w:tcW w:w="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 (LOSS)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4"/>
                <w:szCs w:val="14"/>
                <w:b w:val="1"/>
                <w:bCs w:val="1"/>
                <w:color w:val="auto"/>
              </w:rPr>
              <w:t>FINANCIAL EXPENSES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(1,948)</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INCOME</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4"/>
                <w:szCs w:val="14"/>
                <w:b w:val="1"/>
                <w:bCs w:val="1"/>
                <w:color w:val="auto"/>
              </w:rPr>
              <w:t>FINANCIAL EXPENSES – NET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4"/>
                <w:szCs w:val="14"/>
                <w:b w:val="1"/>
                <w:bCs w:val="1"/>
                <w:color w:val="auto"/>
              </w:rPr>
              <w:t>NET LOSS FOR THE PERIOD</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(16,716)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(2,483)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(11,241)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(4,150)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LOSS PER SHARE OF COMMON STOCK – BASIC AND DILUTED</w:t>
            </w:r>
          </w:p>
        </w:tc>
        <w:tc>
          <w:tcPr>
            <w:tcW w:w="3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(0.39)</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(0.12)</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(0.25)</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(0.13)</w:t>
            </w: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WEIGHTED AVERAGE NUMBER OF SHARES OF COMMON STOCK</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USED IN COMPUTING LOSS PER SHARE – BASIC AND DILUTED</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42,744,426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19,923,935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45,436,907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32,442,636</w:t>
            </w:r>
          </w:p>
        </w:tc>
        <w:tc>
          <w:tcPr>
            <w:tcW w:w="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0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(1) Includes share-based compensation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(2) Includes share-based compensation</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(3) Includes share-based compensation</w:t>
            </w: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59"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CHANGES IN STOCKHOLDERS’ EQUITY (CAPITAL DEFICIENCY) </w:t>
      </w:r>
      <w:r>
        <w:rPr>
          <w:rFonts w:ascii="Arial" w:cs="Arial" w:eastAsia="Arial" w:hAnsi="Arial"/>
          <w:sz w:val="18"/>
          <w:szCs w:val="18"/>
          <w:color w:val="auto"/>
        </w:rPr>
        <w:t>(U.S. dollars in thousands, except share data)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4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Stock (1)</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10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2020</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14,838,213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w:t>
            </w:r>
          </w:p>
        </w:tc>
        <w:tc>
          <w:tcPr>
            <w:tcW w:w="2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270,492</w:t>
            </w: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ind w:right="86"/>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(340,829)</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six-month period ended June 30, 2020:</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and warrants, net of issuance cost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17,604,423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Note receivable from issuance of common stock and warrants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(2,483)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32,442,636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308,515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(343,312)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(34,764)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Balance at January 1, 2021</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4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34,765,280</w:t>
            </w:r>
          </w:p>
        </w:tc>
        <w:tc>
          <w:tcPr>
            <w:tcW w:w="16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35</w:t>
            </w:r>
          </w:p>
        </w:tc>
        <w:tc>
          <w:tcPr>
            <w:tcW w:w="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320,280</w:t>
            </w: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(347,352)</w:t>
            </w:r>
          </w:p>
        </w:tc>
        <w:tc>
          <w:tcPr>
            <w:tcW w:w="180" w:type="dxa"/>
            <w:vAlign w:val="bottom"/>
            <w:vMerge w:val="continue"/>
          </w:tcPr>
          <w:p>
            <w:pPr>
              <w:spacing w:after="0"/>
              <w:rPr>
                <w:sz w:val="11"/>
                <w:szCs w:val="11"/>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(27,037)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six-month period ended June 30, 2021: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Issuance of common stock, net of issuance cost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8,749,999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37,616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1,867,552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173,816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(16,716)</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June 30, 2021</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45,556,647</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367,863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(364,068)</w:t>
            </w:r>
          </w:p>
        </w:tc>
        <w:tc>
          <w:tcPr>
            <w:tcW w:w="1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March 31, 2020</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32,442,636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33</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308,248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(339,162)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(30,881)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June 30, 2020:</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(4,150)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32,442,636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308,515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(343,312)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(34,764)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2021</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4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45,382,831</w:t>
            </w:r>
          </w:p>
        </w:tc>
        <w:tc>
          <w:tcPr>
            <w:tcW w:w="16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46</w:t>
            </w:r>
          </w:p>
        </w:tc>
        <w:tc>
          <w:tcPr>
            <w:tcW w:w="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367,285</w:t>
            </w: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(352,827)</w:t>
            </w:r>
          </w:p>
        </w:tc>
        <w:tc>
          <w:tcPr>
            <w:tcW w:w="180" w:type="dxa"/>
            <w:vAlign w:val="bottom"/>
            <w:vMerge w:val="continue"/>
          </w:tcPr>
          <w:p>
            <w:pPr>
              <w:spacing w:after="0"/>
              <w:rPr>
                <w:sz w:val="11"/>
                <w:szCs w:val="11"/>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14,504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June 30, 2021: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173,816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(11,241)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June 30, 2021</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45,556,647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367,863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(364,068)</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amount equal to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Common stock, $0.001 par value; Authorized – as of June 30, 2021 and 2020 - 120,000,000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(16,716)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Adjustments required to reconcile net loss to net cash used in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Financial income, net (mainly exchange differences)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accrued liability for employee rights upon retirement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Loss (gain) on amounts funded in respect of employee rights upon retirement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fixed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Amortization of debt issuance costs and debt discount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Increase (decrease) in contracts liability (including non-current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accounts receivable and 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Changes in right of use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inventories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Increase (decrease) in accounts payable and accruals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other long term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bank deposits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Proceeds from sale of short-term 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restricted deposit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Amounts funded in respect of employee rights upon retirement,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payment for promissory note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and warrants,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issuance of common stock under the Sales Agreement,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0" w:type="dxa"/>
            <w:vAlign w:val="bottom"/>
          </w:tcPr>
          <w:p>
            <w:pPr>
              <w:spacing w:after="0" w:line="177" w:lineRule="exact"/>
              <w:rPr>
                <w:sz w:val="20"/>
                <w:szCs w:val="20"/>
                <w:color w:val="auto"/>
              </w:rPr>
            </w:pPr>
            <w:r>
              <w:rPr>
                <w:rFonts w:ascii="Arial" w:cs="Arial" w:eastAsia="Arial" w:hAnsi="Arial"/>
                <w:sz w:val="18"/>
                <w:szCs w:val="18"/>
                <w:b w:val="1"/>
                <w:bCs w:val="1"/>
                <w:color w:val="auto"/>
              </w:rPr>
              <w:t>EFFECT OF EXCHANGE RATE CHANGES ON CASH AND CASH</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OF CASH AND CASH EQUIVALENTS AT BEGINNING OF PERIOD</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OF CASH AND CASH EQUIVALENTS AT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(Continued) – 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2"/>
              </w:rPr>
              <w:t>June 30, 2021</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 INVOLVING CASH FLOWS: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Right of use assets obtained in exchange for new operating lease liabilities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200"/>
              <w:spacing w:after="0"/>
              <w:rPr>
                <w:sz w:val="20"/>
                <w:szCs w:val="20"/>
                <w:color w:val="auto"/>
              </w:rPr>
            </w:pPr>
            <w:r>
              <w:rPr>
                <w:rFonts w:ascii="Arial" w:cs="Arial" w:eastAsia="Arial" w:hAnsi="Arial"/>
                <w:sz w:val="18"/>
                <w:szCs w:val="18"/>
                <w:color w:val="auto"/>
              </w:rPr>
              <w:t>Note receivable from issuance of common stock and warrants, net of issuance cost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SUPPLEMENTARY DISCLOSURE ON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received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jc w:val="center"/>
        <w:ind w:left="1000" w:right="2000"/>
        <w:spacing w:after="0" w:line="275" w:lineRule="auto"/>
        <w:rPr>
          <w:sz w:val="20"/>
          <w:szCs w:val="20"/>
          <w:color w:val="auto"/>
        </w:rPr>
      </w:pPr>
      <w:r>
        <w:rPr>
          <w:rFonts w:ascii="Arial" w:cs="Arial" w:eastAsia="Arial" w:hAnsi="Arial"/>
          <w:sz w:val="18"/>
          <w:szCs w:val="18"/>
          <w:b w:val="1"/>
          <w:bCs w:val="1"/>
          <w:color w:val="212529"/>
        </w:rPr>
        <w:t xml:space="preserve">PROTALIX BIOTHERAPEUTICS, INC. NOTES TO CONDENSED CONSOLIDATED FINANCIAL STATEMENTS </w:t>
      </w:r>
      <w:r>
        <w:rPr>
          <w:rFonts w:ascii="Arial" w:cs="Arial" w:eastAsia="Arial" w:hAnsi="Arial"/>
          <w:sz w:val="18"/>
          <w:szCs w:val="18"/>
          <w:color w:val="212529"/>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88" w:lineRule="exact"/>
        <w:rPr>
          <w:rFonts w:ascii="Arial" w:cs="Arial" w:eastAsia="Arial" w:hAnsi="Arial"/>
          <w:sz w:val="18"/>
          <w:szCs w:val="18"/>
          <w:b w:val="1"/>
          <w:bCs w:val="1"/>
          <w:color w:val="auto"/>
        </w:rPr>
      </w:pPr>
    </w:p>
    <w:p>
      <w:pPr>
        <w:ind w:left="980" w:right="140"/>
        <w:spacing w:after="0" w:line="260" w:lineRule="auto"/>
        <w:rPr>
          <w:rFonts w:ascii="Arial" w:cs="Arial" w:eastAsia="Arial" w:hAnsi="Arial"/>
          <w:sz w:val="18"/>
          <w:szCs w:val="18"/>
          <w:b w:val="1"/>
          <w:bCs w:val="1"/>
          <w:color w:val="auto"/>
        </w:rPr>
      </w:pPr>
      <w:r>
        <w:rPr>
          <w:rFonts w:ascii="Arial" w:cs="Arial" w:eastAsia="Arial" w:hAnsi="Arial"/>
          <w:sz w:val="16"/>
          <w:szCs w:val="16"/>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protein expression system (“ProCellEx”). To date, the Company has successfully developed taliglucerase alfa (marketed under the name BioManguinhos alfataliglicerase in Brazil and certain other Latin American countries and Elelyso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64" w:lineRule="exact"/>
        <w:rPr>
          <w:rFonts w:ascii="Arial" w:cs="Arial" w:eastAsia="Arial" w:hAnsi="Arial"/>
          <w:sz w:val="18"/>
          <w:szCs w:val="18"/>
          <w:b w:val="1"/>
          <w:bCs w:val="1"/>
          <w:color w:val="auto"/>
        </w:rPr>
      </w:pPr>
    </w:p>
    <w:p>
      <w:pPr>
        <w:ind w:left="98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The most advanced investigational drug in the Company’s product pipeline is pegunigalsidase alfa, or PRX-102, a therapeutic protein candidate for the treatment of Fabry disease, a rare, genetic lysosomal disorder, which is the subject of a phase III clinical program. The PRX-102 phase III clinical program includes three separate studies: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and 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The studies are designed to evaluate the potential superiority of PRX-102 over current therapies in a head-to-head study and a switch-over study, evaluate the potential for improved efficacy and better quality of life for patients with Fabry disease and evaluate the safety of our drug/therapy.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studies have been completed, and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is fully-enrolled. See Part 1, Item 2, Management’s Discussion and Analysis of Financial Condition and Results of Operations—Pegunigalsidase Alfa (PRX-102) for the Treatment of Fabry Disease for details regarding the current status of these studies and of available clinical trial results.</w:t>
      </w:r>
    </w:p>
    <w:p>
      <w:pPr>
        <w:spacing w:after="0" w:line="125" w:lineRule="exact"/>
        <w:rPr>
          <w:rFonts w:ascii="Arial" w:cs="Arial" w:eastAsia="Arial" w:hAnsi="Arial"/>
          <w:sz w:val="18"/>
          <w:szCs w:val="18"/>
          <w:b w:val="1"/>
          <w:bCs w:val="1"/>
          <w:color w:val="auto"/>
        </w:rPr>
      </w:pPr>
    </w:p>
    <w:p>
      <w:pPr>
        <w:ind w:left="9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A BLA for PRX-102 for the treatment of adult patients with Fabry disease was submitted to the U.S. Food and Drug Administration (the “FDA”) on May 27, 2020 under the FDA’s Accelerated Approval pathway, which was subsequently accepted by the FDA and granted Priority Review designation. The FDA also indicated in its BLA filing communication letter that it did not plan to hold an advisory committee meeting to discuss the application. Based on the interim analysis of the 12-month data generated from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that the Company announced in June 2021, and in combination with previously reported positive data from 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and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studies, the Company and Chiesi intend to submit a Marketing Authorization Application (an “MAA”) to the European Medicines Agency (the “EMA”) for PRX-102.</w:t>
      </w:r>
    </w:p>
    <w:p>
      <w:pPr>
        <w:spacing w:after="0" w:line="125" w:lineRule="exact"/>
        <w:rPr>
          <w:rFonts w:ascii="Arial" w:cs="Arial" w:eastAsia="Arial" w:hAnsi="Arial"/>
          <w:sz w:val="18"/>
          <w:szCs w:val="18"/>
          <w:b w:val="1"/>
          <w:bCs w:val="1"/>
          <w:color w:val="auto"/>
        </w:rPr>
      </w:pPr>
    </w:p>
    <w:p>
      <w:pPr>
        <w:ind w:left="98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April 28, 2021, the Company, together with its development and commercialization partner for PRX-102, Chiesi Farmaceutici S.p.A. (“Chiesi”), announced that they received a Complete Response Letter (CRL) from the FDA regarding the BLA. The CRL did not report any concerns relating to the potential safety or efficacy of PRX-102 in the submitted data package. In the CRL, the FDA noted that an inspection of the Company’s manufacturing facility in Carmiel, Israel, including the FDA’s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the novel coronavirus disease (“COVID-19”), the FDA reviewed records under Section 704(a)(4) of the Federal Food, Drug, and Cosmetic Act (the “FFDCA”) in lieu of a pre-licensing inspection. In the CRL, the FDA stated that it will communicate remaining issues to the facility in order to seek prompt resolution of any pending items.</w:t>
      </w:r>
    </w:p>
    <w:p>
      <w:pPr>
        <w:spacing w:after="0" w:line="141" w:lineRule="exact"/>
        <w:rPr>
          <w:rFonts w:ascii="Arial" w:cs="Arial" w:eastAsia="Arial" w:hAnsi="Arial"/>
          <w:sz w:val="18"/>
          <w:szCs w:val="18"/>
          <w:b w:val="1"/>
          <w:bCs w:val="1"/>
          <w:color w:val="auto"/>
        </w:rPr>
      </w:pPr>
    </w:p>
    <w:p>
      <w:pPr>
        <w:ind w:left="980" w:right="40"/>
        <w:spacing w:after="0" w:line="275" w:lineRule="auto"/>
        <w:rPr>
          <w:rFonts w:ascii="Arial" w:cs="Arial" w:eastAsia="Arial" w:hAnsi="Arial"/>
          <w:sz w:val="18"/>
          <w:szCs w:val="18"/>
          <w:b w:val="1"/>
          <w:bCs w:val="1"/>
          <w:color w:val="auto"/>
        </w:rPr>
      </w:pPr>
      <w:r>
        <w:rPr>
          <w:rFonts w:ascii="Arial" w:cs="Arial" w:eastAsia="Arial" w:hAnsi="Arial"/>
          <w:sz w:val="16"/>
          <w:szCs w:val="16"/>
          <w:color w:val="auto"/>
        </w:rPr>
        <w:t>In addition to the foregoing, in the CRL, the FDA noted that agalsidase beta (Fabrazyme</w:t>
      </w:r>
      <w:r>
        <w:rPr>
          <w:rFonts w:ascii="Arial" w:cs="Arial" w:eastAsia="Arial" w:hAnsi="Arial"/>
          <w:sz w:val="23"/>
          <w:szCs w:val="23"/>
          <w:color w:val="auto"/>
          <w:vertAlign w:val="superscript"/>
        </w:rPr>
        <w:t>®</w:t>
      </w:r>
      <w:r>
        <w:rPr>
          <w:rFonts w:ascii="Arial" w:cs="Arial" w:eastAsia="Arial" w:hAnsi="Arial"/>
          <w:sz w:val="16"/>
          <w:szCs w:val="16"/>
          <w:color w:val="auto"/>
        </w:rPr>
        <w:t>), a therapy used to treat Fabry patients, was recently converted to full approval and is now an “available therapy,” which must be addressed in the context of any potential resubmission of a BLA for PRX-102. The Company intends to work collaboratively with the FDA to identify the most expeditious pathway to approval, and is confident that it will be able to work with the FDA to resolve these issues and provide a new, alternative drug to Fabry patients. On August 2, 2021, the Company announced that a Type A Meeting request has been submitted to the FDA to discuss the CRL. The Type A Meeting is expected to occur within 30 days of the FDA’s receipt of the meeting request; however, the Company cannot anticipate the timing of such a meeting nor the additional steps that may be required in connection with any potential resubmission.</w:t>
      </w:r>
    </w:p>
    <w:p>
      <w:pPr>
        <w:spacing w:after="0" w:line="134"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In addition to PRX-102, the Company’s product pipeline currently includes, among other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1340" w:right="80" w:hanging="333"/>
        <w:spacing w:after="0" w:line="259"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alidornase alfa, or PRX-110, a proprietary plant cell recombinant human Deoxyribonuclease 1, or DNase, which is subject to an exclusive worldwide license agreement with SarcoMed USA, Inc. (“SarcoMed”) for use in the treatment of any human respiratory disease or condition including, but not limited to, sarcoidosis, pulmonary fibrosis, and other related diseases via inhaled delivery;</w:t>
      </w:r>
    </w:p>
    <w:p>
      <w:pPr>
        <w:spacing w:after="0" w:line="146" w:lineRule="exact"/>
        <w:rPr>
          <w:rFonts w:ascii="Arial" w:cs="Arial" w:eastAsia="Arial" w:hAnsi="Arial"/>
          <w:sz w:val="18"/>
          <w:szCs w:val="18"/>
          <w:color w:val="auto"/>
        </w:rPr>
      </w:pPr>
    </w:p>
    <w:p>
      <w:pPr>
        <w:ind w:left="1340" w:right="20" w:hanging="333"/>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PRX-115, the Company’s plant cell-expressed recombinant PEGylated uricase (urate oxidase) – a chemically modified enzyme to treat refractory gout; and</w:t>
      </w:r>
    </w:p>
    <w:p>
      <w:pPr>
        <w:spacing w:after="0" w:line="143" w:lineRule="exact"/>
        <w:rPr>
          <w:rFonts w:ascii="Arial" w:cs="Arial" w:eastAsia="Arial" w:hAnsi="Arial"/>
          <w:sz w:val="18"/>
          <w:szCs w:val="18"/>
          <w:color w:val="auto"/>
        </w:rPr>
      </w:pPr>
    </w:p>
    <w:p>
      <w:pPr>
        <w:ind w:left="1340" w:right="520" w:hanging="333"/>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PRX-119, the Company’s plant cell-expressed PEGylated recombinant human DNase I product candidate being designed to elongate half-life in the circulation for NETs-related diseases.</w:t>
      </w:r>
    </w:p>
    <w:p>
      <w:pPr>
        <w:spacing w:after="0" w:line="130" w:lineRule="exact"/>
        <w:rPr>
          <w:sz w:val="20"/>
          <w:szCs w:val="20"/>
          <w:color w:val="auto"/>
        </w:rPr>
      </w:pPr>
    </w:p>
    <w:p>
      <w:pPr>
        <w:jc w:val="both"/>
        <w:ind w:left="980" w:right="60"/>
        <w:spacing w:after="0" w:line="263" w:lineRule="auto"/>
        <w:rPr>
          <w:sz w:val="20"/>
          <w:szCs w:val="20"/>
          <w:color w:val="auto"/>
        </w:rPr>
      </w:pPr>
      <w:r>
        <w:rPr>
          <w:rFonts w:ascii="Arial" w:cs="Arial" w:eastAsia="Arial" w:hAnsi="Arial"/>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July 2, 2021, the Company entered into an At The Market Offering Agreement (the “Sales Agreement”) with</w:t>
      </w:r>
    </w:p>
    <w:p>
      <w:pPr>
        <w:spacing w:after="0" w:line="23" w:lineRule="exact"/>
        <w:rPr>
          <w:sz w:val="20"/>
          <w:szCs w:val="20"/>
          <w:color w:val="auto"/>
        </w:rPr>
      </w:pPr>
    </w:p>
    <w:p>
      <w:pPr>
        <w:ind w:left="980" w:right="100"/>
        <w:spacing w:after="0" w:line="266" w:lineRule="auto"/>
        <w:rPr>
          <w:sz w:val="20"/>
          <w:szCs w:val="20"/>
          <w:color w:val="auto"/>
        </w:rPr>
      </w:pPr>
      <w:r>
        <w:rPr>
          <w:rFonts w:ascii="Arial" w:cs="Arial" w:eastAsia="Arial" w:hAnsi="Arial"/>
          <w:sz w:val="16"/>
          <w:szCs w:val="16"/>
          <w:color w:val="auto"/>
        </w:rPr>
        <w:t>H.C. Wainwright &amp; Co., LLC, as the Company’s sales agent (the “Agent”). Pursuant to the terms of the Sales Agreement, the Company may sell from time to time through the Agent shares of its common stock, par value $0.001 per share (the “Common Stock”), having an aggregate offering price of up to $20.0 million (the “ATM Shares”). Upon execution of the Sales Agreement, the Company terminated the ATM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it had entered into on October 1, 2020 with BofA Securities, Inc. (“BofA Securities”). The Company sold a total of 3,296,123 shares of common stock pursuant to the sales agreement with BofA Securities for total gross proceeds of approximately $13.8 million.</w:t>
      </w:r>
    </w:p>
    <w:p>
      <w:pPr>
        <w:spacing w:after="0" w:line="158" w:lineRule="exact"/>
        <w:rPr>
          <w:sz w:val="20"/>
          <w:szCs w:val="20"/>
          <w:color w:val="auto"/>
        </w:rPr>
      </w:pPr>
    </w:p>
    <w:p>
      <w:pPr>
        <w:ind w:left="980" w:right="20"/>
        <w:spacing w:after="0" w:line="288" w:lineRule="auto"/>
        <w:rPr>
          <w:sz w:val="20"/>
          <w:szCs w:val="20"/>
          <w:color w:val="auto"/>
        </w:rPr>
      </w:pPr>
      <w:r>
        <w:rPr>
          <w:rFonts w:ascii="Arial" w:cs="Arial" w:eastAsia="Arial" w:hAnsi="Arial"/>
          <w:sz w:val="16"/>
          <w:szCs w:val="16"/>
          <w:color w:val="auto"/>
        </w:rPr>
        <w:t>On February 10, 2021, the Company entered into an exclusive worldwide license agreement with SarcoMed with respect to PRX-110 for use in the treatment of any human respiratory disease or condition including, but not limited to, sarcoidosis, pulmonary fibrosis, and other related diseases via inhaled delivery. Under the terms of the agreement, SarcoMed will be responsible for the identification and selection of pharmaceutical candidates under the license, and the clinical research and development of such candidates. The Company is entitled to an initial cash payment of $3.5 million, subject to certain conditions, and to additional regulatory and commercial milestone payments and tiered royalties on net sales of products that are commercialized under the license agreement. In addition to the foregoing, the parties agreed to commence negotiation of clinical and commercial supply agreements for alidornase alfa. As part of the arrangement, the parties agreed to negotiate and sign a supply agreement within 60 days of the execution of the license agreement, and SarcoMed has the right to terminate the license agreement if the parties do not successfully do so.</w:t>
      </w:r>
    </w:p>
    <w:p>
      <w:pPr>
        <w:spacing w:after="0" w:line="128" w:lineRule="exact"/>
        <w:rPr>
          <w:sz w:val="20"/>
          <w:szCs w:val="20"/>
          <w:color w:val="auto"/>
        </w:rPr>
      </w:pPr>
    </w:p>
    <w:p>
      <w:pPr>
        <w:jc w:val="both"/>
        <w:ind w:left="980" w:right="360"/>
        <w:spacing w:after="0" w:line="259" w:lineRule="auto"/>
        <w:rPr>
          <w:sz w:val="20"/>
          <w:szCs w:val="20"/>
          <w:color w:val="auto"/>
        </w:rPr>
      </w:pPr>
      <w:r>
        <w:rPr>
          <w:rFonts w:ascii="Arial" w:cs="Arial" w:eastAsia="Arial" w:hAnsi="Arial"/>
          <w:sz w:val="18"/>
          <w:szCs w:val="18"/>
          <w:color w:val="auto"/>
        </w:rPr>
        <w:t>On February 17, 2021, the Company issued and sold 8,749,999 shares of its Common Stock in an underwritten public offering raising gross proceeds of approximately $40.2 million at a price equal to $4.60 per share, before deducting the underwriting discount and estimated expenses of the offering. BofA Securities acted as book-running manager for the offering with Oppenheimer &amp; Co. acting as co-manager.</w:t>
      </w:r>
    </w:p>
    <w:p>
      <w:pPr>
        <w:spacing w:after="0" w:line="146"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 and Supply Agreement with Chiesi (the “Chiesi US Agreement”) with respect to the commercialization of pegunigalsidase alfa in the United States.</w:t>
      </w:r>
    </w:p>
    <w:p>
      <w:pPr>
        <w:spacing w:after="0" w:line="120" w:lineRule="exact"/>
        <w:rPr>
          <w:sz w:val="20"/>
          <w:szCs w:val="20"/>
          <w:color w:val="auto"/>
        </w:rPr>
      </w:pPr>
    </w:p>
    <w:p>
      <w:pPr>
        <w:ind w:left="980" w:right="60"/>
        <w:spacing w:after="0" w:line="284" w:lineRule="auto"/>
        <w:rPr>
          <w:sz w:val="20"/>
          <w:szCs w:val="20"/>
          <w:color w:val="auto"/>
        </w:rPr>
      </w:pPr>
      <w:r>
        <w:rPr>
          <w:rFonts w:ascii="Arial" w:cs="Arial" w:eastAsia="Arial" w:hAnsi="Arial"/>
          <w:sz w:val="16"/>
          <w:szCs w:val="16"/>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capped at $10.0 million per year, and to receive additional payments of up to $320.0 million, in the aggregate, in regulatory and commercial milestone payments. Under the Chiesi US Agreement, Protalix Ltd. is entitled to payments of up to a maximum of $20.0 million to cover development costs for pegunigalsidase alfa, subject to a maximum of $7.5 million per year, and to receive additional payments of up to a maximum of</w:t>
      </w:r>
    </w:p>
    <w:p>
      <w:pPr>
        <w:spacing w:after="0" w:line="2" w:lineRule="exact"/>
        <w:rPr>
          <w:sz w:val="20"/>
          <w:szCs w:val="20"/>
          <w:color w:val="auto"/>
        </w:rPr>
      </w:pPr>
    </w:p>
    <w:p>
      <w:pPr>
        <w:ind w:left="980" w:right="100"/>
        <w:spacing w:after="0" w:line="260" w:lineRule="auto"/>
        <w:rPr>
          <w:sz w:val="20"/>
          <w:szCs w:val="20"/>
          <w:color w:val="auto"/>
        </w:rPr>
      </w:pPr>
      <w:r>
        <w:rPr>
          <w:rFonts w:ascii="Arial" w:cs="Arial" w:eastAsia="Arial" w:hAnsi="Arial"/>
          <w:sz w:val="18"/>
          <w:szCs w:val="18"/>
          <w:color w:val="auto"/>
        </w:rPr>
        <w:t>$760.0 million, in the aggregate, in regulatory and commercial milestone payments. To date, Protalix Ltd. has received the complete amount of development costs to which it is entitled under the Chiesi Agreements.</w:t>
      </w:r>
    </w:p>
    <w:p>
      <w:pPr>
        <w:sectPr>
          <w:pgSz w:w="11900" w:h="16838" w:orient="portrait"/>
          <w:cols w:equalWidth="0" w:num="1">
            <w:col w:w="9900"/>
          </w:cols>
          <w:pgMar w:left="980" w:top="665" w:right="101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100"/>
        <w:spacing w:after="0" w:line="293" w:lineRule="auto"/>
        <w:rPr>
          <w:sz w:val="20"/>
          <w:szCs w:val="20"/>
          <w:color w:val="auto"/>
        </w:rPr>
      </w:pPr>
      <w:r>
        <w:rPr>
          <w:rFonts w:ascii="Arial" w:cs="Arial" w:eastAsia="Arial" w:hAnsi="Arial"/>
          <w:sz w:val="16"/>
          <w:szCs w:val="16"/>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On May 13, 2021, the Company signed a binding term sheet with Chiesi pursuant to which the Company and Chiesi</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amended the Chiesi Agreements in order to provide the Company with near-term capital. Chiesi agreed to make a</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$10.0 million payment to the Company before the end of the second quarter in exchange for a $25.0 million reduction in a</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longer term regulatory milestone payment in the Chiesi EX-US Agreement. All other regulatory and commercial milestone</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payments remain unchanged. The Company received the payment in June 2021. The Company also agreed to negotiate</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certain manufacturing related matters.</w:t>
      </w:r>
    </w:p>
    <w:p>
      <w:pPr>
        <w:spacing w:after="0" w:line="130" w:lineRule="exact"/>
        <w:rPr>
          <w:sz w:val="20"/>
          <w:szCs w:val="20"/>
          <w:color w:val="auto"/>
        </w:rPr>
      </w:pPr>
    </w:p>
    <w:p>
      <w:pPr>
        <w:ind w:left="980" w:right="40"/>
        <w:spacing w:after="0" w:line="272" w:lineRule="auto"/>
        <w:rPr>
          <w:sz w:val="20"/>
          <w:szCs w:val="20"/>
          <w:color w:val="auto"/>
        </w:rPr>
      </w:pPr>
      <w:r>
        <w:rPr>
          <w:rFonts w:ascii="Arial" w:cs="Arial" w:eastAsia="Arial" w:hAnsi="Arial"/>
          <w:sz w:val="17"/>
          <w:szCs w:val="17"/>
          <w:color w:val="auto"/>
        </w:rPr>
        <w:t>Since its approval by the FDA, taliglucerase alfa has been marketed by Pfizer in accordance with the Pfizer Agreement. In October 2015, Protalix Ltd. and Pfizer entered into an amended exclusive license and supply agreement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10" w:lineRule="exact"/>
        <w:rPr>
          <w:sz w:val="20"/>
          <w:szCs w:val="20"/>
          <w:color w:val="auto"/>
        </w:rPr>
      </w:pPr>
    </w:p>
    <w:p>
      <w:pPr>
        <w:ind w:left="980" w:right="100"/>
        <w:spacing w:after="0" w:line="293" w:lineRule="auto"/>
        <w:rPr>
          <w:sz w:val="20"/>
          <w:szCs w:val="20"/>
          <w:color w:val="auto"/>
        </w:rPr>
      </w:pPr>
      <w:r>
        <w:rPr>
          <w:rFonts w:ascii="Arial" w:cs="Arial" w:eastAsia="Arial" w:hAnsi="Arial"/>
          <w:sz w:val="16"/>
          <w:szCs w:val="16"/>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under the Brazil Agreement, and patients continue to be treated with BioManguinhos alfataliglicerase in Brazil.</w:t>
      </w:r>
    </w:p>
    <w:p>
      <w:pPr>
        <w:spacing w:after="0" w:line="97" w:lineRule="exact"/>
        <w:rPr>
          <w:sz w:val="20"/>
          <w:szCs w:val="20"/>
          <w:color w:val="auto"/>
        </w:rPr>
      </w:pPr>
    </w:p>
    <w:p>
      <w:pPr>
        <w:ind w:left="980"/>
        <w:spacing w:after="0" w:line="271" w:lineRule="auto"/>
        <w:rPr>
          <w:sz w:val="20"/>
          <w:szCs w:val="20"/>
          <w:color w:val="auto"/>
        </w:rPr>
      </w:pPr>
      <w:r>
        <w:rPr>
          <w:rFonts w:ascii="Arial" w:cs="Arial" w:eastAsia="Arial" w:hAnsi="Arial"/>
          <w:sz w:val="17"/>
          <w:szCs w:val="17"/>
          <w:color w:val="auto"/>
        </w:rPr>
        <w:t>COVID-19, which was declared by the World Health Organization to be a global pandemic on March 11, 2020, has had numerous adverse effects on the global economy. To date, the Company’s clinical trials have not been adversely affected by COVID-19, although certain practices the Company has adopted in its offices and facilities in an effort to promote social distancing have resulted in minor delays in the performance of administrative activities outside of the clinical programs. We continue to face uncertainty as to the degree and duration of that impact going forward. The Company does not know the length of time that the pandemic and related disruptions will continue, the impact of governmental regulations or easement of regulations in response to the strengthening or weakening of the pandemic, or the degree of overall potentially permanent changes in consumer behavior that may be caused by the pandemic.</w:t>
      </w:r>
    </w:p>
    <w:p>
      <w:pPr>
        <w:spacing w:after="0" w:line="97" w:lineRule="exact"/>
        <w:rPr>
          <w:sz w:val="20"/>
          <w:szCs w:val="20"/>
          <w:color w:val="auto"/>
        </w:rPr>
      </w:pPr>
    </w:p>
    <w:p>
      <w:pPr>
        <w:ind w:left="980" w:right="80"/>
        <w:spacing w:after="0" w:line="279" w:lineRule="auto"/>
        <w:rPr>
          <w:sz w:val="20"/>
          <w:szCs w:val="20"/>
          <w:color w:val="auto"/>
        </w:rPr>
      </w:pPr>
      <w:r>
        <w:rPr>
          <w:rFonts w:ascii="Arial" w:cs="Arial" w:eastAsia="Arial" w:hAnsi="Arial"/>
          <w:sz w:val="17"/>
          <w:szCs w:val="17"/>
          <w:color w:val="auto"/>
        </w:rPr>
        <w:t>The Company believes that its cash and cash equivalents and bank deposits as of June 30, 2021 are sufficient to satisfy the Company’s capital needs for at least 12 months from the date that these financial statements are issued. See also Note 6 regarding the exchange agreements relating to the 7.5% convertible secured promissory notes due 2021 (the “2021 Notes”) signed in August 2021 which are subject to certain closing conditions.</w:t>
      </w:r>
    </w:p>
    <w:p>
      <w:pPr>
        <w:spacing w:after="0" w:line="10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1" w:lineRule="exact"/>
        <w:rPr>
          <w:rFonts w:ascii="Arial" w:cs="Arial" w:eastAsia="Arial" w:hAnsi="Arial"/>
          <w:sz w:val="18"/>
          <w:szCs w:val="18"/>
          <w:b w:val="1"/>
          <w:bCs w:val="1"/>
          <w:color w:val="auto"/>
        </w:rPr>
      </w:pPr>
    </w:p>
    <w:p>
      <w:pPr>
        <w:ind w:left="98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20"/>
        <w:spacing w:after="0" w:line="296" w:lineRule="auto"/>
        <w:rPr>
          <w:sz w:val="20"/>
          <w:szCs w:val="20"/>
          <w:color w:val="auto"/>
        </w:rPr>
      </w:pPr>
      <w:r>
        <w:rPr>
          <w:rFonts w:ascii="Arial" w:cs="Arial" w:eastAsia="Arial" w:hAnsi="Arial"/>
          <w:sz w:val="16"/>
          <w:szCs w:val="16"/>
          <w:color w:val="auto"/>
        </w:rPr>
        <w:t>These unaudited condensed consolidated financial statements should be read in conjunction with the audited consolidated financial statements in the Annual Report on Form 10-K for the year ended December 31, 2020, filed by the Company with the U.S. Securities and Exchange Commission (the “Commission”). The comparative balance sheet at December 31, 2020 has been derived from the audited financial statements at that date. There have been no material changes in our significant accounting policies as described in our consolidated financial statements for the year ended December 31, 2020.</w:t>
      </w:r>
    </w:p>
    <w:p>
      <w:pPr>
        <w:spacing w:after="0" w:line="15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ind w:left="9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Basic and diluted loss per share (“LPS”) are computed by dividing net loss by the weighted average number of shares of the Company’s Common Stock attributable to common stockholders outstanding for each period. The calculation of diluted LPS does not include 18,445,764 and 26,322,164 shares of Common Stock underlying outstanding options and shares of Common Stock issuable upon conversion of outstanding 2021 Notes and outstanding warrants for the six months ended June 30, 2020 and 2021, respectively, and 25,997,289 and 25,874,641 shares of Common Stock underlying outstanding options and shares issuable upon conversion of outstanding 2021 Notes and outstanding warrants for the three months ended June 30, 2020 and 2021, respectively because their effect would be anti-dilutive.</w:t>
      </w:r>
    </w:p>
    <w:p>
      <w:pPr>
        <w:spacing w:after="0" w:line="173" w:lineRule="exact"/>
        <w:rPr>
          <w:rFonts w:ascii="Arial" w:cs="Arial" w:eastAsia="Arial" w:hAnsi="Arial"/>
          <w:sz w:val="18"/>
          <w:szCs w:val="18"/>
          <w:b w:val="1"/>
          <w:bCs w:val="1"/>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54" w:lineRule="exact"/>
        <w:rPr>
          <w:rFonts w:ascii="Arial" w:cs="Arial" w:eastAsia="Arial" w:hAnsi="Arial"/>
          <w:sz w:val="18"/>
          <w:szCs w:val="18"/>
          <w:b w:val="1"/>
          <w:bCs w:val="1"/>
          <w:color w:val="auto"/>
        </w:rPr>
      </w:pPr>
    </w:p>
    <w:p>
      <w:pPr>
        <w:ind w:left="98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Revenues are recorded in the amount of consideration to which the Company expects to be entitled in exchange for performance obligations upon transfer of control to the customer.</w:t>
      </w:r>
    </w:p>
    <w:p>
      <w:pPr>
        <w:spacing w:after="0" w:line="170" w:lineRule="exact"/>
        <w:rPr>
          <w:rFonts w:ascii="Arial" w:cs="Arial" w:eastAsia="Arial" w:hAnsi="Arial"/>
          <w:sz w:val="18"/>
          <w:szCs w:val="18"/>
          <w:b w:val="1"/>
          <w:bCs w:val="1"/>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Revenues from selling products</w:t>
      </w:r>
    </w:p>
    <w:p>
      <w:pPr>
        <w:spacing w:after="0" w:line="184"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recognizes revenues from selling goods at a point in time when control over the product is transferred to customers (upon delivery).</w:t>
      </w:r>
    </w:p>
    <w:p>
      <w:pPr>
        <w:spacing w:after="0" w:line="14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 from Chiesi Agreements</w:t>
      </w:r>
    </w:p>
    <w:p>
      <w:pPr>
        <w:spacing w:after="0" w:line="184" w:lineRule="exact"/>
        <w:rPr>
          <w:rFonts w:ascii="Arial" w:cs="Arial" w:eastAsia="Arial" w:hAnsi="Arial"/>
          <w:sz w:val="18"/>
          <w:szCs w:val="18"/>
          <w:color w:val="auto"/>
        </w:rPr>
      </w:pPr>
    </w:p>
    <w:p>
      <w:pPr>
        <w:ind w:left="1300" w:right="40"/>
        <w:spacing w:after="0" w:line="342" w:lineRule="auto"/>
        <w:rPr>
          <w:rFonts w:ascii="Arial" w:cs="Arial" w:eastAsia="Arial" w:hAnsi="Arial"/>
          <w:sz w:val="18"/>
          <w:szCs w:val="18"/>
          <w:color w:val="auto"/>
        </w:rPr>
      </w:pPr>
      <w:r>
        <w:rPr>
          <w:rFonts w:ascii="Arial" w:cs="Arial" w:eastAsia="Arial" w:hAnsi="Arial"/>
          <w:sz w:val="16"/>
          <w:szCs w:val="16"/>
          <w:color w:val="auto"/>
        </w:rPr>
        <w:t>The Company has identified two performance obligations in Chiesi agreements as follows: (1) the license and research and development services and (2) the contingent performance obligation regarding future manufacturing.</w:t>
      </w:r>
    </w:p>
    <w:p>
      <w:pPr>
        <w:spacing w:after="0" w:line="83" w:lineRule="exact"/>
        <w:rPr>
          <w:rFonts w:ascii="Arial" w:cs="Arial" w:eastAsia="Arial" w:hAnsi="Arial"/>
          <w:sz w:val="18"/>
          <w:szCs w:val="18"/>
          <w:color w:val="auto"/>
        </w:rPr>
      </w:pPr>
    </w:p>
    <w:p>
      <w:pPr>
        <w:ind w:left="1300" w:right="140"/>
        <w:spacing w:after="0" w:line="311" w:lineRule="auto"/>
        <w:rPr>
          <w:rFonts w:ascii="Arial" w:cs="Arial" w:eastAsia="Arial" w:hAnsi="Arial"/>
          <w:sz w:val="18"/>
          <w:szCs w:val="18"/>
          <w:color w:val="auto"/>
        </w:rPr>
      </w:pPr>
      <w:r>
        <w:rPr>
          <w:rFonts w:ascii="Arial" w:cs="Arial" w:eastAsia="Arial" w:hAnsi="Arial"/>
          <w:sz w:val="16"/>
          <w:szCs w:val="16"/>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08" w:lineRule="exact"/>
        <w:rPr>
          <w:rFonts w:ascii="Arial" w:cs="Arial" w:eastAsia="Arial" w:hAnsi="Arial"/>
          <w:sz w:val="18"/>
          <w:szCs w:val="18"/>
          <w:color w:val="auto"/>
        </w:rPr>
      </w:pPr>
    </w:p>
    <w:p>
      <w:pPr>
        <w:jc w:val="both"/>
        <w:ind w:left="1300" w:right="140"/>
        <w:spacing w:after="0" w:line="311" w:lineRule="auto"/>
        <w:rPr>
          <w:rFonts w:ascii="Arial" w:cs="Arial" w:eastAsia="Arial" w:hAnsi="Arial"/>
          <w:sz w:val="18"/>
          <w:szCs w:val="18"/>
          <w:color w:val="auto"/>
        </w:rPr>
      </w:pPr>
      <w:r>
        <w:rPr>
          <w:rFonts w:ascii="Arial" w:cs="Arial" w:eastAsia="Arial" w:hAnsi="Arial"/>
          <w:sz w:val="16"/>
          <w:szCs w:val="16"/>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1300"/>
        <w:spacing w:after="0" w:line="272" w:lineRule="auto"/>
        <w:rPr>
          <w:sz w:val="20"/>
          <w:szCs w:val="20"/>
          <w:color w:val="auto"/>
        </w:rPr>
      </w:pPr>
      <w:r>
        <w:rPr>
          <w:rFonts w:ascii="Arial" w:cs="Arial" w:eastAsia="Arial" w:hAnsi="Arial"/>
          <w:sz w:val="17"/>
          <w:szCs w:val="17"/>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37" w:lineRule="exact"/>
        <w:rPr>
          <w:sz w:val="20"/>
          <w:szCs w:val="20"/>
          <w:color w:val="auto"/>
        </w:rPr>
      </w:pPr>
    </w:p>
    <w:p>
      <w:pPr>
        <w:ind w:left="1300" w:right="80"/>
        <w:spacing w:after="0" w:line="259" w:lineRule="auto"/>
        <w:rPr>
          <w:sz w:val="20"/>
          <w:szCs w:val="20"/>
          <w:color w:val="auto"/>
        </w:rPr>
      </w:pPr>
      <w:r>
        <w:rPr>
          <w:rFonts w:ascii="Arial" w:cs="Arial" w:eastAsia="Arial" w:hAnsi="Arial"/>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pacing w:after="0" w:line="160"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Revenue from additional research and development services ordered by Chiesi is recognized over time using the cost-to-cost method.</w:t>
      </w:r>
    </w:p>
    <w:p>
      <w:pPr>
        <w:spacing w:after="0" w:line="13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from R&amp;D services</w:t>
      </w:r>
    </w:p>
    <w:p>
      <w:pPr>
        <w:spacing w:after="0" w:line="184" w:lineRule="exact"/>
        <w:rPr>
          <w:rFonts w:ascii="Arial" w:cs="Arial" w:eastAsia="Arial" w:hAnsi="Arial"/>
          <w:sz w:val="18"/>
          <w:szCs w:val="18"/>
          <w:color w:val="auto"/>
        </w:rPr>
      </w:pPr>
    </w:p>
    <w:p>
      <w:pPr>
        <w:ind w:left="1300" w:right="200"/>
        <w:spacing w:after="0" w:line="308" w:lineRule="auto"/>
        <w:rPr>
          <w:rFonts w:ascii="Arial" w:cs="Arial" w:eastAsia="Arial" w:hAnsi="Arial"/>
          <w:sz w:val="18"/>
          <w:szCs w:val="18"/>
          <w:color w:val="auto"/>
        </w:rPr>
      </w:pPr>
      <w:r>
        <w:rPr>
          <w:rFonts w:ascii="Arial" w:cs="Arial" w:eastAsia="Arial" w:hAnsi="Arial"/>
          <w:sz w:val="17"/>
          <w:szCs w:val="17"/>
          <w:color w:val="auto"/>
        </w:rPr>
        <w:t>Revenue from the research and development services is recognized over time using the cost-to-cost method since the customer benefits from the research and development services as the entity performs the service.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at June 30, 2021 and December 31, 2020 consisted of the following:</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Total inventory</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89"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5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accounting standard establishes a fair value hierarchy that prioritizes observable and unobservable inputs used to measure fair value into three broad levels, which are described below:</w:t>
      </w:r>
    </w:p>
    <w:p>
      <w:pPr>
        <w:spacing w:after="0" w:line="13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30"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8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fair value of the financial instruments included in the working capital of the Company is usually identical or close to their carrying value.</w:t>
      </w:r>
    </w:p>
    <w:p>
      <w:pPr>
        <w:sectPr>
          <w:pgSz w:w="11900" w:h="16838" w:orient="portrait"/>
          <w:cols w:equalWidth="0" w:num="1">
            <w:col w:w="9920"/>
          </w:cols>
          <w:pgMar w:left="980" w:top="665" w:right="99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60" w:right="194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As of June 30, 2021, the carrying amounts of short-term deposits approximate their fair values due to the stated interest rates, which approximate market rates.</w:t>
      </w:r>
    </w:p>
    <w:p>
      <w:pPr>
        <w:spacing w:after="0" w:line="13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fair value of the $57.9 million aggregate principal amount of the Company’s outstanding 2021 Notes as of June 30, 2021 is approximately $57.6 million based on a Level 3 measurement.</w:t>
      </w:r>
    </w:p>
    <w:p>
      <w:pPr>
        <w:spacing w:after="0" w:line="170" w:lineRule="exact"/>
        <w:rPr>
          <w:sz w:val="20"/>
          <w:szCs w:val="20"/>
          <w:color w:val="auto"/>
        </w:rPr>
      </w:pPr>
    </w:p>
    <w:p>
      <w:pPr>
        <w:jc w:val="both"/>
        <w:ind w:left="640" w:right="440"/>
        <w:spacing w:after="0" w:line="263" w:lineRule="auto"/>
        <w:rPr>
          <w:sz w:val="20"/>
          <w:szCs w:val="20"/>
          <w:color w:val="auto"/>
        </w:rPr>
      </w:pPr>
      <w:r>
        <w:rPr>
          <w:rFonts w:ascii="Arial" w:cs="Arial" w:eastAsia="Arial" w:hAnsi="Arial"/>
          <w:sz w:val="18"/>
          <w:szCs w:val="18"/>
          <w:color w:val="auto"/>
        </w:rPr>
        <w:t>The Company prepared a valuation of the fair value of the Company’s outstanding 2021 Notes (a Level 3 valuation) as of June 30, 2021. The value of these notes was estimated by implementing the binomial model. The liability component was valued based on the Income Approach. The following parameters were used:</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9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2021 Notes</w:t>
            </w:r>
          </w:p>
        </w:tc>
        <w:tc>
          <w:tcPr>
            <w:tcW w:w="220" w:type="dxa"/>
            <w:vAlign w:val="bottom"/>
            <w:tcBorders>
              <w:bottom w:val="single" w:sz="8" w:color="CCEEFF"/>
            </w:tcBorders>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 price (USD)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Expected term</w:t>
            </w:r>
          </w:p>
        </w:tc>
        <w:tc>
          <w:tcPr>
            <w:tcW w:w="76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77.42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Yield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disaggregation of revenues: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2060" w:type="dxa"/>
            <w:vAlign w:val="bottom"/>
            <w:gridSpan w:val="6"/>
          </w:tcPr>
          <w:p>
            <w:pPr>
              <w:ind w:left="160"/>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Brazil</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988</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988</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Chiesi</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 from selling goods</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license and R&amp;D services</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7,319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9,993</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23,934</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right="20"/>
        <w:spacing w:after="0" w:line="311" w:lineRule="auto"/>
        <w:rPr>
          <w:sz w:val="20"/>
          <w:szCs w:val="20"/>
          <w:color w:val="auto"/>
        </w:rPr>
      </w:pPr>
      <w:r>
        <w:rPr>
          <w:rFonts w:ascii="Arial" w:cs="Arial" w:eastAsia="Arial" w:hAnsi="Arial"/>
          <w:sz w:val="16"/>
          <w:szCs w:val="16"/>
          <w:color w:val="auto"/>
        </w:rPr>
        <w:t>During the six months ended June 30, 2020, and following the CRL received from the FDA, the Company changed its estimate for total costs expected to be incurred until satisfying the performance obligation under the Chiesi Agreements. This resulted in a reduction to accumulated revenues recognized in respect of this performance obligation in the amount of $4.1 million.</w:t>
      </w:r>
    </w:p>
    <w:p>
      <w:pPr>
        <w:spacing w:after="0" w:line="108" w:lineRule="exact"/>
        <w:rPr>
          <w:sz w:val="20"/>
          <w:szCs w:val="20"/>
          <w:color w:val="auto"/>
        </w:rPr>
      </w:pPr>
    </w:p>
    <w:p>
      <w:pPr>
        <w:ind w:left="660" w:right="180"/>
        <w:spacing w:after="0" w:line="279" w:lineRule="auto"/>
        <w:rPr>
          <w:sz w:val="20"/>
          <w:szCs w:val="20"/>
          <w:color w:val="auto"/>
        </w:rPr>
      </w:pPr>
      <w:r>
        <w:rPr>
          <w:rFonts w:ascii="Arial" w:cs="Arial" w:eastAsia="Arial" w:hAnsi="Arial"/>
          <w:sz w:val="17"/>
          <w:szCs w:val="17"/>
          <w:color w:val="auto"/>
        </w:rPr>
        <w:t>During the six months ended June 30, 2021 and 2020, the Company recognized revenues of approximately $0.9 million and $1.2 million, respectively, and during each of the three months ended June 30, 2021 and 2020, the Company recognized revenues of approximately $0.5 million all related to a $10.0 million future milestone payment, which was accounted for as a variable consideration. The $10.0 million payment was received in June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 TRANSACTIONS</w:t>
      </w:r>
    </w:p>
    <w:p>
      <w:pPr>
        <w:spacing w:after="0" w:line="202" w:lineRule="exact"/>
        <w:rPr>
          <w:sz w:val="20"/>
          <w:szCs w:val="20"/>
          <w:color w:val="auto"/>
        </w:rPr>
      </w:pPr>
    </w:p>
    <w:p>
      <w:pPr>
        <w:ind w:left="1000" w:right="380" w:hanging="317"/>
        <w:spacing w:after="0" w:line="31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7, 2021, the Company issued 173,816 shares of Common Stock in connection with the cashless exercise of a warrant to purchase 2,816,901 shares of Common Stock issued on March 18, 2020, as part of the Company’s private placement of Common Stock and warrants. The Company did not generate any proceeds from the cashless exercise.</w:t>
      </w:r>
    </w:p>
    <w:p>
      <w:pPr>
        <w:spacing w:after="0" w:line="148" w:lineRule="exact"/>
        <w:rPr>
          <w:rFonts w:ascii="Arial" w:cs="Arial" w:eastAsia="Arial" w:hAnsi="Arial"/>
          <w:sz w:val="16"/>
          <w:szCs w:val="16"/>
          <w:color w:val="auto"/>
        </w:rPr>
      </w:pPr>
    </w:p>
    <w:p>
      <w:pPr>
        <w:ind w:left="1000" w:hanging="317"/>
        <w:spacing w:after="0" w:line="297"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July 2, 2021, the Company entered into the Sales Agreement with the Agent. Pursuant to the terms of the Sales Agreement, the Company may sell from time to time through the Agent ATM Shares having an aggregate offering price of up to $20.0 million. The ATM Shares will be issued pursuant to the Company’s shelf registration statement on Form S-3. The Company intends to use the net proceeds from the offering, after deducting the Agent’s commissions and the Company’s offering expenses, for general corporate purposes. Upon execution of the Sales Agreement, the Company terminated the ATM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it had entered into on October 1, 2020 with BofA Securities.</w:t>
      </w:r>
    </w:p>
    <w:p>
      <w:pPr>
        <w:sectPr>
          <w:pgSz w:w="11900" w:h="16838" w:orient="portrait"/>
          <w:cols w:equalWidth="0" w:num="1">
            <w:col w:w="9840"/>
          </w:cols>
          <w:pgMar w:left="980" w:top="665" w:right="107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the Company has outstanding $57.9 million aggregate principal amount of 2021 Notes.</w:t>
      </w:r>
    </w:p>
    <w:p>
      <w:pPr>
        <w:spacing w:after="0" w:line="185" w:lineRule="exact"/>
        <w:rPr>
          <w:sz w:val="20"/>
          <w:szCs w:val="20"/>
          <w:color w:val="auto"/>
        </w:rPr>
      </w:pPr>
    </w:p>
    <w:p>
      <w:pPr>
        <w:ind w:left="660" w:right="60"/>
        <w:spacing w:after="0" w:line="290" w:lineRule="auto"/>
        <w:rPr>
          <w:sz w:val="20"/>
          <w:szCs w:val="20"/>
          <w:color w:val="auto"/>
        </w:rPr>
      </w:pPr>
      <w:r>
        <w:rPr>
          <w:rFonts w:ascii="Arial" w:cs="Arial" w:eastAsia="Arial" w:hAnsi="Arial"/>
          <w:sz w:val="16"/>
          <w:szCs w:val="16"/>
          <w:color w:val="auto"/>
        </w:rPr>
        <w:t>On August 12, 2021, the Company entered into definitive agreements relating to private exchanges (the “Exchanges”) of an aggregate of $54.65 million principal amount of the Company’s outstanding 2021 Notes for an aggregate of $28.75 million principal amount of 7.50% Senior Secured Convertible Notes due 2024 (the “2024 Notes”), $25.90 million in cash, and accrued and unpaid interest through the issue date. The Exchanges are expected to close as soon as practicable, subject to satisfaction of certain closing conditions. The initial conversion rate for the 2024 Notes is 563.2216 shares of Common Stock for each $1,000 principal amount of 2024 Notes (equivalent to an initial conversion price of approximately $1.7755 per share of the Common Stock), subject to adjustment in some events, which is based on a 32.5% premium to the closing price of the Common Stock on the NYSE American at the close of trading on August 13, 2021, the exchange date.</w:t>
      </w:r>
    </w:p>
    <w:p>
      <w:pPr>
        <w:spacing w:after="0" w:line="138"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The 2024 Notes will be issued pursuant to an indenture to be entered into between the Company, the guarantors party thereto, The Bank of New York Mellon Trust Company, N.A., as trustee and Wilmington Savings Fund Society, FSB, as collateral agent. Interest on the Notes will be paid semi-annually at a rate of 7.50% per annum. The Notes will mature three years after the issuance thereof, unless earlier purchased, converted, exchanged or redeemed and will be guaranteed by the Company’s subsidiaries. The 2024 Notes will be secured by perfected liens on all of the assets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RISK FACTORS SUMMARY</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2020.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under “Risk Factors” in our Quarterly Report on Form 10-Q for the quarter ended March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18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the timing and progress of the preparation of an updated BLA addressing the CRL for PRX-102;</w:t>
      </w:r>
    </w:p>
    <w:p>
      <w:pPr>
        <w:spacing w:after="0" w:line="198" w:lineRule="exact"/>
        <w:rPr>
          <w:rFonts w:ascii="Arial" w:cs="Arial" w:eastAsia="Arial" w:hAnsi="Arial"/>
          <w:sz w:val="18"/>
          <w:szCs w:val="18"/>
          <w:color w:val="auto"/>
        </w:rPr>
      </w:pPr>
    </w:p>
    <w:p>
      <w:pPr>
        <w:ind w:right="60" w:firstLine="656"/>
        <w:spacing w:after="0" w:line="277"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the timing, progress and likelihood of final approval by the FDA of a resubmitted BLA for PRX-102 and, if approved, whether PRX-102 will be commercially successful;</w:t>
      </w:r>
    </w:p>
    <w:p>
      <w:pPr>
        <w:spacing w:after="0" w:line="129" w:lineRule="exact"/>
        <w:rPr>
          <w:rFonts w:ascii="Arial" w:cs="Arial" w:eastAsia="Arial" w:hAnsi="Arial"/>
          <w:sz w:val="18"/>
          <w:szCs w:val="18"/>
          <w:color w:val="auto"/>
        </w:rPr>
      </w:pPr>
    </w:p>
    <w:p>
      <w:pPr>
        <w:ind w:right="140" w:firstLine="656"/>
        <w:spacing w:after="0" w:line="277"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the FDA, the European Medicines Agency, or EMA, or other foreign regulatory authorities may not accept or approve a marketing application we file for PRX-102 or any of our other product candidates;</w:t>
      </w:r>
    </w:p>
    <w:p>
      <w:pPr>
        <w:spacing w:after="0" w:line="129" w:lineRule="exact"/>
        <w:rPr>
          <w:rFonts w:ascii="Arial" w:cs="Arial" w:eastAsia="Arial" w:hAnsi="Arial"/>
          <w:sz w:val="18"/>
          <w:szCs w:val="18"/>
          <w:color w:val="auto"/>
        </w:rPr>
      </w:pPr>
    </w:p>
    <w:p>
      <w:pPr>
        <w:ind w:right="160" w:firstLine="656"/>
        <w:spacing w:after="0" w:line="257"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or unwillingness of medical investigators and institutional review boards to follow our clinical protocols; inability to monitor patients adequately during or after treatment; and or lack of sufficient funding to finance our clinical trials;</w:t>
      </w:r>
    </w:p>
    <w:p>
      <w:pPr>
        <w:spacing w:after="0" w:line="160" w:lineRule="exact"/>
        <w:rPr>
          <w:rFonts w:ascii="Arial" w:cs="Arial" w:eastAsia="Arial" w:hAnsi="Arial"/>
          <w:sz w:val="18"/>
          <w:szCs w:val="18"/>
          <w:color w:val="auto"/>
        </w:rPr>
      </w:pPr>
    </w:p>
    <w:p>
      <w:pPr>
        <w:ind w:right="100" w:firstLine="656"/>
        <w:spacing w:after="0" w:line="308" w:lineRule="auto"/>
        <w:tabs>
          <w:tab w:leader="none" w:pos="97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risk that the results of our clinical trials will not support the applicable claims of safety or efficacy and that our product candidates will not have the desired effects or will have undesirable side effects or other unexpected characteristics;</w:t>
      </w:r>
    </w:p>
    <w:p>
      <w:pPr>
        <w:spacing w:after="0" w:line="105" w:lineRule="exact"/>
        <w:rPr>
          <w:rFonts w:ascii="Arial" w:cs="Arial" w:eastAsia="Arial" w:hAnsi="Arial"/>
          <w:sz w:val="17"/>
          <w:szCs w:val="17"/>
          <w:color w:val="auto"/>
        </w:rPr>
      </w:pPr>
    </w:p>
    <w:p>
      <w:pPr>
        <w:ind w:right="160" w:firstLine="656"/>
        <w:spacing w:after="0" w:line="263"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ability to make required payments under our outstanding convertible notes, including the 2024 Notes, or any other indebtedness as they come due and our ability to obtain additional financing and raise capital as necessary should the regulatory approval process become more extended;</w:t>
      </w:r>
    </w:p>
    <w:p>
      <w:pPr>
        <w:spacing w:after="0" w:line="143" w:lineRule="exact"/>
        <w:rPr>
          <w:rFonts w:ascii="Arial" w:cs="Arial" w:eastAsia="Arial" w:hAnsi="Arial"/>
          <w:sz w:val="18"/>
          <w:szCs w:val="18"/>
          <w:color w:val="auto"/>
        </w:rPr>
      </w:pPr>
    </w:p>
    <w:p>
      <w:pPr>
        <w:ind w:right="240" w:firstLine="656"/>
        <w:spacing w:after="0" w:line="277"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the COVID-19 outbreak and variants, which may adversely impact our business, preclinical studies and clinical trials;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evaluation and pursuit of strategic alternatives;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ability to manage our relationship with our collaborators, distributors or partners;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changes to interim, topline or preliminary data from clinical trials that we announce or publish;</w:t>
      </w:r>
    </w:p>
    <w:p>
      <w:pPr>
        <w:spacing w:after="0" w:line="198" w:lineRule="exact"/>
        <w:rPr>
          <w:rFonts w:ascii="Arial" w:cs="Arial" w:eastAsia="Arial" w:hAnsi="Arial"/>
          <w:sz w:val="18"/>
          <w:szCs w:val="18"/>
          <w:color w:val="auto"/>
        </w:rPr>
      </w:pPr>
    </w:p>
    <w:p>
      <w:pPr>
        <w:ind w:right="460" w:firstLine="656"/>
        <w:spacing w:after="0" w:line="277"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of significant lawsuits, including stockholder litigation, which is common in the life sciences sector;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performance by third-party providers of services and supplies;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development of competing therapies and/or technologies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our supply of drug product to Pfizer;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risks related to our expectations with respect to the potential commercial value of our product and product candidates;</w:t>
      </w:r>
    </w:p>
    <w:p>
      <w:pPr>
        <w:spacing w:after="0" w:line="209" w:lineRule="exact"/>
        <w:rPr>
          <w:rFonts w:ascii="Arial" w:cs="Arial" w:eastAsia="Arial" w:hAnsi="Arial"/>
          <w:sz w:val="17"/>
          <w:szCs w:val="17"/>
          <w:color w:val="auto"/>
        </w:rPr>
      </w:pPr>
    </w:p>
    <w:p>
      <w:pPr>
        <w:ind w:right="180" w:firstLine="656"/>
        <w:spacing w:after="0" w:line="263"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relating to the compliance by Fiocruz, an arm of the Brazilian MoH, with its purchase obligations under our supply and technology transfer agreement, which may have a material adverse effect on us and may also result in the termination of such agreement;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product liability risks, and risks of securing adequate levels of related insurance coverage;</w:t>
      </w:r>
    </w:p>
    <w:p>
      <w:pPr>
        <w:spacing w:after="0" w:line="184" w:lineRule="exact"/>
        <w:rPr>
          <w:rFonts w:ascii="Arial" w:cs="Arial" w:eastAsia="Arial" w:hAnsi="Arial"/>
          <w:sz w:val="18"/>
          <w:szCs w:val="18"/>
          <w:color w:val="auto"/>
        </w:rPr>
      </w:pPr>
    </w:p>
    <w:p>
      <w:pPr>
        <w:ind w:right="360" w:firstLine="656"/>
        <w:spacing w:after="0" w:line="342" w:lineRule="auto"/>
        <w:tabs>
          <w:tab w:leader="none" w:pos="97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96"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relating to changes in healthcare laws, rules and regulations in the United States or elsewhere; and</w:t>
      </w:r>
    </w:p>
    <w:p>
      <w:pPr>
        <w:spacing w:after="0" w:line="184" w:lineRule="exact"/>
        <w:rPr>
          <w:rFonts w:ascii="Arial" w:cs="Arial" w:eastAsia="Arial" w:hAnsi="Arial"/>
          <w:sz w:val="18"/>
          <w:szCs w:val="18"/>
          <w:color w:val="auto"/>
        </w:rPr>
      </w:pPr>
    </w:p>
    <w:p>
      <w:pPr>
        <w:ind w:firstLine="656"/>
        <w:spacing w:after="0" w:line="263"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possible disruption of our operations due to terrorist activities and armed conflict, including as a result of the disruption of the operations of regulatory authorities, our subsidiaries, our manufacturing facilities and our customers, suppliers, distributors, collaborative partners, licensees and clinical trial sites.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Company Developments</w:t>
      </w:r>
    </w:p>
    <w:p>
      <w:pPr>
        <w:spacing w:after="0" w:line="202" w:lineRule="exact"/>
        <w:rPr>
          <w:sz w:val="20"/>
          <w:szCs w:val="20"/>
          <w:color w:val="auto"/>
        </w:rPr>
      </w:pPr>
    </w:p>
    <w:p>
      <w:pPr>
        <w:ind w:right="320" w:firstLine="656"/>
        <w:spacing w:after="0" w:line="277" w:lineRule="auto"/>
        <w:tabs>
          <w:tab w:leader="none" w:pos="9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2, 2021, we announced that a Type A Meeting request has been submitted to the FDA to discuss the CRL. The FDA has scheduled the Type A meeting for September 9, 2021.</w:t>
      </w:r>
    </w:p>
    <w:p>
      <w:pPr>
        <w:spacing w:after="0" w:line="129" w:lineRule="exact"/>
        <w:rPr>
          <w:rFonts w:ascii="Arial" w:cs="Arial" w:eastAsia="Arial" w:hAnsi="Arial"/>
          <w:sz w:val="18"/>
          <w:szCs w:val="18"/>
          <w:color w:val="auto"/>
        </w:rPr>
      </w:pPr>
    </w:p>
    <w:p>
      <w:pPr>
        <w:jc w:val="both"/>
        <w:ind w:right="200" w:firstLine="656"/>
        <w:spacing w:after="0" w:line="229" w:lineRule="auto"/>
        <w:tabs>
          <w:tab w:leader="none" w:pos="9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2, 2021, we entered into the Sales Agreement with the Agent. Pursuant to the terms of the Sales Agreement, the Company may sell from time to time through the Agent ATM Shares having an aggregate offering price of up to $20.0 million. Upon execution of the Sales Agreement, the Company terminated the ATM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it had entered into on October 1, 2020 with BofA Securities.</w:t>
      </w:r>
    </w:p>
    <w:p>
      <w:pPr>
        <w:spacing w:after="0" w:line="161" w:lineRule="exact"/>
        <w:rPr>
          <w:rFonts w:ascii="Arial" w:cs="Arial" w:eastAsia="Arial" w:hAnsi="Arial"/>
          <w:sz w:val="18"/>
          <w:szCs w:val="18"/>
          <w:color w:val="auto"/>
        </w:rPr>
      </w:pPr>
    </w:p>
    <w:p>
      <w:pPr>
        <w:ind w:right="220" w:firstLine="656"/>
        <w:spacing w:after="0" w:line="254" w:lineRule="auto"/>
        <w:tabs>
          <w:tab w:leader="none" w:pos="9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On June 2, 2021, we, together Chiesi, announced topline results from an interim analysis of the phase III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clinical trial. The initial top-line results show that the lower boundary of the confidence interval for the mean difference between the two treatments (PRX-102 and Fabrazyme) was below the non-inferiority margin pre-specified for this interim analysis in the ITT analysis set and above such limit in the PP analysis set. At the time of this analysis, two patients discontinued participation due to treatment emergent adverse events (TEAEs). Of these two patients, one discontinued participation due to a related adverse event. No deaths were registered. Overall, safety data appears favorable and consistent with what was observed in previous clinical studies with PRX-102.</w:t>
      </w:r>
    </w:p>
    <w:p>
      <w:pPr>
        <w:spacing w:after="0" w:line="167" w:lineRule="exact"/>
        <w:rPr>
          <w:rFonts w:ascii="Arial" w:cs="Arial" w:eastAsia="Arial" w:hAnsi="Arial"/>
          <w:sz w:val="18"/>
          <w:szCs w:val="18"/>
          <w:color w:val="auto"/>
        </w:rPr>
      </w:pPr>
    </w:p>
    <w:p>
      <w:pPr>
        <w:ind w:right="120" w:firstLine="656"/>
        <w:spacing w:after="0" w:line="257" w:lineRule="auto"/>
        <w:tabs>
          <w:tab w:leader="none" w:pos="9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May 13, 2021, we signed a binding term sheet with Chiesi pursuant to which we amended the Chiesi Agreements in order to provide us with near-term capital. Chiesi agreed to make a $10.0 million milestone payment to us before the end of the second quarter in exchange for a $25.0 million reduction in a longer term regulatory milestone payment in the Chiesi EX-US Agreement. All other regulatory and commercial milestone payments remain unchanged. We also agreed to negotiate certain manufacturing related matters. We received the payment in June 2021.</w:t>
      </w:r>
    </w:p>
    <w:p>
      <w:pPr>
        <w:spacing w:after="0" w:line="14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April 28, 2021, we, together with Chiesi, announced the receipt from the FDA of a CRL in response to the PRX-102</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BLA.</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continue to actively advance all our clinical programs. We are in close contact with our principal investigators and clinical sites and our clinical research organizations, which are primarily located in the United States and Europe, and to date, our clinical trials have not been materially adversely affected by COVID-19. In light of recent developments relating to the COVID-19 pandemic, the focus of healthcare providers and hospitals on fighting the virus, and consistent with the FDA’s updated industry guidance for conducting clinical trials issued on March 18, 2020, we and our contract research organizations have made certain adjustments to the operation of our clinical trials in an effort to ensure the monitoring and safety of patients and minimize risk to trial integrity during the pandemic and generally, and we may need to make further adjustments in the future.</w:t>
      </w:r>
    </w:p>
    <w:p>
      <w:pPr>
        <w:spacing w:after="0" w:line="15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response to the local spread of COVID-19 at the end of March 2020, and with local directives issued in response thereof, we restructured the work day within our facilities to consist of two shifts thereby reducing the number of employees present in the facilities at any time and facilitating their ability to practice social distancing. Employees that were able to work from home were instructed to do so. Such efforts resulted in minor delays in the performance of administrative activities outside of the clinical programs.</w:t>
      </w:r>
    </w:p>
    <w:p>
      <w:pPr>
        <w:sectPr>
          <w:pgSz w:w="11900" w:h="16838" w:orient="portrait"/>
          <w:cols w:equalWidth="0" w:num="1">
            <w:col w:w="9840"/>
          </w:cols>
          <w:pgMar w:left="980" w:top="665" w:right="1079" w:bottom="1440" w:gutter="0" w:footer="0" w:header="0"/>
        </w:sectPr>
      </w:pP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June 2020, after local directives allowed more flexibility with respect to social interactions, we returned to a regular work day. Since then, as the pandemic’s effect locally continued to change, and local Israeli directives continued to evolve to address the changing effects, we returned temporarily to the two-shift work day schedule and to again encourage employees that are able to work from home to do so for parts of September 2020. Our facility currently operates on a regular schedule with adherence to local guidelines.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will continue to evaluate the impact of the COVID-19 pandemic and its variants on our business as we learn more and the impact of COVID-19 on our industry becomes more clear. We intend to continuously assess the impact of COVID-19 on our trials, expected timelines and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 Our Proprietary Protein Expression System</w:t>
      </w:r>
    </w:p>
    <w:p>
      <w:pPr>
        <w:spacing w:after="0" w:line="189" w:lineRule="exact"/>
        <w:rPr>
          <w:sz w:val="20"/>
          <w:szCs w:val="20"/>
          <w:color w:val="auto"/>
        </w:rPr>
      </w:pPr>
    </w:p>
    <w:p>
      <w:pPr>
        <w:ind w:right="60" w:firstLine="656"/>
        <w:spacing w:after="0" w:line="257"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47" w:lineRule="exact"/>
        <w:rPr>
          <w:rFonts w:ascii="Arial" w:cs="Arial" w:eastAsia="Arial" w:hAnsi="Arial"/>
          <w:sz w:val="18"/>
          <w:szCs w:val="18"/>
          <w:color w:val="auto"/>
        </w:rPr>
      </w:pPr>
    </w:p>
    <w:p>
      <w:pPr>
        <w:ind w:right="80" w:firstLine="656"/>
        <w:spacing w:after="0" w:line="259"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59" w:lineRule="exact"/>
        <w:rPr>
          <w:rFonts w:ascii="Arial" w:cs="Arial" w:eastAsia="Arial" w:hAnsi="Arial"/>
          <w:sz w:val="18"/>
          <w:szCs w:val="18"/>
          <w:color w:val="auto"/>
        </w:rPr>
      </w:pPr>
    </w:p>
    <w:p>
      <w:pPr>
        <w:jc w:val="both"/>
        <w:ind w:right="260" w:firstLine="656"/>
        <w:spacing w:after="0" w:line="259"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the first and only company to gain FDA approval of a protein produced through plant cell-based expression.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172200" cy="237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Plant Cell in Suspension Expression System for Therapeutic Proteins Development and Industrial Production: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6172200" cy="2665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172200" cy="1885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Pegunigalsidase Alfa (PRX-102) for the Treatment of Fabry Disease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PRX-102 is our lead product candidate and we expect it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α-galactosidase-A resulting in the progressive accumulation of abnormal deposits of a fatty substance called globotriaosylceramide, or Gb</w:t>
      </w:r>
      <w:r>
        <w:rPr>
          <w:rFonts w:ascii="Arial" w:cs="Arial" w:eastAsia="Arial" w:hAnsi="Arial"/>
          <w:sz w:val="25"/>
          <w:szCs w:val="25"/>
          <w:color w:val="auto"/>
          <w:vertAlign w:val="subscript"/>
        </w:rPr>
        <w:t>3</w:t>
      </w:r>
      <w:r>
        <w:rPr>
          <w:rFonts w:ascii="Arial" w:cs="Arial" w:eastAsia="Arial" w:hAnsi="Arial"/>
          <w:sz w:val="17"/>
          <w:szCs w:val="17"/>
          <w:color w:val="auto"/>
        </w:rPr>
        <w:t>, in blood vessel walls throughout their body. The abnormal storage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increases with time and, as a result,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accumulates, primarily in the blood and in the blood vessel walls. The accumulation leads to a narrowing of the blood vessels, which in turn leads to decreased blood flow and tissue nourishment. The ultimate consequences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deposition range from episodes of pain and impaired peripheral sensation to end-organ failure, particularly of the kidneys, but also of the heart and the cerebrovascular system. Fabry disease occurs in one person per 40,000 to 60,000 males. The global market for Fabry disease is forecasted to be approximately $1.9 billion in 2021 (Global Data) and to continue to grow at a CAGR of approximately 9.5% (Global Data).</w:t>
      </w:r>
    </w:p>
    <w:p>
      <w:pPr>
        <w:spacing w:after="0" w:line="16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 BLA for PRX-102 for the treatment of adult patients with Fabry disease was submitted to the FDA on May 27, 2020 under the FDA’s Accelerated Approval pathway, which was subsequently accepted by the FDA and granted Priority Review designation. The BLA submission includes a comprehensive set of preclinical, clinical and manufacturing data compiled from our completed phase I/II</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clinical trial of PRX-102, including the related extension study succeeding our phase I/II clinical trial, interim clinical data from our phase III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switch-over study and safety data from our on-going clinical studies of PRX-102 in patients receiving 1 mg/kg every other week.</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discussed above, on April 28, 2021, we, together with Chiesi, announced the receipt of a CRL from the FDA regarding the BLA. The CRL did not report any concerns relating to the potential safety or efficacy of PRX-102 in the submitted data package. In the CRL, the FDA noted that an inspection of Protalix’s manufacturing facility in Carmiel, Israel, including a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FFDCA in lieu of a pre-licensing inspection. In the CRL, the FDA stated that it will communicate remaining issues to the facility in order to seek prompt resolution of any pending items.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the foregoing, in the CRL, the FDA noted that Fabrazyme, a therapy used to treat Fabry patients, was recently converted to full approval and is now an “available therapy,” which must be addressed in the context of any potential resubmission of a BLA for PRX-</w:t>
      </w:r>
    </w:p>
    <w:p>
      <w:pPr>
        <w:ind w:right="160" w:firstLine="8"/>
        <w:spacing w:after="0" w:line="290" w:lineRule="auto"/>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intend to work collaboratively with the agency to identify the most expeditious pathway to approval, and are confident that we will be able to work with the FDA to resolve these issues and provide a new, alternative drug to Fabry patients.</w:t>
      </w:r>
    </w:p>
    <w:p>
      <w:pPr>
        <w:spacing w:after="0" w:line="121" w:lineRule="exact"/>
        <w:rPr>
          <w:sz w:val="20"/>
          <w:szCs w:val="20"/>
          <w:color w:val="auto"/>
        </w:rPr>
      </w:pPr>
    </w:p>
    <w:p>
      <w:pPr>
        <w:jc w:val="both"/>
        <w:ind w:right="640"/>
        <w:spacing w:after="0" w:line="311" w:lineRule="auto"/>
        <w:rPr>
          <w:sz w:val="20"/>
          <w:szCs w:val="20"/>
          <w:color w:val="auto"/>
        </w:rPr>
      </w:pPr>
      <w:r>
        <w:rPr>
          <w:rFonts w:ascii="Arial" w:cs="Arial" w:eastAsia="Arial" w:hAnsi="Arial"/>
          <w:sz w:val="16"/>
          <w:szCs w:val="16"/>
          <w:color w:val="auto"/>
        </w:rPr>
        <w:t>On August 2, 2021, we announced that a Type A Meeting request has been submitted to the FDA to discuss the CRL. The FDA has scheduled the Type A meeting for September 9, 2021; however, we cannot anticipate the additional steps that may be required in connection with any potential resubmission. We intend to provide further updates on next steps after the meeting.</w:t>
      </w:r>
    </w:p>
    <w:p>
      <w:pPr>
        <w:spacing w:after="0" w:line="1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 xml:space="preserve">Based on the interim analysis of the 12-month data generated from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which are described below, and in combination with previously reported positive data from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studies, Protalix and Chiesi intend to submit an MAA to the EMA for the review of PRX-102 for the proposed treatment of Fabry disease.</w:t>
      </w:r>
    </w:p>
    <w:p>
      <w:pPr>
        <w:spacing w:after="0" w:line="1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December 2017, the European Commission granted Orphan Drug Designation for PRX-102 for the treatment of Fabry disease. Orphan Drug Designation for PRX-102 qualifies Chiesi for access to a centralized marketing authorization procedure, including applications for inspections and for protocol assistance. If the orphan drug designation is maintained at the time PRX-102 is approved for marketing in the European Union, if at all, we expect that PRX-102 will benefit from 10 years of market exclusivity within the European Union. The market exclusivity will not have any effect on Fabry disease treatments already approved at that time.</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Trials and Design</w:t>
      </w:r>
    </w:p>
    <w:p>
      <w:pPr>
        <w:spacing w:after="0" w:line="19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Our phase III clinical program of PRX-102 for the treatment of Fabry disease includes three individual studies;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w:t>
      </w:r>
      <w:r>
        <w:rPr>
          <w:rFonts w:ascii="Arial" w:cs="Arial" w:eastAsia="Arial" w:hAnsi="Arial"/>
          <w:sz w:val="16"/>
          <w:szCs w:val="16"/>
          <w:i w:val="1"/>
          <w:iCs w:val="1"/>
          <w:color w:val="auto"/>
        </w:rPr>
        <w:t xml:space="preserve">BRIDGE </w:t>
      </w:r>
      <w:r>
        <w:rPr>
          <w:rFonts w:ascii="Arial" w:cs="Arial" w:eastAsia="Arial" w:hAnsi="Arial"/>
          <w:sz w:val="16"/>
          <w:szCs w:val="16"/>
          <w:color w:val="auto"/>
        </w:rPr>
        <w:t>study and the</w:t>
      </w:r>
      <w:r>
        <w:rPr>
          <w:rFonts w:ascii="Arial" w:cs="Arial" w:eastAsia="Arial" w:hAnsi="Arial"/>
          <w:sz w:val="16"/>
          <w:szCs w:val="16"/>
          <w:i w:val="1"/>
          <w:iCs w:val="1"/>
          <w:color w:val="auto"/>
        </w:rPr>
        <w:t xml:space="preserve"> BRIGHT </w:t>
      </w:r>
      <w:r>
        <w:rPr>
          <w:rFonts w:ascii="Arial" w:cs="Arial" w:eastAsia="Arial" w:hAnsi="Arial"/>
          <w:sz w:val="16"/>
          <w:szCs w:val="16"/>
          <w:color w:val="auto"/>
        </w:rPr>
        <w:t>study. Enrollment has been completed in all three studies. In 2015, we completed a phase I/II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trial of PRX-102. In the phase III clinical program, we are studying two alternative doses and regimens for PRX-102; 1 mg/kg every two weeks, with the potential for improved efficacy and safety offering a potential alternative to existing enzyme replacement therapies, and 2 mg/kg every four weeks, which has the potential to lower treatment burden versus existing treatments and potentially provide a better quality of life for a subset of Fabry patients. Final results from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were released in December 2020 and topline results from 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were released in February 2021. Interim one-year data from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was released in June 2021.</w:t>
      </w:r>
    </w:p>
    <w:p>
      <w:pPr>
        <w:spacing w:after="0" w:line="12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Patients that completed the phase I/II clinical trial were offered, and patients that complete the </w:t>
      </w:r>
      <w:r>
        <w:rPr>
          <w:rFonts w:ascii="Arial" w:cs="Arial" w:eastAsia="Arial" w:hAnsi="Arial"/>
          <w:sz w:val="18"/>
          <w:szCs w:val="18"/>
          <w:i w:val="1"/>
          <w:iCs w:val="1"/>
          <w:color w:val="auto"/>
        </w:rPr>
        <w:t>BALANCE, BRIDGE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studies are offered, the opportunity to continue PRX-102 treatment as part of a long-term extension study.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2020, we, together with Chiesi, announced an agreement with the FDA for the Initial Pediatric Study Plan (iPSP) for PRX-</w:t>
      </w:r>
    </w:p>
    <w:p>
      <w:pPr>
        <w:spacing w:after="0" w:line="46" w:lineRule="exact"/>
        <w:rPr>
          <w:sz w:val="20"/>
          <w:szCs w:val="20"/>
          <w:color w:val="auto"/>
        </w:rPr>
      </w:pPr>
    </w:p>
    <w:p>
      <w:pPr>
        <w:jc w:val="both"/>
        <w:ind w:right="220" w:firstLine="8"/>
        <w:spacing w:after="0" w:line="255"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BALANCE Study</w:t>
      </w:r>
    </w:p>
    <w:p>
      <w:pPr>
        <w:spacing w:after="0" w:line="18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is a 24-month, randomized, double blind, active control study of PRX-102 in Fabry patients with impaired renal function. We have completed enrollment of 78 patients in the trial, which is designed to evaluate the safety and efficacy of PRX-102</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compared to agalsidase beta (Fabrazyme) on renal function in Fabry patients with progressing kidney disease previously treated with Fabrazyme infused once every two weeks. Patients previously treated with Fabrazyme for approximately one year and on a stable dose for at least six months were screened and then randomized on a 2:1 ratio to 1 mg/kg of PRX-102 or 1 mg/kg of Fabrazyme. Randomization is being stratified by urinary protein to creatinine ratio (UPCR) of &lt; or ≥ 1 g/g by spot urine sample. The study was designed such that no more than 50% of the patients enrolled in the study would be female. Approximately 40% of the enrolled patients were female.</w:t>
      </w:r>
    </w:p>
    <w:p>
      <w:pPr>
        <w:spacing w:after="0" w:line="15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primary endpoint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is the comparison in the annualized rate of decline of eGFR slope between Fabrazyme and PRX-102. eGFR is considered a reliable and accepted test to measure the level of kidney function and stage of kidney disease. Additional parameters being evaluated include: cardiac assessment,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(a biomarker for monitoring Fabry patients during therapy), pain, quality of life, immunogenicity, Fabry clinical events and pharmacokinetic and other parameters. The study also evaluates the safety and tolerability of PRX-102.</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In June 2021, we, together with Chiesi, announced topline results from an interim analysis of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The primary endpoint of the interim analysis is the comparison of mean annualized changes (slope) of the eGFR</w:t>
      </w:r>
      <w:r>
        <w:rPr>
          <w:rFonts w:ascii="Arial" w:cs="Arial" w:eastAsia="Arial" w:hAnsi="Arial"/>
          <w:sz w:val="25"/>
          <w:szCs w:val="25"/>
          <w:color w:val="auto"/>
          <w:vertAlign w:val="subscript"/>
        </w:rPr>
        <w:t>(CKD-EPI)</w:t>
      </w:r>
      <w:r>
        <w:rPr>
          <w:rFonts w:ascii="Arial" w:cs="Arial" w:eastAsia="Arial" w:hAnsi="Arial"/>
          <w:sz w:val="17"/>
          <w:szCs w:val="17"/>
          <w:color w:val="auto"/>
        </w:rPr>
        <w:t xml:space="preserve"> after completion of at least 12 months of treatment between the two treatment arms (Fabrazyme and PRX-102). The interim efficacy analysis was conducted on two pre-defined analysis sets: Intention to Treat (ITT), consisting of all randomized patients who received at least one dose (77 patients), considered as the primary analysis for this interim review; and the Per Protocol (PP), consisting of all patients who completed at least 12 months of treatment with no major protocol violations (74 patients). The patient population (ITT analysis set) of the study is comprised of 47 males (61%) and 30 females (39%) with a mean age of 44.3 years.</w:t>
      </w:r>
    </w:p>
    <w:p>
      <w:pPr>
        <w:spacing w:after="0" w:line="1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initial top-line results show that the lower boundary of the confidence interval for the mean difference between the two treatments was below the non-inferiority margin pre-specified for this interim analysis in the ITT analysis set and above such limit in the PP analysis set. At the time of this analysis, two patients discontinued participation due to treatment emergent adverse events (TEAEs). Of these two patients, one discontinued participation due to a related adverse event. No deaths were registered. Overall, safety data appears favorable and consistent with what was observed in previous clinical studies with PRX-102. Unblinded final data is anticipated to be released in the second quarter of 2022 after all remaining patients have completed the 24-month treatment period.</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Based on the interim analysis of the 12-month data generated from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and in combination with previously reported positive data from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studies, Protalix and Chiesi intend to submit an MAA to the EMA for the review of PRX-102 for the proposed treatment of Fabry disease.</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Patients enrolled in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will continue to be treated for a total of 24 months, at which point the data will be analyzed to test for superiority.</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BRIDGE Study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was a 12-month open-label, single arm switch-over study evaluating the safety and efficacy of pegunigalsidase alfa,</w:t>
      </w:r>
    </w:p>
    <w:p>
      <w:pPr>
        <w:spacing w:after="0" w:line="46"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1 mg/kg infused every two weeks, in up to 22 Fabry patients. The trial, which is was completed in December 2019, enrolled patients then being treated with agalsidase alfa, marketed by Takeda Pharmaceutical Company Limited (acquired Shire Plc) as Replagal</w:t>
      </w:r>
      <w:r>
        <w:rPr>
          <w:rFonts w:ascii="Arial" w:cs="Arial" w:eastAsia="Arial" w:hAnsi="Arial"/>
          <w:sz w:val="26"/>
          <w:szCs w:val="26"/>
          <w:color w:val="auto"/>
          <w:vertAlign w:val="superscript"/>
        </w:rPr>
        <w:t>®</w:t>
      </w:r>
      <w:r>
        <w:rPr>
          <w:rFonts w:ascii="Arial" w:cs="Arial" w:eastAsia="Arial" w:hAnsi="Arial"/>
          <w:sz w:val="18"/>
          <w:szCs w:val="18"/>
          <w:color w:val="auto"/>
        </w:rPr>
        <w:t>, for at least two years and on a stable dose for at least six months. Patients were screened and evaluated over three months while continuing Replagal treatment. Following the screening period, each patient was enrolled and switched from Replagal treatment to receive intravenous (IV) infusions of PRX-102 1 mg/kg every two weeks for 12 months.</w:t>
      </w:r>
    </w:p>
    <w:p>
      <w:pPr>
        <w:spacing w:after="0" w:line="17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Final results of the data generated in the study showed substantial improvement in renal function as measured by mean annualized estimated Glomerular Filtration Rate, or eGFR, slope in both male and female patients who were switched from agalsidase alfa to PRX-102.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mL/min/1.73m</w:t>
      </w:r>
      <w:r>
        <w:rPr>
          <w:rFonts w:ascii="Arial" w:cs="Arial" w:eastAsia="Arial" w:hAnsi="Arial"/>
          <w:sz w:val="23"/>
          <w:szCs w:val="23"/>
          <w:color w:val="auto"/>
          <w:vertAlign w:val="superscript"/>
        </w:rPr>
        <w:t>2</w:t>
      </w:r>
      <w:r>
        <w:rPr>
          <w:rFonts w:ascii="Arial" w:cs="Arial" w:eastAsia="Arial" w:hAnsi="Arial"/>
          <w:sz w:val="16"/>
          <w:szCs w:val="16"/>
          <w:color w:val="auto"/>
        </w:rPr>
        <w:t>/year while on agalsidase alfa to -1.19 mL/min/1.73m</w:t>
      </w:r>
      <w:r>
        <w:rPr>
          <w:rFonts w:ascii="Arial" w:cs="Arial" w:eastAsia="Arial" w:hAnsi="Arial"/>
          <w:sz w:val="23"/>
          <w:szCs w:val="23"/>
          <w:color w:val="auto"/>
          <w:vertAlign w:val="superscript"/>
        </w:rPr>
        <w:t>2</w:t>
      </w:r>
      <w:r>
        <w:rPr>
          <w:rFonts w:ascii="Arial" w:cs="Arial" w:eastAsia="Arial" w:hAnsi="Arial"/>
          <w:sz w:val="16"/>
          <w:szCs w:val="16"/>
          <w:color w:val="auto"/>
        </w:rPr>
        <w:t>/year on PRX-102 in all patients. Male patients improved from -6.36 mL/min/1.73m</w:t>
      </w:r>
      <w:r>
        <w:rPr>
          <w:rFonts w:ascii="Arial" w:cs="Arial" w:eastAsia="Arial" w:hAnsi="Arial"/>
          <w:sz w:val="23"/>
          <w:szCs w:val="23"/>
          <w:color w:val="auto"/>
          <w:vertAlign w:val="superscript"/>
        </w:rPr>
        <w:t>2</w:t>
      </w:r>
      <w:r>
        <w:rPr>
          <w:rFonts w:ascii="Arial" w:cs="Arial" w:eastAsia="Arial" w:hAnsi="Arial"/>
          <w:sz w:val="16"/>
          <w:szCs w:val="16"/>
          <w:color w:val="auto"/>
        </w:rPr>
        <w:t>/year to -1.73 mL/min/1.73m</w:t>
      </w:r>
      <w:r>
        <w:rPr>
          <w:rFonts w:ascii="Arial" w:cs="Arial" w:eastAsia="Arial" w:hAnsi="Arial"/>
          <w:sz w:val="23"/>
          <w:szCs w:val="23"/>
          <w:color w:val="auto"/>
          <w:vertAlign w:val="superscript"/>
        </w:rPr>
        <w:t>2</w:t>
      </w:r>
      <w:r>
        <w:rPr>
          <w:rFonts w:ascii="Arial" w:cs="Arial" w:eastAsia="Arial" w:hAnsi="Arial"/>
          <w:sz w:val="16"/>
          <w:szCs w:val="16"/>
          <w:color w:val="auto"/>
        </w:rPr>
        <w:t>/year and female patients improved from -5.03 mL/min/1.73m</w:t>
      </w:r>
      <w:r>
        <w:rPr>
          <w:rFonts w:ascii="Arial" w:cs="Arial" w:eastAsia="Arial" w:hAnsi="Arial"/>
          <w:sz w:val="23"/>
          <w:szCs w:val="23"/>
          <w:color w:val="auto"/>
          <w:vertAlign w:val="superscript"/>
        </w:rPr>
        <w:t>2</w:t>
      </w:r>
      <w:r>
        <w:rPr>
          <w:rFonts w:ascii="Arial" w:cs="Arial" w:eastAsia="Arial" w:hAnsi="Arial"/>
          <w:sz w:val="16"/>
          <w:szCs w:val="16"/>
          <w:color w:val="auto"/>
        </w:rPr>
        <w:t>/year to -0.21 mL/min/1.73m</w:t>
      </w:r>
      <w:r>
        <w:rPr>
          <w:rFonts w:ascii="Arial" w:cs="Arial" w:eastAsia="Arial" w:hAnsi="Arial"/>
          <w:sz w:val="23"/>
          <w:szCs w:val="23"/>
          <w:color w:val="auto"/>
          <w:vertAlign w:val="superscript"/>
        </w:rPr>
        <w:t>2</w:t>
      </w:r>
      <w:r>
        <w:rPr>
          <w:rFonts w:ascii="Arial" w:cs="Arial" w:eastAsia="Arial" w:hAnsi="Arial"/>
          <w:sz w:val="16"/>
          <w:szCs w:val="16"/>
          <w:color w:val="auto"/>
        </w:rPr>
        <w:t>/year. Following the switch to PRX-102, there was a decrease in patients with progressing or fast progressing kidney disease, and most patients achieved a stable status post-switch.</w:t>
      </w:r>
    </w:p>
    <w:p>
      <w:pPr>
        <w:spacing w:after="0" w:line="153" w:lineRule="exact"/>
        <w:rPr>
          <w:sz w:val="20"/>
          <w:szCs w:val="20"/>
          <w:color w:val="auto"/>
        </w:rPr>
      </w:pPr>
    </w:p>
    <w:p>
      <w:pPr>
        <w:jc w:val="both"/>
        <w:ind w:right="840"/>
        <w:spacing w:after="0" w:line="279" w:lineRule="auto"/>
        <w:rPr>
          <w:sz w:val="20"/>
          <w:szCs w:val="20"/>
          <w:color w:val="auto"/>
        </w:rPr>
      </w:pPr>
      <w:r>
        <w:rPr>
          <w:rFonts w:ascii="Arial" w:cs="Arial" w:eastAsia="Arial" w:hAnsi="Arial"/>
          <w:sz w:val="17"/>
          <w:szCs w:val="17"/>
          <w:color w:val="auto"/>
        </w:rPr>
        <w:t xml:space="preserve">PRX-102 was well-tolerated in the study, with all adverse events being transient in nature without sequelae. Of the 22 patients enrolled in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the majority of treatment emergent adverse events were mild or moderate in severity, with two patients (9.1%) withdrawing from the therapy due to hypersensitivity reaction that was resolved. The most common moderate treatment emergent adverse events were nasopharyngitis, headache and dyspnea.</w:t>
      </w:r>
    </w:p>
    <w:p>
      <w:pPr>
        <w:sectPr>
          <w:pgSz w:w="11900" w:h="16838" w:orient="portrait"/>
          <w:cols w:equalWidth="0" w:num="1">
            <w:col w:w="9920"/>
          </w:cols>
          <w:pgMar w:left="980" w:top="665" w:right="999"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 immunogenicity assessment indicated that four out of 20 patients (20%) developed persistent antidrug antibodies over the course of the study, of which two had neutralizing activity.</w:t>
      </w:r>
    </w:p>
    <w:p>
      <w:pPr>
        <w:spacing w:after="0" w:line="130" w:lineRule="exact"/>
        <w:rPr>
          <w:sz w:val="20"/>
          <w:szCs w:val="20"/>
          <w:color w:val="auto"/>
        </w:rPr>
      </w:pPr>
    </w:p>
    <w:p>
      <w:pPr>
        <w:ind w:right="100"/>
        <w:spacing w:after="0" w:line="217" w:lineRule="auto"/>
        <w:rPr>
          <w:sz w:val="20"/>
          <w:szCs w:val="20"/>
          <w:color w:val="auto"/>
        </w:rPr>
      </w:pPr>
      <w:r>
        <w:rPr>
          <w:rFonts w:ascii="Arial" w:cs="Arial" w:eastAsia="Arial" w:hAnsi="Arial"/>
          <w:sz w:val="17"/>
          <w:szCs w:val="17"/>
          <w:color w:val="auto"/>
        </w:rPr>
        <w:t>Baseline characteristics of the 20 patients that completed the study, ranging from ages 28 to 60 years, were as follows: mean eGFR 75.87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males, and 86.14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females and plasma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were 51.81 nM and 13.81 nM in males and females, respectively. While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remain slightly high, particularly within the male cohort, continuous reduction in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was observed of 19.55 nM (32.35%) in males and 4.57 nM (29.81%) in females.</w:t>
      </w:r>
    </w:p>
    <w:p>
      <w:pPr>
        <w:spacing w:after="0" w:line="16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Data from the interim analysis of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which were first announced in February 2020, were used to support the PRX-102 BLA filing with the FDA, and we anticipate that the final analysis will be used to support a Marketing Authorization Application, or MAA, with the EMA.</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BRIGHT Study</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The phase III </w:t>
      </w:r>
      <w:r>
        <w:rPr>
          <w:rFonts w:ascii="Arial" w:cs="Arial" w:eastAsia="Arial" w:hAnsi="Arial"/>
          <w:sz w:val="17"/>
          <w:szCs w:val="17"/>
          <w:i w:val="1"/>
          <w:iCs w:val="1"/>
          <w:color w:val="auto"/>
        </w:rPr>
        <w:t>BRIGHT</w:t>
      </w:r>
      <w:r>
        <w:rPr>
          <w:rFonts w:ascii="Arial" w:cs="Arial" w:eastAsia="Arial" w:hAnsi="Arial"/>
          <w:sz w:val="17"/>
          <w:szCs w:val="17"/>
          <w:color w:val="auto"/>
        </w:rPr>
        <w:t xml:space="preserve"> clinical trial of PRX-102 for the treatment of Fabry disease, or 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was a 12-month, open-label, switch-over study designed to evaluate the safety, efficacy and pharmacokinetics of PRX-102 via IV infusions of 2 mg/kg administered every 4 weeks. The trial, which was completed in June 2020, enrolled up to 30 patients with Fabry disease previously treated with a commercially available ERT (Fabrazyme or Replagal), for at least three years and on a stable dose administered every two weeks. To determine eligibility for participation in the study, candidates were screened to identify and select Fabry patients with stable kidney disease. Patients who matched the criteria were enrolled in the study and switched from their current treatment of IV infusions every 2 weeks to 2 mg/kg of PRX-102 every 4 weeks for 12 months. Patients participating in the study were evaluated, among other disease parameters, to determine if their kidney disease had not further deteriorated while being treated with the 4-week dosing regimen as measured by eGFR and Lyso-Gb</w:t>
      </w:r>
      <w:r>
        <w:rPr>
          <w:rFonts w:ascii="Arial" w:cs="Arial" w:eastAsia="Arial" w:hAnsi="Arial"/>
          <w:sz w:val="25"/>
          <w:szCs w:val="25"/>
          <w:color w:val="auto"/>
          <w:vertAlign w:val="subscript"/>
        </w:rPr>
        <w:t>3</w:t>
      </w:r>
      <w:r>
        <w:rPr>
          <w:rFonts w:ascii="Arial" w:cs="Arial" w:eastAsia="Arial" w:hAnsi="Arial"/>
          <w:sz w:val="17"/>
          <w:szCs w:val="17"/>
          <w:color w:val="auto"/>
        </w:rPr>
        <w:t>, as well as other parameters. In addition, participating patients were evaluated to assess the safety and tolerability of PRX-102.</w:t>
      </w:r>
    </w:p>
    <w:p>
      <w:pPr>
        <w:spacing w:after="0" w:line="15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announced topline results in February 2021. The topline results indicate that 2 mg/kg of PRX-102 administered by intravenous infusion every four weeks was found to be well tolerated among treated patients, and stable clinical presentation was maintained in adult Fabry patients. No new patients developed treatment-induced anti-drug antibodies, or ADA, following the switch to PRX-102 treatment.</w:t>
      </w:r>
    </w:p>
    <w:p>
      <w:pPr>
        <w:spacing w:after="0" w:line="10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enrolled 24 adult males and 6 adult females. The most common Fabry disease symptoms were acroparesthesia, heat intolerance, angiokeratomas and hypohydrosis. All 30 patients received at least one dose of PRX-102, and 29 patients (mean [SD] age was 40.5 [11.3] years, ranging from 19 to 58 years) completed the 12-month study. Of these 29 patients, 28 received the intended regimen of 2 mg/kg every four weeks throughout the study, while one patient was switched to PRX-102 1 mg/kg every two weeks per protocol. One patient withdrew from the study after the first infusion due to a traffic accident.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screening, patients were enrolled and switched from their then current ERT to IV infusions of 2 mg/kg of PRX-102 every four weeks for 52 weeks (a total of 14 infusions). First infusions of PRX-102 were administered under controlled conditions at the investigation site. Based on the protocol-specified criteria, patients were able to receive their PRX-102 infusions at a home care setup once the Investigator and Sponsor Medical Monitor agreed that it was safe to do so. Safety and efficacy exploratory endpoints were assessed throughout the 52-week study.</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Study outcome measures showed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concentrations remained stable during the study with a mean change of 3.01 nM from baseline (19.36 nM) to Week 52 (22.23 nM). Mean absolute change of eGFR values were stable during the 52-week treatment period, with a mean change from baseline of -1.27 mL/min/1.73m</w:t>
      </w:r>
      <w:r>
        <w:rPr>
          <w:rFonts w:ascii="Arial" w:cs="Arial" w:eastAsia="Arial" w:hAnsi="Arial"/>
          <w:sz w:val="26"/>
          <w:szCs w:val="26"/>
          <w:color w:val="auto"/>
          <w:vertAlign w:val="superscript"/>
        </w:rPr>
        <w:t>2</w:t>
      </w:r>
      <w:r>
        <w:rPr>
          <w:rFonts w:ascii="Arial" w:cs="Arial" w:eastAsia="Arial" w:hAnsi="Arial"/>
          <w:sz w:val="18"/>
          <w:szCs w:val="18"/>
          <w:color w:val="auto"/>
        </w:rPr>
        <w:t>.</w:t>
      </w:r>
    </w:p>
    <w:p>
      <w:pPr>
        <w:spacing w:after="0" w:line="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BPI,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date, substantially all of the patients who completed the study opted, with the advice of the treating physician, to continue treatment under the 4-week dosing regimen in a long-term extension study.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COVID-19 Impact on PRX-102 Clinical Trials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date, the COVID-19 pandemic has had a minimal effect on the performance of the phase III clinical trials of PRX-102 as many of the patients were already treated in home care settings. In a minimal amount of cases, patients that completed a trial were not able to be transferred into an extension study due to the pandemic restrictions, and, accordingly, the main trial was prolonged for the patients to permit the continuation of treatment.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Study</w:t>
      </w:r>
    </w:p>
    <w:p>
      <w:pPr>
        <w:spacing w:after="0" w:line="185"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Our phase I/II clinical trial of PRX-102, which we completed in 2015, was a worldwide, multi-center, open-label, dose ranging study designed to evaluate the safety, tolerability, pharmacokinetics, immunogenicity and efficacy parameters of PRX-102 in adult Fabry patients. Sixteen adult, naïve Fabry patients (9 male and 7 female) completed the trial, each in one of three dosing groups, 0.2 mg/kg,</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Arial" w:cs="Arial" w:eastAsia="Arial" w:hAnsi="Arial"/>
          <w:sz w:val="18"/>
          <w:szCs w:val="18"/>
          <w:i w:val="1"/>
          <w:iCs w:val="1"/>
          <w:color w:val="auto"/>
        </w:rPr>
        <w:t xml:space="preserve">BALANCE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BRIDGE </w:t>
      </w:r>
      <w:r>
        <w:rPr>
          <w:rFonts w:ascii="Arial" w:cs="Arial" w:eastAsia="Arial" w:hAnsi="Arial"/>
          <w:sz w:val="18"/>
          <w:szCs w:val="18"/>
          <w:color w:val="auto"/>
        </w:rPr>
        <w:t>studies of PRX-102.</w:t>
      </w:r>
    </w:p>
    <w:p>
      <w:pPr>
        <w:spacing w:after="0" w:line="57"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The adult symptomatic, ERT-naïve Fabry disease patients enrolled in the phase I/II study were evaluated for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levels in kidney biopsies and for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concentration by the quantitative BLISS methodology. Biopsies were available from 14 patients. The outcome of ≥ 50% reduction in the average number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burden and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 the circulation. A high correlation was found between the two Fabry disease biomarkers, reduction of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and the reduction of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over six months of treatment.</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Results show that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decreased approximately 90% from baseline. Renal function remained stable with mean eGRF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36"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majority of adverse events were mild-to-moderate in severity, and transient in nature. During the first 12 months of treatment, only three of 16 patients (less than 19%) formed anti-drug antibodies (ADA),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with Chiesi Farmaceutici</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was entitled to development cost reimbursements of up to $45.0 million, up to more than $1.0 billion in potential milestone payments and tiered royalties of 15% - 35% (ex-US) and 15% - 40% (US). To date, Protalix Ltd. has received the complete amount of development costs to which it is entitled under the two Agreements.</w:t>
      </w:r>
    </w:p>
    <w:p>
      <w:pPr>
        <w:spacing w:after="0" w:line="1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ectPr>
          <w:pgSz w:w="11900" w:h="16838" w:orient="portrait"/>
          <w:cols w:equalWidth="0" w:num="1">
            <w:col w:w="9920"/>
          </w:cols>
          <w:pgMar w:left="980" w:top="665" w:right="99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subject to a maximum of $7.5 million per year. Protalix Ltd. is also eligible to receive additional payments of up to a maximum of $760.0 million, in the aggregate, in regulatory and commercial milestone payments. Chiesi is also required to make tiered payments of 15% to 40% of its net sales under the Chiesi US Agreement to Protalix Ltd., depending on the amount of annual sales, subject to certain terms and conditions, as consideration for product supply.</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May 13, 2021, we signed a binding term sheet with Chiesi pursuant to which we amended the Chiesi Agreements in order to provide us with near-term capital. Chiesi agreed to make a $10.0 million milestone payment to us before the end of the second quarter in exchange for a $25.0 million reduction in a longer term regulatory milestone payment in the Chiesi EX-US Agreement. All other regulatory and commercial milestone payments remain unchanged. We also agreed to negotiate certain manufacturing related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Elelyso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Gaucher Disease</w:t>
      </w:r>
    </w:p>
    <w:p>
      <w:pPr>
        <w:spacing w:after="0" w:line="1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Gaucher disease, also known as glucocerebrosidase, or GCD, deficiency, is a rare genetic autosomal recessive disorder and one of the most common Lysosomal Storage Disorders, or LSD,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29" w:lineRule="exact"/>
        <w:rPr>
          <w:sz w:val="20"/>
          <w:szCs w:val="20"/>
          <w:color w:val="auto"/>
        </w:rPr>
      </w:pPr>
    </w:p>
    <w:p>
      <w:pPr>
        <w:ind w:right="580"/>
        <w:spacing w:after="0" w:line="228" w:lineRule="auto"/>
        <w:rPr>
          <w:sz w:val="20"/>
          <w:szCs w:val="20"/>
          <w:color w:val="auto"/>
        </w:rPr>
      </w:pPr>
      <w:r>
        <w:rPr>
          <w:rFonts w:ascii="Arial" w:cs="Arial" w:eastAsia="Arial" w:hAnsi="Arial"/>
          <w:sz w:val="18"/>
          <w:szCs w:val="18"/>
          <w:color w:val="auto"/>
        </w:rPr>
        <w:t>Gaucher disease is a $1.5 billion global annual therapeutic market that includes Sanofi’s Cerezyme</w:t>
      </w:r>
      <w:r>
        <w:rPr>
          <w:rFonts w:ascii="Arial" w:cs="Arial" w:eastAsia="Arial" w:hAnsi="Arial"/>
          <w:sz w:val="26"/>
          <w:szCs w:val="26"/>
          <w:color w:val="auto"/>
          <w:vertAlign w:val="superscript"/>
        </w:rPr>
        <w:t>®</w:t>
      </w:r>
      <w:r>
        <w:rPr>
          <w:rFonts w:ascii="Arial" w:cs="Arial" w:eastAsia="Arial" w:hAnsi="Arial"/>
          <w:sz w:val="18"/>
          <w:szCs w:val="18"/>
          <w:color w:val="auto"/>
        </w:rPr>
        <w:t>, Shire’s (acquired by Takeda Pharmaceutical Company Limited) Vpriv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Sanofi’s Cerdelga</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for Elelyso</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first 10-year period after the execution of our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w:t>
      </w:r>
    </w:p>
    <w:p>
      <w:pPr>
        <w:spacing w:after="0" w:line="14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maintain distribution rights to Elelyso in Brazil (marketed as BioManguinhos alfataliglicerase) through a supply and technology transfer agreement with Fiocruz, an arm of the Brazilian MoH. In 2020, we generated $8.0 million from sales of BioManguinhos alfataliglicerase to the Brazilian MoH.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Alidornase Alfa (PRX-110)</w:t>
      </w:r>
    </w:p>
    <w:p>
      <w:pPr>
        <w:spacing w:after="0" w:line="19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Alidornase alfa is our chemically-modified plant cell expressed recombinant human DNase I, administered via inhalation. Recombinant human DNase I enzymatically cleaves DNA but its activity is inhibited by actin, which is present in the blood and other target organs. PRX-110 is designed to be less susceptible to actin inhibition and have higher affinity to DNA, thus enhancing enzymatic activity. In-vitro studies have shown PRX-110 to have a highly improved catalytic efficiency and affinity to DNA, compared to dornase alfa (Pulmozyme</w:t>
      </w:r>
      <w:r>
        <w:rPr>
          <w:rFonts w:ascii="Arial" w:cs="Arial" w:eastAsia="Arial" w:hAnsi="Arial"/>
          <w:sz w:val="23"/>
          <w:szCs w:val="23"/>
          <w:color w:val="auto"/>
          <w:vertAlign w:val="superscript"/>
        </w:rPr>
        <w:t>®</w:t>
      </w:r>
      <w:r>
        <w:rPr>
          <w:rFonts w:ascii="Arial" w:cs="Arial" w:eastAsia="Arial" w:hAnsi="Arial"/>
          <w:sz w:val="16"/>
          <w:szCs w:val="16"/>
          <w:color w:val="auto"/>
        </w:rPr>
        <w:t>, currently the only commercially available DNase therapy), even more so in the presence of actin.</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10, 2021, we entered into an exclusive worldwide license agreement with SarcoMed with respect to PRX-110 for use in the treatment of any human respiratory disease or condition including, but not limited to, sarcoidosis, pulmonary fibrosis, and other related diseases via inhaled delivery.</w:t>
      </w:r>
    </w:p>
    <w:p>
      <w:pPr>
        <w:sectPr>
          <w:pgSz w:w="11900" w:h="16838" w:orient="portrait"/>
          <w:cols w:equalWidth="0" w:num="1">
            <w:col w:w="9900"/>
          </w:cols>
          <w:pgMar w:left="980" w:top="665" w:right="1019" w:bottom="144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760"/>
        <w:spacing w:after="0" w:line="461" w:lineRule="auto"/>
        <w:rPr>
          <w:sz w:val="20"/>
          <w:szCs w:val="20"/>
          <w:color w:val="auto"/>
        </w:rPr>
      </w:pPr>
      <w:r>
        <w:rPr>
          <w:rFonts w:ascii="Arial" w:cs="Arial" w:eastAsia="Arial" w:hAnsi="Arial"/>
          <w:sz w:val="18"/>
          <w:szCs w:val="18"/>
          <w:color w:val="auto"/>
        </w:rPr>
        <w:t xml:space="preserve">On July 21, 2020, the FDA granted Orphan Drug Designation for alidornase alfa for the treatment of sarcoidosis. </w:t>
      </w:r>
      <w:r>
        <w:rPr>
          <w:rFonts w:ascii="Arial" w:cs="Arial" w:eastAsia="Arial" w:hAnsi="Arial"/>
          <w:sz w:val="18"/>
          <w:szCs w:val="18"/>
          <w:b w:val="1"/>
          <w:bCs w:val="1"/>
          <w:i w:val="1"/>
          <w:iCs w:val="1"/>
          <w:color w:val="auto"/>
        </w:rPr>
        <w:t>PRX-115</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PRX-115 is our plant cell-expressed recombinant PEGylated uricase (urate oxidase) – a chemically modified enzyme under development for the potential treatment of refractory gout. 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38"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Currently available urate-lowering therapies, or ULTs, can be effective in treating gout. Refractory gout patients are those whom, despite treatment with existing ULTs, have high flare frequency, consistent tophi, and the inability to maintain therapeutic goals of urate levels. An estimated approximately 2% of the gout population is considered to have chronic refractory disease and are in need of other therapeutic options. One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for treatment of chronic gout refractory to conventional therapy (no longer approved in the European Union) and (ii) Elitek</w:t>
      </w:r>
      <w:r>
        <w:rPr>
          <w:rFonts w:ascii="Arial" w:cs="Arial" w:eastAsia="Arial" w:hAnsi="Arial"/>
          <w:sz w:val="25"/>
          <w:szCs w:val="25"/>
          <w:color w:val="auto"/>
          <w:vertAlign w:val="superscript"/>
        </w:rPr>
        <w:t>®</w:t>
      </w:r>
      <w:r>
        <w:rPr>
          <w:rFonts w:ascii="Arial" w:cs="Arial" w:eastAsia="Arial" w:hAnsi="Arial"/>
          <w:sz w:val="17"/>
          <w:szCs w:val="17"/>
          <w:color w:val="auto"/>
        </w:rPr>
        <w:t>, indicated for the treatment of tumor lysis syndrome but not gout. Both have a black box warning for anaphylaxis, induce strong immunogenic reactions and have other major side-effects. We use ProCellEx to express an optimized recombinant uricase enzyme under development for the potential treatment of refractory gout which we are designing to have an improved half-life, reduced immunogenicity and potentially longer term efficacy.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PRX-119</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key element of our overall strategy is to establish a broad portfolio of patents to protect our proprietary technology, proprietary product and product candidates and their methods of use. As of June 30, 2021, we hold a broad portfolio of over 90 patents in Europe, the United States, Israel and additional countries worldwide, as well as over 30 pending patent applications.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Presentations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Dr. Camilla Tøndel, a principal investigator in our phase III clinical program of PRX-102 for the treatment of Fabry disease, delivered a mini oral presentation entitled “A subgroup analysis of female patients in a phase 3 open-label study to assess the safety and efficacy of pegunigalsidase alfa in patients with Fabry disease previously treated with agalsidase alfa” at the 58th ERA-EDTA Virtual Congress (European Renal Association - European Dialysis and Transplant Association). The Congress took place virtually from June 5 through June 8,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significant accounting policies are more fully described in Note 1 to our consolidated financial statements appearing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There have been no material changes to our critical accounting policies since we filed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2020.</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full extent to which the COVID-19 pandemic will directly or indirectly impact our financial condition, liquidity, or results of operations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customers and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3400"/>
        <w:spacing w:after="0" w:line="453" w:lineRule="auto"/>
        <w:rPr>
          <w:sz w:val="20"/>
          <w:szCs w:val="20"/>
          <w:color w:val="auto"/>
        </w:rPr>
      </w:pPr>
      <w:r>
        <w:rPr>
          <w:rFonts w:ascii="Arial" w:cs="Arial" w:eastAsia="Arial" w:hAnsi="Arial"/>
          <w:sz w:val="18"/>
          <w:szCs w:val="18"/>
          <w:b w:val="1"/>
          <w:bCs w:val="1"/>
          <w:i w:val="1"/>
          <w:iCs w:val="1"/>
          <w:color w:val="auto"/>
        </w:rPr>
        <w:t xml:space="preserve">Three months ended June 30, 2021 compared to the three months ended June 30, 2020 </w:t>
      </w:r>
      <w:r>
        <w:rPr>
          <w:rFonts w:ascii="Arial" w:cs="Arial" w:eastAsia="Arial" w:hAnsi="Arial"/>
          <w:sz w:val="18"/>
          <w:szCs w:val="18"/>
          <w:i w:val="1"/>
          <w:iCs w:val="1"/>
          <w:color w:val="auto"/>
        </w:rPr>
        <w:t>Revenues from Selling Goods</w:t>
      </w:r>
    </w:p>
    <w:p>
      <w:pPr>
        <w:spacing w:after="0" w:line="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recorded revenues from selling goods of $3.2 million during the three months ended June 30, 2021, a decrease of $0.4 million, or 11%, compared to revenues of $3.6 million for the three months ended June 30, 2020. The decrease of $2.0 million in sales to Brazil, resulting from timing differences, was partially offset by an increase of $1.6 million in sales to Pfizer.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recorded revenues from license and R&amp;D services of $3.2 million for the three months ended June 30, 2021, a decrease of</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$4.1 million, or 56%, compared to revenues of $7.3 million for the three months ended June 30, 2020. Revenues from license and R&amp;D services are comprised primarily of revenues we recognized in connection with the Chiesi Agreements. The decrease resulted primarily from an updated costs estimation throughout the trials until completion in the amount of $4.1 million and from revenues recognized in connection with the progress of our clinical trials that have been completed during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goods sold was $4.7 million for the three months ended June 30, 2021, an increase of $2.9 million, or 161%, from cost of goods sold of $1.8 million for the three months ended June 30, 2020. The increase in cost of goods sold was primarily the result of certain one-time manufacturing costs incurred while preparing for the then anticipated FDA approval of the PRX-102 BLA.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Research and development expenses were $7.7 million for the three months ended June 30, 2021, a decrease of $1.5 million, or 16%, compared to $9.2 million of research and development expenses for the three months ended June 30, 2020. The decrease is primarily the result of the completion of two out of the three phase III clinical trials of PRX-102 and reduced costs related to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w:t>
      </w:r>
    </w:p>
    <w:p>
      <w:pPr>
        <w:spacing w:after="0" w:line="12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Selling, general and administrative expenses were $3.2 million for the three months ended June 30, 2021, an increase of $1.0 million, or 45%, compared to $2.2 million for the three months ended June 30, 2020. The increase resulted primarily from an increase in corporate costs related insurance and funding.</w:t>
      </w:r>
    </w:p>
    <w:p>
      <w:pPr>
        <w:sectPr>
          <w:pgSz w:w="11900" w:h="16838" w:orient="portrait"/>
          <w:cols w:equalWidth="0" w:num="1">
            <w:col w:w="9840"/>
          </w:cols>
          <w:pgMar w:left="980" w:top="665" w:right="1079" w:bottom="1440" w:gutter="0" w:footer="0" w:header="0"/>
        </w:sectPr>
      </w:pP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Financial expenses net were $2.1 million for the three months ended June 30, 2021 and $1.9 million for the three months ended June 30, 2020. The increase resulted primarily from an increase in amortization of debt issuance costs and debt discount.</w:t>
      </w:r>
    </w:p>
    <w:p>
      <w:pPr>
        <w:spacing w:after="0" w:line="119" w:lineRule="exact"/>
        <w:rPr>
          <w:sz w:val="20"/>
          <w:szCs w:val="20"/>
          <w:color w:val="auto"/>
        </w:rPr>
      </w:pPr>
    </w:p>
    <w:p>
      <w:pPr>
        <w:ind w:right="3780"/>
        <w:spacing w:after="0" w:line="453" w:lineRule="auto"/>
        <w:rPr>
          <w:sz w:val="20"/>
          <w:szCs w:val="20"/>
          <w:color w:val="auto"/>
        </w:rPr>
      </w:pPr>
      <w:r>
        <w:rPr>
          <w:rFonts w:ascii="Arial" w:cs="Arial" w:eastAsia="Arial" w:hAnsi="Arial"/>
          <w:sz w:val="18"/>
          <w:szCs w:val="18"/>
          <w:b w:val="1"/>
          <w:bCs w:val="1"/>
          <w:i w:val="1"/>
          <w:iCs w:val="1"/>
          <w:color w:val="auto"/>
        </w:rPr>
        <w:t xml:space="preserve">Six months ended June 30, 2021 compared to the six months ended June 30, 2020 </w:t>
      </w:r>
      <w:r>
        <w:rPr>
          <w:rFonts w:ascii="Arial" w:cs="Arial" w:eastAsia="Arial" w:hAnsi="Arial"/>
          <w:sz w:val="18"/>
          <w:szCs w:val="18"/>
          <w:i w:val="1"/>
          <w:iCs w:val="1"/>
          <w:color w:val="auto"/>
        </w:rPr>
        <w:t>Revenues from Selling Goods</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recorded revenues from selling goods of $7.8 million during the six months ended June 30, 2021, a decrease of $0.9 million, or 10%, compared to revenues of $8.7 million for the six months ended June 30, 2020. The decrease of $5.0 million in sales to Brazil, resulting from timing differences, was partially offset by an increase of $4.1 million in sales to Pfizer.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recorded revenues from license and R&amp;D services of $10.0 million for the six months ended June 30, 2021, a decrease of</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$13.9 million, or 58%, compared to revenues of $23.9 million for the six months ended June 30, 2020. Revenues from license and R&amp;D services are comprised primarily of revenues we recognized in connection with the Chiesi Agreements. The decrease resulted primarily from an updated costs estimation throughout the trials until completion in the amount of $4.1 million and from revenues recognized in connection with the progress of our clinical trials that have been completed during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Cost of goods sold was $9.5 million for the six months ended June30, 2021, an increase of $4.2 million, or 79%, from cost of goods sold of $5.3 million for the six months ended June 30, 2020. The increase in cost of goods sold was primarily the result of certain one-time manufacturing costs incurred while preparing for the then anticipated FDA approval of the PRX-102 BLA.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Research and development expenses were $14.8 million for the six months ended June 30, 2021, a decrease of $4.7 million, or 24%, compared to $19.5 million of research and development expenses for the six months ended June 30, 2020. The decrease is primarily the result of the completion of two out of the three phase III clinical trials of PRX-102 and reduced costs related to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w:t>
      </w:r>
    </w:p>
    <w:p>
      <w:pPr>
        <w:spacing w:after="0" w:line="12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Selling, general and administrative expenses were $6.3 million for the six months ended June 30, 2021, an increase of $0.9 million, or 17%, compared to $5.4 million for the six months ended June 30, 2020. The increase resulted primarily from an increase in corporate costs related mainly to insurance and funding.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8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Financial expenses net were $3.9 million for the six months ended June 30, 2021, a decrease of $1.0 million, or 20%, compared to financial expenses net of $4.9 million for the six months ended June 30, 2020. The decrease resulted primarily from a decrease in expenses related to our outstanding convertible notes equal to $1.3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Our sources of liquidity include our cash balances and bank deposits. At June 30, 2021, we had $33.9 million in cash and cash equivalents and $43.1 million in short-term bank deposits. We have primarily financed our operations through equity and debt financings, business collaborations, and grants funding.</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six months ended June 30, 2021, we raised gross proceeds equal to approximately $8.8 million from sales of common stock under our ATM program through the sale of 1,867,552 shares of our common stock. In addition, we raised gross proceeds of approximately $40.2 million from a public offering of our common stock before deducting the underwriting discount and estimated expenses of the offering. In connection with the offering, we issued 8,749,999 shares of our common stock at a purchase price per share of $4.60.</w:t>
      </w:r>
    </w:p>
    <w:p>
      <w:pPr>
        <w:sectPr>
          <w:pgSz w:w="11900" w:h="16838" w:orient="portrait"/>
          <w:cols w:equalWidth="0" w:num="1">
            <w:col w:w="9860"/>
          </w:cols>
          <w:pgMar w:left="980" w:top="665" w:right="1059" w:bottom="1440" w:gutter="0" w:footer="0" w:header="0"/>
        </w:sectPr>
      </w:pP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our cash and cash equivalents and bank deposits as of June 30, 2021 are sufficient to satisfy our capital needs for at least 12 months from the date that these financial statements are issued.</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as of June 30, 2021, we have outstanding 2021 Notes amounting to $57.9 million which are due on November 15, 2021, unless the notes are refinanced, restructured or converted before that date.</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August 12, 2021, we entered into definitive agreements relating to the Exchanges of an aggregate of $54.65 million principal amount of our 2021 Notes for an aggregate of $28.75 million principal amount of 2024 Notes, $25.90 million in cash, and accrued and unpaid interest through the issue date. The Exchanges are expected to close as soon as practicable, subject to satisfaction of certain closing conditions. The initial conversion rate for the 2024 Notes is 563.2216 shares of our Common Stock for each $1,000 principal amount of 2014 Notes (equivalent to an initial conversion price of approximately $1.7755 per share of our Common Stock, subject to adjustment in some events, which is based on a 32.5% premium to the closing price of our Common Stock on the NYSE American at the close of trading on August 13, 2021, the exchange date.</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2024 Notes will be issued pursuant to an indenture to be entered into between us, the guarantors party thereto, The Bank of New York Mellon Trust Company, N.A., as trustee and Wilmington Savings Fund Society, FSB, as collateral agent. Interest on the Notes will be paid semi-annually at a rate of 7.50% per annum. The 2024 Notes will mature three years after the issuance thereof, unless earlier purchased, converted, exchanged or redeemed and will be guaranteed by our subsidiaries. The 2024 Notes will be secured by perfected liens on all of our assets, including those of our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Net cash used in operations was $3.3 million for the six months ended June 30, 2021. In response to the COVID-19 pandemic, a higher number of subjects in our ongoing clinical trials opted for home care treatments over in-site treatments which resulted in an immaterial amount of additional expenses. The net loss for the six months ended June 30, 2021 of $16.7 million was increased by a $1.6 million increase in accounts receivable and other assets, and was partially offset by a $12.3 million increase in contracts liability, a $1.9 million of amortization of debt issuance costs and debt discount and $1.4 million in share-based compensation. Net cash used in investing activities for the six months ended June 30, 2021 was $23.1 million and consisted primarily of a net increase in bank deposits. Net cash provided by financing activities was $42.1 million resulting from the sale of common stock under our former ATM program and from our public offering of common stock, net of the promissory note payment.</w:t>
      </w:r>
    </w:p>
    <w:p>
      <w:pPr>
        <w:spacing w:after="0" w:line="13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cash used in operations was $15.0 million for the six months ended June 30, 2020. In response to the COVID-19 pandemic, a higher number of subjects in our ongoing clinical trials opted for home care treatments over in-site treatments which resulted in an immaterial amount of additional expenses. The net loss for the six months ended June 30, 2020 of $2.5 million was increased by a $10.8 million decrease in contracts liability, a $1.6 million increase in accounts receivable and other assets and a $2.9 million increase in inventories, partially offset by an increase of $0.3 million in accounts payable and accruals, and $1.7 million amortization of debt issuance costs and debt discount. Net cash used in investing activities for the six months ended June 30, 2020 was $35.3 million and consisted primarily of an increase in bank deposits. Net cash provided by financing activities was $37.3 million resulting from our issuance of common stock and warrants on March 18,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9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a result of our significant research and development expenditures and the lack of significant revenue from sales of taliglucerase alfa, we have generated operating losses from our continuing operations since our inception. Our outstanding 2021 Notes are secured by a perfected lien on all of our assets. Under the terms of the indenture governing the 2021 Notes, and the indenture to be entered into in connection with the proposed issuance of the 2024 Notes, we are required to maintain a minimum cash balance of at least $7.5 million.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expect to continue to incur significant expenditures in the near future as we increase our research and developments efforts with respect to our product candidates given the receipt of the CRL from the FDA discussed above, we expect to incur additional expenses in connection with any resubmission. We cannot anticipate the costs or the timing of the occurrence of such costs. In addition, to the extent we need to obtain additional financing in connection with this process or with any additional clinical testing that may be required,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patents and fees for service providers in connection with our research and development efforts and (v) payment of principal and interest on the 2021 Notes that remain outstanding and on the 2024 Notes we anticipate issuing in August 2021, and other debt. We believe that the funds currently available to us are sufficient to satisfy our capital needs for at least 12 months.</w:t>
      </w:r>
    </w:p>
    <w:p>
      <w:pPr>
        <w:sectPr>
          <w:pgSz w:w="11900" w:h="16838" w:orient="portrait"/>
          <w:cols w:equalWidth="0" w:num="1">
            <w:col w:w="9860"/>
          </w:cols>
          <w:pgMar w:left="980" w:top="665" w:right="1059" w:bottom="1440" w:gutter="0" w:footer="0" w:header="0"/>
        </w:sectPr>
      </w:pP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83"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efforts, combined with those of Chiesi, to file for resubmission with the FDA and to commercialize PRX-102;</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progress and results of our clinical trials, particularly the PRX-102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progress in commercializing BioManguinhos alfataliglicerase in Brazil;</w:t>
      </w:r>
    </w:p>
    <w:p>
      <w:pPr>
        <w:spacing w:after="0" w:line="184" w:lineRule="exact"/>
        <w:rPr>
          <w:rFonts w:ascii="Arial" w:cs="Arial" w:eastAsia="Arial" w:hAnsi="Arial"/>
          <w:sz w:val="18"/>
          <w:szCs w:val="18"/>
          <w:color w:val="auto"/>
        </w:rPr>
      </w:pPr>
    </w:p>
    <w:p>
      <w:pPr>
        <w:ind w:left="1000" w:right="32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duration and cost of discovery and preclinical development and laboratory testing and clinical trials for our product candidates;</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84" w:lineRule="exact"/>
        <w:rPr>
          <w:rFonts w:ascii="Arial" w:cs="Arial" w:eastAsia="Arial" w:hAnsi="Arial"/>
          <w:sz w:val="18"/>
          <w:szCs w:val="18"/>
          <w:color w:val="auto"/>
        </w:rPr>
      </w:pPr>
    </w:p>
    <w:p>
      <w:pPr>
        <w:ind w:left="1000" w:right="72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other intellectual property rights; and</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any litigation claims.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and under our agreement with SarcoMed. On July 2, 2021, we entered into the Sales Agreement in connection with a new ATM program pursuant to which we may sell from time to time through the Agent ATM Shares having an aggregate offering price of up to $20.0 million. On the same date, we terminated our former ATM program.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Currency Fluctuations</w:t>
      </w:r>
    </w:p>
    <w:p>
      <w:pPr>
        <w:spacing w:after="0" w:line="18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Currency fluctuations could affect us through increased or decreased acquisition costs for certain goods and services. We do not believe currency fluctuations have had a material effect on our results of operations during the six months ended June 30, 2021 and June 30,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of each of June 30, 2021 and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currency of the primary economic environment in which our operations are conducted is the U.S. dollar. Most of our revenues and approximately 52%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Approximately 43%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6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7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200" w:type="dxa"/>
            <w:vAlign w:val="bottom"/>
          </w:tcPr>
          <w:p>
            <w:pPr>
              <w:spacing w:after="0"/>
              <w:rPr>
                <w:sz w:val="14"/>
                <w:szCs w:val="14"/>
                <w:color w:val="auto"/>
              </w:rPr>
            </w:pPr>
          </w:p>
        </w:tc>
        <w:tc>
          <w:tcPr>
            <w:tcW w:w="1000" w:type="dxa"/>
            <w:vAlign w:val="bottom"/>
            <w:gridSpan w:val="3"/>
          </w:tcPr>
          <w:p>
            <w:pPr>
              <w:ind w:left="48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2"/>
                <w:szCs w:val="12"/>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Average rate for period</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3.265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8"/>
              </w:rPr>
              <w:t>3.509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3.442</w:t>
            </w:r>
          </w:p>
        </w:tc>
        <w:tc>
          <w:tcPr>
            <w:tcW w:w="16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Rate at period-end</w:t>
            </w:r>
          </w:p>
        </w:tc>
        <w:tc>
          <w:tcPr>
            <w:tcW w:w="700" w:type="dxa"/>
            <w:vAlign w:val="bottom"/>
          </w:tcPr>
          <w:p>
            <w:pPr>
              <w:jc w:val="right"/>
              <w:ind w:right="61"/>
              <w:spacing w:after="0"/>
              <w:rPr>
                <w:sz w:val="20"/>
                <w:szCs w:val="20"/>
                <w:color w:val="auto"/>
              </w:rPr>
            </w:pPr>
            <w:r>
              <w:rPr>
                <w:rFonts w:ascii="Arial" w:cs="Arial" w:eastAsia="Arial" w:hAnsi="Arial"/>
                <w:sz w:val="18"/>
                <w:szCs w:val="18"/>
                <w:color w:val="auto"/>
              </w:rPr>
              <w:t>3.260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w w:val="88"/>
              </w:rPr>
              <w:t>3.466</w:t>
            </w:r>
          </w:p>
        </w:tc>
        <w:tc>
          <w:tcPr>
            <w:tcW w:w="160" w:type="dxa"/>
            <w:vAlign w:val="bottom"/>
          </w:tcPr>
          <w:p>
            <w:pPr>
              <w:spacing w:after="0"/>
              <w:rPr>
                <w:sz w:val="20"/>
                <w:szCs w:val="20"/>
                <w:color w:val="auto"/>
              </w:rPr>
            </w:pPr>
          </w:p>
        </w:tc>
        <w:tc>
          <w:tcPr>
            <w:tcW w:w="880" w:type="dxa"/>
            <w:vAlign w:val="bottom"/>
          </w:tcPr>
          <w:p>
            <w:pPr>
              <w:jc w:val="right"/>
              <w:ind w:right="141"/>
              <w:spacing w:after="0"/>
              <w:rPr>
                <w:sz w:val="20"/>
                <w:szCs w:val="20"/>
                <w:color w:val="auto"/>
              </w:rPr>
            </w:pPr>
            <w:r>
              <w:rPr>
                <w:rFonts w:ascii="Arial" w:cs="Arial" w:eastAsia="Arial" w:hAnsi="Arial"/>
                <w:sz w:val="18"/>
                <w:szCs w:val="18"/>
                <w:color w:val="auto"/>
              </w:rPr>
              <w:t>3.215</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sectPr>
          <w:pgSz w:w="11900" w:h="16838" w:orient="portrait"/>
          <w:cols w:equalWidth="0" w:num="1">
            <w:col w:w="9880"/>
          </w:cols>
          <w:pgMar w:left="980" w:top="665" w:right="1039" w:bottom="1440" w:gutter="0" w:footer="0" w:header="0"/>
        </w:sect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June 30, 2021 that have materially affected, or that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June 7, 2021, we issued 173,816 shares of Common Stock in connection with the cashless exercise of a warrant to purchase 2,816,901 shares of Common Stock issued on March 18, 2020, as part of our private placement of Common Stock and warrants. We did not generate any proceeds from the cashless exercise.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0" w:type="dxa"/>
            <w:vAlign w:val="bottom"/>
            <w:gridSpan w:val="3"/>
          </w:tcPr>
          <w:p>
            <w:pPr>
              <w:jc w:val="center"/>
              <w:ind w:right="632"/>
              <w:spacing w:after="0"/>
              <w:rPr>
                <w:sz w:val="20"/>
                <w:szCs w:val="20"/>
                <w:color w:val="auto"/>
              </w:rPr>
            </w:pPr>
            <w:r>
              <w:rPr>
                <w:rFonts w:ascii="Arial" w:cs="Arial" w:eastAsia="Arial" w:hAnsi="Arial"/>
                <w:sz w:val="14"/>
                <w:szCs w:val="14"/>
                <w:b w:val="1"/>
                <w:bCs w:val="1"/>
                <w:color w:val="auto"/>
                <w:w w:val="92"/>
              </w:rPr>
              <w:t>Incorporated by Reference</w:t>
            </w:r>
          </w:p>
        </w:tc>
        <w:tc>
          <w:tcPr>
            <w:tcW w:w="12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Filed or Furnished</w:t>
            </w:r>
          </w:p>
        </w:tc>
        <w:tc>
          <w:tcPr>
            <w:tcW w:w="0" w:type="dxa"/>
            <w:vAlign w:val="bottom"/>
          </w:tcPr>
          <w:p>
            <w:pPr>
              <w:spacing w:after="0"/>
              <w:rPr>
                <w:sz w:val="1"/>
                <w:szCs w:val="1"/>
                <w:color w:val="auto"/>
              </w:rPr>
            </w:pPr>
          </w:p>
        </w:tc>
      </w:tr>
      <w:tr>
        <w:trPr>
          <w:trHeight w:val="111"/>
        </w:trPr>
        <w:tc>
          <w:tcPr>
            <w:tcW w:w="8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80" w:type="dxa"/>
            <w:vAlign w:val="bottom"/>
            <w:gridSpan w:val="16"/>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File Number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860" w:type="dxa"/>
            <w:vAlign w:val="bottom"/>
          </w:tcPr>
          <w:p>
            <w:pPr>
              <w:jc w:val="right"/>
              <w:ind w:right="153"/>
              <w:spacing w:after="0" w:line="157"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80" w:type="dxa"/>
            <w:vAlign w:val="bottom"/>
            <w:gridSpan w:val="16"/>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240" w:type="dxa"/>
            <w:vAlign w:val="bottom"/>
          </w:tcPr>
          <w:p>
            <w:pPr>
              <w:jc w:val="center"/>
              <w:ind w:left="8"/>
              <w:spacing w:after="0" w:line="157"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0"/>
        </w:trPr>
        <w:tc>
          <w:tcPr>
            <w:tcW w:w="860" w:type="dxa"/>
            <w:vAlign w:val="bottom"/>
          </w:tcPr>
          <w:p>
            <w:pPr>
              <w:jc w:val="right"/>
              <w:ind w:right="533"/>
              <w:spacing w:after="0" w:line="190" w:lineRule="exact"/>
              <w:rPr>
                <w:sz w:val="20"/>
                <w:szCs w:val="20"/>
                <w:color w:val="auto"/>
              </w:rPr>
            </w:pPr>
            <w:r>
              <w:rPr>
                <w:rFonts w:ascii="Arial" w:cs="Arial" w:eastAsia="Arial" w:hAnsi="Arial"/>
                <w:sz w:val="18"/>
                <w:szCs w:val="18"/>
                <w:color w:val="auto"/>
                <w:w w:val="87"/>
              </w:rPr>
              <w:t>1.1</w:t>
            </w:r>
          </w:p>
        </w:tc>
        <w:tc>
          <w:tcPr>
            <w:tcW w:w="3520" w:type="dxa"/>
            <w:vAlign w:val="bottom"/>
            <w:tcBorders>
              <w:bottom w:val="single" w:sz="8" w:color="0000EE"/>
            </w:tcBorders>
            <w:gridSpan w:val="14"/>
          </w:tcPr>
          <w:p>
            <w:pPr>
              <w:spacing w:after="0" w:line="190"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At the Market Offering Agreement, dated July 2,</w:t>
              </w:r>
            </w:hyperlink>
          </w:p>
        </w:tc>
        <w:tc>
          <w:tcPr>
            <w:tcW w:w="120" w:type="dxa"/>
            <w:vAlign w:val="bottom"/>
            <w:gridSpan w:val="4"/>
          </w:tcPr>
          <w:p>
            <w:pPr>
              <w:spacing w:after="0"/>
              <w:rPr>
                <w:sz w:val="16"/>
                <w:szCs w:val="16"/>
                <w:color w:val="auto"/>
              </w:rPr>
            </w:pPr>
          </w:p>
        </w:tc>
        <w:tc>
          <w:tcPr>
            <w:tcW w:w="70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87"/>
              </w:rPr>
              <w:t>1.1</w:t>
            </w:r>
          </w:p>
        </w:tc>
        <w:tc>
          <w:tcPr>
            <w:tcW w:w="1600" w:type="dxa"/>
            <w:vAlign w:val="bottom"/>
          </w:tcPr>
          <w:p>
            <w:pPr>
              <w:jc w:val="center"/>
              <w:spacing w:after="0" w:line="190" w:lineRule="exact"/>
              <w:rPr>
                <w:sz w:val="20"/>
                <w:szCs w:val="20"/>
                <w:color w:val="auto"/>
              </w:rPr>
            </w:pPr>
            <w:r>
              <w:rPr>
                <w:rFonts w:ascii="Arial" w:cs="Arial" w:eastAsia="Arial" w:hAnsi="Arial"/>
                <w:sz w:val="18"/>
                <w:szCs w:val="18"/>
                <w:color w:val="auto"/>
                <w:w w:val="90"/>
              </w:rPr>
              <w:t>July 2, 2021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640" w:type="dxa"/>
            <w:vAlign w:val="bottom"/>
            <w:gridSpan w:val="18"/>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2021, between the Company and</w:t>
              </w:r>
            </w:hyperlink>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H.C. Wainwright &amp; Co., LLC</w:t>
              </w:r>
            </w:hyperlink>
          </w:p>
        </w:tc>
        <w:tc>
          <w:tcPr>
            <w:tcW w:w="128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3.1</w:t>
            </w:r>
          </w:p>
        </w:tc>
        <w:tc>
          <w:tcPr>
            <w:tcW w:w="3640" w:type="dxa"/>
            <w:vAlign w:val="bottom"/>
            <w:gridSpan w:val="18"/>
          </w:tcPr>
          <w:p>
            <w:pPr>
              <w:spacing w:after="0"/>
              <w:rPr>
                <w:rFonts w:ascii="Arial" w:cs="Arial" w:eastAsia="Arial" w:hAnsi="Arial"/>
                <w:sz w:val="18"/>
                <w:szCs w:val="18"/>
                <w:color w:val="0000EE"/>
              </w:rPr>
            </w:pPr>
            <w:hyperlink r:id="rId49">
              <w:r>
                <w:rPr>
                  <w:rFonts w:ascii="Arial" w:cs="Arial" w:eastAsia="Arial" w:hAnsi="Arial"/>
                  <w:sz w:val="18"/>
                  <w:szCs w:val="18"/>
                  <w:color w:val="0000EE"/>
                </w:rPr>
                <w:t>Certificate of Incorporation of the Company</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April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3.2</w:t>
            </w:r>
          </w:p>
        </w:tc>
        <w:tc>
          <w:tcPr>
            <w:tcW w:w="3560" w:type="dxa"/>
            <w:vAlign w:val="bottom"/>
            <w:tcBorders>
              <w:bottom w:val="single" w:sz="8" w:color="0000EE"/>
            </w:tcBorders>
            <w:gridSpan w:val="16"/>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Amendment to Certificate of Incorporation of the</w:t>
              </w:r>
            </w:hyperlink>
          </w:p>
        </w:tc>
        <w:tc>
          <w:tcPr>
            <w:tcW w:w="80" w:type="dxa"/>
            <w:vAlign w:val="bottom"/>
            <w:gridSpan w:val="2"/>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6"/>
              </w:rPr>
              <w:t>Def 14A 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Company</w:t>
              </w:r>
            </w:hyperlink>
          </w:p>
        </w:tc>
        <w:tc>
          <w:tcPr>
            <w:tcW w:w="294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3.3</w:t>
            </w:r>
          </w:p>
        </w:tc>
        <w:tc>
          <w:tcPr>
            <w:tcW w:w="3640" w:type="dxa"/>
            <w:vAlign w:val="bottom"/>
            <w:gridSpan w:val="18"/>
          </w:tcPr>
          <w:p>
            <w:pPr>
              <w:spacing w:after="0"/>
              <w:rPr>
                <w:rFonts w:ascii="Arial" w:cs="Arial" w:eastAsia="Arial" w:hAnsi="Arial"/>
                <w:sz w:val="18"/>
                <w:szCs w:val="18"/>
                <w:color w:val="0000EE"/>
              </w:rPr>
            </w:pPr>
            <w:hyperlink r:id="rId51">
              <w:r>
                <w:rPr>
                  <w:rFonts w:ascii="Arial" w:cs="Arial" w:eastAsia="Arial" w:hAnsi="Arial"/>
                  <w:sz w:val="18"/>
                  <w:szCs w:val="18"/>
                  <w:color w:val="0000EE"/>
                </w:rPr>
                <w:t>Second Amendment to Certificate of</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17, 2018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Incorporation of the Company</w:t>
              </w:r>
            </w:hyperlink>
          </w:p>
        </w:tc>
        <w:tc>
          <w:tcPr>
            <w:tcW w:w="100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3.4</w:t>
            </w:r>
          </w:p>
        </w:tc>
        <w:tc>
          <w:tcPr>
            <w:tcW w:w="3640" w:type="dxa"/>
            <w:vAlign w:val="bottom"/>
            <w:gridSpan w:val="18"/>
          </w:tcPr>
          <w:p>
            <w:pPr>
              <w:spacing w:after="0"/>
              <w:rPr>
                <w:rFonts w:ascii="Arial" w:cs="Arial" w:eastAsia="Arial" w:hAnsi="Arial"/>
                <w:sz w:val="18"/>
                <w:szCs w:val="18"/>
                <w:color w:val="0000EE"/>
                <w:w w:val="95"/>
              </w:rPr>
            </w:pPr>
            <w:hyperlink r:id="rId52">
              <w:r>
                <w:rPr>
                  <w:rFonts w:ascii="Arial" w:cs="Arial" w:eastAsia="Arial" w:hAnsi="Arial"/>
                  <w:sz w:val="18"/>
                  <w:szCs w:val="18"/>
                  <w:color w:val="0000EE"/>
                  <w:w w:val="95"/>
                </w:rPr>
                <w:t>Third Amendment to Certificate of Incorporation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19, 2019</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of the Company</w:t>
              </w:r>
            </w:hyperlink>
          </w:p>
        </w:tc>
        <w:tc>
          <w:tcPr>
            <w:tcW w:w="2380" w:type="dxa"/>
            <w:vAlign w:val="bottom"/>
            <w:tcBorders>
              <w:top w:val="single" w:sz="8" w:color="0000EE"/>
            </w:tcBorders>
            <w:gridSpan w:val="13"/>
          </w:tcPr>
          <w:p>
            <w:pPr>
              <w:spacing w:after="0"/>
              <w:rPr>
                <w:sz w:val="17"/>
                <w:szCs w:val="17"/>
                <w:color w:val="auto"/>
              </w:rPr>
            </w:pPr>
          </w:p>
        </w:tc>
        <w:tc>
          <w:tcPr>
            <w:tcW w:w="1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3.5</w:t>
            </w:r>
          </w:p>
        </w:tc>
        <w:tc>
          <w:tcPr>
            <w:tcW w:w="3640" w:type="dxa"/>
            <w:vAlign w:val="bottom"/>
            <w:gridSpan w:val="18"/>
          </w:tcPr>
          <w:p>
            <w:pPr>
              <w:spacing w:after="0"/>
              <w:rPr>
                <w:rFonts w:ascii="Arial" w:cs="Arial" w:eastAsia="Arial" w:hAnsi="Arial"/>
                <w:sz w:val="18"/>
                <w:szCs w:val="18"/>
                <w:color w:val="0000EE"/>
              </w:rPr>
            </w:pPr>
            <w:hyperlink r:id="rId53">
              <w:r>
                <w:rPr>
                  <w:rFonts w:ascii="Arial" w:cs="Arial" w:eastAsia="Arial" w:hAnsi="Arial"/>
                  <w:sz w:val="18"/>
                  <w:szCs w:val="18"/>
                  <w:color w:val="0000EE"/>
                </w:rPr>
                <w:t>Bylaws of the Company</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April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4.1</w:t>
            </w:r>
          </w:p>
        </w:tc>
        <w:tc>
          <w:tcPr>
            <w:tcW w:w="3640" w:type="dxa"/>
            <w:vAlign w:val="bottom"/>
            <w:gridSpan w:val="18"/>
          </w:tcPr>
          <w:p>
            <w:pPr>
              <w:spacing w:after="0"/>
              <w:rPr>
                <w:rFonts w:ascii="Arial" w:cs="Arial" w:eastAsia="Arial" w:hAnsi="Arial"/>
                <w:sz w:val="18"/>
                <w:szCs w:val="18"/>
                <w:color w:val="0000EE"/>
              </w:rPr>
            </w:pPr>
            <w:hyperlink r:id="rId54">
              <w:r>
                <w:rPr>
                  <w:rFonts w:ascii="Arial" w:cs="Arial" w:eastAsia="Arial" w:hAnsi="Arial"/>
                  <w:sz w:val="18"/>
                  <w:szCs w:val="18"/>
                  <w:color w:val="0000EE"/>
                </w:rPr>
                <w:t>Form of Restricted Stock Agreement/Notice</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July 18, 2012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4.2</w:t>
            </w:r>
          </w:p>
        </w:tc>
        <w:tc>
          <w:tcPr>
            <w:tcW w:w="3620" w:type="dxa"/>
            <w:vAlign w:val="bottom"/>
            <w:tcBorders>
              <w:bottom w:val="single" w:sz="8" w:color="0000EE"/>
            </w:tcBorders>
            <w:gridSpan w:val="17"/>
          </w:tcPr>
          <w:p>
            <w:pPr>
              <w:spacing w:after="0"/>
              <w:rPr>
                <w:rFonts w:ascii="Arial" w:cs="Arial" w:eastAsia="Arial" w:hAnsi="Arial"/>
                <w:sz w:val="18"/>
                <w:szCs w:val="18"/>
                <w:color w:val="0000EE"/>
                <w:w w:val="88"/>
              </w:rPr>
            </w:pPr>
            <w:hyperlink r:id="rId55">
              <w:r>
                <w:rPr>
                  <w:rFonts w:ascii="Arial" w:cs="Arial" w:eastAsia="Arial" w:hAnsi="Arial"/>
                  <w:sz w:val="18"/>
                  <w:szCs w:val="18"/>
                  <w:color w:val="0000EE"/>
                  <w:w w:val="88"/>
                </w:rPr>
                <w:t>Indenture, dated as of December 7, 2016, between</w:t>
              </w:r>
            </w:hyperlink>
          </w:p>
        </w:tc>
        <w:tc>
          <w:tcPr>
            <w:tcW w:w="2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7,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Protalix BioTherapeutics, Inc. the guarantors</w:t>
              </w:r>
            </w:hyperlink>
          </w:p>
        </w:tc>
        <w:tc>
          <w:tcPr>
            <w:tcW w:w="40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640" w:type="dxa"/>
            <w:vAlign w:val="bottom"/>
            <w:gridSpan w:val="18"/>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party thereto, The Bank of New York Mellon</w:t>
              </w:r>
            </w:hyperlink>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640" w:type="dxa"/>
            <w:vAlign w:val="bottom"/>
            <w:gridSpan w:val="18"/>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Trust Company, N.A., as trustee and Wilmington</w:t>
              </w:r>
            </w:hyperlink>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Savings Fund Society, FSB, as collateral agent</w:t>
              </w:r>
            </w:hyperlink>
          </w:p>
        </w:tc>
        <w:tc>
          <w:tcPr>
            <w:tcW w:w="160" w:type="dxa"/>
            <w:vAlign w:val="bottom"/>
            <w:tcBorders>
              <w:top w:val="single" w:sz="8" w:color="0000EE"/>
            </w:tcBorders>
          </w:tcPr>
          <w:p>
            <w:pPr>
              <w:spacing w:after="0"/>
              <w:rPr>
                <w:sz w:val="17"/>
                <w:szCs w:val="17"/>
                <w:color w:val="auto"/>
              </w:rPr>
            </w:pPr>
          </w:p>
        </w:tc>
        <w:tc>
          <w:tcPr>
            <w:tcW w:w="1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4.3</w:t>
            </w:r>
          </w:p>
        </w:tc>
        <w:tc>
          <w:tcPr>
            <w:tcW w:w="3100" w:type="dxa"/>
            <w:vAlign w:val="bottom"/>
            <w:tcBorders>
              <w:bottom w:val="single" w:sz="8" w:color="0000EE"/>
            </w:tcBorders>
            <w:gridSpan w:val="10"/>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Form of 7.50% Convertible Note due 2021</w:t>
              </w:r>
            </w:hyperlink>
          </w:p>
        </w:tc>
        <w:tc>
          <w:tcPr>
            <w:tcW w:w="540" w:type="dxa"/>
            <w:vAlign w:val="bottom"/>
            <w:gridSpan w:val="8"/>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7,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(Issued in 2016 Financing)</w:t>
              </w:r>
            </w:hyperlink>
          </w:p>
        </w:tc>
        <w:tc>
          <w:tcPr>
            <w:tcW w:w="170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right"/>
              <w:ind w:right="533"/>
              <w:spacing w:after="0"/>
              <w:rPr>
                <w:sz w:val="20"/>
                <w:szCs w:val="20"/>
                <w:color w:val="auto"/>
              </w:rPr>
            </w:pPr>
            <w:r>
              <w:rPr>
                <w:rFonts w:ascii="Arial" w:cs="Arial" w:eastAsia="Arial" w:hAnsi="Arial"/>
                <w:sz w:val="18"/>
                <w:szCs w:val="18"/>
                <w:color w:val="auto"/>
                <w:w w:val="87"/>
              </w:rPr>
              <w:t>4.4</w:t>
            </w:r>
          </w:p>
        </w:tc>
        <w:tc>
          <w:tcPr>
            <w:tcW w:w="3100" w:type="dxa"/>
            <w:vAlign w:val="bottom"/>
            <w:tcBorders>
              <w:bottom w:val="single" w:sz="8" w:color="0000EE"/>
            </w:tcBorders>
            <w:gridSpan w:val="10"/>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Form of 7.50% Convertible Note due 2021</w:t>
              </w:r>
            </w:hyperlink>
          </w:p>
        </w:tc>
        <w:tc>
          <w:tcPr>
            <w:tcW w:w="540" w:type="dxa"/>
            <w:vAlign w:val="bottom"/>
            <w:gridSpan w:val="8"/>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7,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640" w:type="dxa"/>
            <w:vAlign w:val="bottom"/>
            <w:gridSpan w:val="18"/>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(Issued in 2016 Exchange)</w:t>
              </w:r>
            </w:hyperlink>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9840"/>
          </w:cols>
          <w:pgMar w:left="980" w:top="665" w:right="1079" w:bottom="1440" w:gutter="0" w:footer="0" w:header="0"/>
        </w:sectPr>
      </w:pPr>
    </w:p>
    <w:p>
      <w:pPr>
        <w:jc w:val="center"/>
        <w:ind w:right="-9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58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736"/>
        </w:trPr>
        <w:tc>
          <w:tcPr>
            <w:tcW w:w="860" w:type="dxa"/>
            <w:vAlign w:val="bottom"/>
          </w:tcPr>
          <w:p>
            <w:pPr>
              <w:spacing w:after="0"/>
              <w:rPr>
                <w:sz w:val="20"/>
                <w:szCs w:val="20"/>
                <w:color w:val="auto"/>
              </w:rPr>
            </w:pPr>
            <w:r>
              <w:rPr>
                <w:rFonts w:ascii="Arial" w:cs="Arial" w:eastAsia="Arial" w:hAnsi="Arial"/>
                <w:sz w:val="18"/>
                <w:szCs w:val="18"/>
                <w:color w:val="auto"/>
              </w:rPr>
              <w:t>4.5</w:t>
            </w:r>
          </w:p>
        </w:tc>
        <w:tc>
          <w:tcPr>
            <w:tcW w:w="3720" w:type="dxa"/>
            <w:vAlign w:val="bottom"/>
            <w:gridSpan w:val="25"/>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First Supplemental Indenture, dated as of July 24,</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2360" w:type="dxa"/>
            <w:vAlign w:val="bottom"/>
          </w:tcPr>
          <w:p>
            <w:pPr>
              <w:jc w:val="center"/>
              <w:ind w:right="570"/>
              <w:spacing w:after="0"/>
              <w:rPr>
                <w:sz w:val="20"/>
                <w:szCs w:val="20"/>
                <w:color w:val="auto"/>
              </w:rPr>
            </w:pPr>
            <w:r>
              <w:rPr>
                <w:rFonts w:ascii="Arial" w:cs="Arial" w:eastAsia="Arial" w:hAnsi="Arial"/>
                <w:sz w:val="18"/>
                <w:szCs w:val="18"/>
                <w:color w:val="auto"/>
                <w:w w:val="91"/>
              </w:rPr>
              <w:t>July 25, 2017</w:t>
            </w:r>
          </w:p>
        </w:tc>
      </w:tr>
      <w:tr>
        <w:trPr>
          <w:trHeight w:val="196"/>
        </w:trPr>
        <w:tc>
          <w:tcPr>
            <w:tcW w:w="860" w:type="dxa"/>
            <w:vAlign w:val="bottom"/>
          </w:tcPr>
          <w:p>
            <w:pPr>
              <w:spacing w:after="0"/>
              <w:rPr>
                <w:sz w:val="17"/>
                <w:szCs w:val="17"/>
                <w:color w:val="auto"/>
              </w:rPr>
            </w:pPr>
          </w:p>
        </w:tc>
        <w:tc>
          <w:tcPr>
            <w:tcW w:w="3580" w:type="dxa"/>
            <w:vAlign w:val="bottom"/>
            <w:tcBorders>
              <w:top w:val="single" w:sz="8" w:color="0000EE"/>
            </w:tcBorders>
            <w:gridSpan w:val="23"/>
          </w:tcPr>
          <w:p>
            <w:pPr>
              <w:spacing w:after="0" w:line="196" w:lineRule="exact"/>
              <w:rPr>
                <w:rFonts w:ascii="Arial" w:cs="Arial" w:eastAsia="Arial" w:hAnsi="Arial"/>
                <w:sz w:val="18"/>
                <w:szCs w:val="18"/>
                <w:color w:val="0000EE"/>
                <w:w w:val="96"/>
              </w:rPr>
            </w:pPr>
            <w:hyperlink r:id="rId59">
              <w:r>
                <w:rPr>
                  <w:rFonts w:ascii="Arial" w:cs="Arial" w:eastAsia="Arial" w:hAnsi="Arial"/>
                  <w:sz w:val="18"/>
                  <w:szCs w:val="18"/>
                  <w:color w:val="0000EE"/>
                  <w:w w:val="96"/>
                </w:rPr>
                <w:t>2017, by and among Protalix BioTherapeutics,</w:t>
              </w:r>
            </w:hyperlink>
          </w:p>
        </w:tc>
        <w:tc>
          <w:tcPr>
            <w:tcW w:w="1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Inc., the guarantors party thereto, The Bank of</w:t>
              </w:r>
            </w:hyperlink>
          </w:p>
        </w:tc>
        <w:tc>
          <w:tcPr>
            <w:tcW w:w="20" w:type="dxa"/>
            <w:vAlign w:val="bottom"/>
            <w:tcBorders>
              <w:top w:val="single" w:sz="8" w:color="0000EE"/>
            </w:tcBorders>
          </w:tcPr>
          <w:p>
            <w:pPr>
              <w:spacing w:after="0"/>
              <w:rPr>
                <w:sz w:val="17"/>
                <w:szCs w:val="17"/>
                <w:color w:val="auto"/>
              </w:rPr>
            </w:pPr>
          </w:p>
        </w:tc>
        <w:tc>
          <w:tcPr>
            <w:tcW w:w="36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New York Mellon Trust Company, N.A., as</w:t>
              </w:r>
            </w:hyperlink>
          </w:p>
        </w:tc>
        <w:tc>
          <w:tcPr>
            <w:tcW w:w="58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4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trustee, and Wilmington Savings Fund Society,</w:t>
              </w:r>
            </w:hyperlink>
          </w:p>
        </w:tc>
        <w:tc>
          <w:tcPr>
            <w:tcW w:w="32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20" w:type="dxa"/>
            <w:vAlign w:val="bottom"/>
            <w:gridSpan w:val="25"/>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FSB, as collateral agent</w:t>
              </w:r>
            </w:hyperlink>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4.6</w:t>
            </w:r>
          </w:p>
        </w:tc>
        <w:tc>
          <w:tcPr>
            <w:tcW w:w="3180" w:type="dxa"/>
            <w:vAlign w:val="bottom"/>
            <w:tcBorders>
              <w:bottom w:val="single" w:sz="8" w:color="0000EE"/>
            </w:tcBorders>
            <w:gridSpan w:val="14"/>
          </w:tcPr>
          <w:p>
            <w:pPr>
              <w:spacing w:after="0"/>
              <w:rPr>
                <w:rFonts w:ascii="Arial" w:cs="Arial" w:eastAsia="Arial" w:hAnsi="Arial"/>
                <w:sz w:val="18"/>
                <w:szCs w:val="18"/>
                <w:color w:val="0000EE"/>
                <w:w w:val="88"/>
              </w:rPr>
            </w:pPr>
            <w:hyperlink r:id="rId60">
              <w:r>
                <w:rPr>
                  <w:rFonts w:ascii="Arial" w:cs="Arial" w:eastAsia="Arial" w:hAnsi="Arial"/>
                  <w:sz w:val="18"/>
                  <w:szCs w:val="18"/>
                  <w:color w:val="0000EE"/>
                  <w:w w:val="88"/>
                </w:rPr>
                <w:t>Second Supplemental Indenture, dated as of</w:t>
              </w:r>
            </w:hyperlink>
          </w:p>
        </w:tc>
        <w:tc>
          <w:tcPr>
            <w:tcW w:w="540" w:type="dxa"/>
            <w:vAlign w:val="bottom"/>
            <w:gridSpan w:val="11"/>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360" w:type="dxa"/>
            <w:vAlign w:val="bottom"/>
          </w:tcPr>
          <w:p>
            <w:pPr>
              <w:jc w:val="center"/>
              <w:ind w:right="550"/>
              <w:spacing w:after="0"/>
              <w:rPr>
                <w:sz w:val="20"/>
                <w:szCs w:val="20"/>
                <w:color w:val="auto"/>
              </w:rPr>
            </w:pPr>
            <w:r>
              <w:rPr>
                <w:rFonts w:ascii="Arial" w:cs="Arial" w:eastAsia="Arial" w:hAnsi="Arial"/>
                <w:sz w:val="18"/>
                <w:szCs w:val="18"/>
                <w:color w:val="auto"/>
                <w:w w:val="89"/>
              </w:rPr>
              <w:t>December 1, 2017</w:t>
            </w:r>
          </w:p>
        </w:tc>
      </w:tr>
      <w:tr>
        <w:trPr>
          <w:trHeight w:val="196"/>
        </w:trPr>
        <w:tc>
          <w:tcPr>
            <w:tcW w:w="860" w:type="dxa"/>
            <w:vAlign w:val="bottom"/>
          </w:tcPr>
          <w:p>
            <w:pPr>
              <w:spacing w:after="0"/>
              <w:rPr>
                <w:sz w:val="17"/>
                <w:szCs w:val="17"/>
                <w:color w:val="auto"/>
              </w:rPr>
            </w:pPr>
          </w:p>
        </w:tc>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November 27, 2017, by and among Protalix</w:t>
              </w:r>
            </w:hyperlink>
          </w:p>
        </w:tc>
        <w:tc>
          <w:tcPr>
            <w:tcW w:w="56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5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BioTherapeutics, Inc., the guarantors party hereto</w:t>
              </w:r>
            </w:hyperlink>
          </w:p>
        </w:tc>
        <w:tc>
          <w:tcPr>
            <w:tcW w:w="1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20" w:type="dxa"/>
            <w:vAlign w:val="bottom"/>
            <w:gridSpan w:val="2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and The Bank of New York Mellon Trust</w:t>
              </w:r>
            </w:hyperlink>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720" w:type="dxa"/>
            <w:vAlign w:val="bottom"/>
            <w:gridSpan w:val="25"/>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Company, N.A., as trustee, registrar, paying agent</w:t>
              </w:r>
            </w:hyperlink>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5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and conversion agent</w:t>
              </w:r>
            </w:hyperlink>
          </w:p>
        </w:tc>
        <w:tc>
          <w:tcPr>
            <w:tcW w:w="1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4.7</w:t>
            </w:r>
          </w:p>
        </w:tc>
        <w:tc>
          <w:tcPr>
            <w:tcW w:w="2060" w:type="dxa"/>
            <w:vAlign w:val="bottom"/>
            <w:tcBorders>
              <w:bottom w:val="single" w:sz="8" w:color="0000EE"/>
            </w:tcBorders>
            <w:gridSpan w:val="5"/>
          </w:tcPr>
          <w:p>
            <w:pPr>
              <w:spacing w:after="0"/>
              <w:rPr>
                <w:rFonts w:ascii="Arial" w:cs="Arial" w:eastAsia="Arial" w:hAnsi="Arial"/>
                <w:sz w:val="18"/>
                <w:szCs w:val="18"/>
                <w:color w:val="0000EE"/>
                <w:w w:val="92"/>
              </w:rPr>
            </w:pPr>
            <w:hyperlink r:id="rId61">
              <w:r>
                <w:rPr>
                  <w:rFonts w:ascii="Arial" w:cs="Arial" w:eastAsia="Arial" w:hAnsi="Arial"/>
                  <w:sz w:val="18"/>
                  <w:szCs w:val="18"/>
                  <w:color w:val="0000EE"/>
                  <w:w w:val="92"/>
                </w:rPr>
                <w:t>Description of Capital Stock</w:t>
              </w:r>
            </w:hyperlink>
          </w:p>
        </w:tc>
        <w:tc>
          <w:tcPr>
            <w:tcW w:w="1660" w:type="dxa"/>
            <w:vAlign w:val="bottom"/>
            <w:gridSpan w:val="20"/>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360" w:type="dxa"/>
            <w:vAlign w:val="bottom"/>
          </w:tcPr>
          <w:p>
            <w:pPr>
              <w:jc w:val="center"/>
              <w:ind w:right="550"/>
              <w:spacing w:after="0"/>
              <w:rPr>
                <w:sz w:val="20"/>
                <w:szCs w:val="20"/>
                <w:color w:val="auto"/>
              </w:rPr>
            </w:pPr>
            <w:r>
              <w:rPr>
                <w:rFonts w:ascii="Arial" w:cs="Arial" w:eastAsia="Arial" w:hAnsi="Arial"/>
                <w:sz w:val="18"/>
                <w:szCs w:val="18"/>
                <w:color w:val="auto"/>
                <w:w w:val="92"/>
              </w:rPr>
              <w:t>March 12, 2020</w:t>
            </w: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4.8</w:t>
            </w:r>
          </w:p>
        </w:tc>
        <w:tc>
          <w:tcPr>
            <w:tcW w:w="3720" w:type="dxa"/>
            <w:vAlign w:val="bottom"/>
            <w:gridSpan w:val="25"/>
          </w:tcPr>
          <w:p>
            <w:pPr>
              <w:spacing w:after="0"/>
              <w:rPr>
                <w:rFonts w:ascii="Arial" w:cs="Arial" w:eastAsia="Arial" w:hAnsi="Arial"/>
                <w:sz w:val="18"/>
                <w:szCs w:val="18"/>
                <w:color w:val="0000EE"/>
              </w:rPr>
            </w:pPr>
            <w:hyperlink r:id="rId62">
              <w:r>
                <w:rPr>
                  <w:rFonts w:ascii="Arial" w:cs="Arial" w:eastAsia="Arial" w:hAnsi="Arial"/>
                  <w:sz w:val="18"/>
                  <w:szCs w:val="18"/>
                  <w:color w:val="0000EE"/>
                </w:rPr>
                <w:t>Form of Warrant</w:t>
              </w:r>
            </w:hyperlink>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8-K   001-33357</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360" w:type="dxa"/>
            <w:vAlign w:val="bottom"/>
          </w:tcPr>
          <w:p>
            <w:pPr>
              <w:jc w:val="center"/>
              <w:ind w:right="550"/>
              <w:spacing w:after="0"/>
              <w:rPr>
                <w:sz w:val="20"/>
                <w:szCs w:val="20"/>
                <w:color w:val="auto"/>
              </w:rPr>
            </w:pPr>
            <w:r>
              <w:rPr>
                <w:rFonts w:ascii="Arial" w:cs="Arial" w:eastAsia="Arial" w:hAnsi="Arial"/>
                <w:sz w:val="18"/>
                <w:szCs w:val="18"/>
                <w:color w:val="auto"/>
                <w:w w:val="92"/>
              </w:rPr>
              <w:t>March 12, 2020</w:t>
            </w:r>
          </w:p>
        </w:tc>
      </w:tr>
      <w:tr>
        <w:trPr>
          <w:trHeight w:val="20"/>
        </w:trPr>
        <w:tc>
          <w:tcPr>
            <w:tcW w:w="86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4.9†</w:t>
            </w:r>
          </w:p>
        </w:tc>
        <w:tc>
          <w:tcPr>
            <w:tcW w:w="3720" w:type="dxa"/>
            <w:vAlign w:val="bottom"/>
            <w:gridSpan w:val="25"/>
          </w:tcPr>
          <w:p>
            <w:pPr>
              <w:spacing w:after="0"/>
              <w:rPr>
                <w:rFonts w:ascii="Arial" w:cs="Arial" w:eastAsia="Arial" w:hAnsi="Arial"/>
                <w:sz w:val="18"/>
                <w:szCs w:val="18"/>
                <w:color w:val="0000EE"/>
              </w:rPr>
            </w:pPr>
            <w:hyperlink r:id="rId63">
              <w:r>
                <w:rPr>
                  <w:rFonts w:ascii="Arial" w:cs="Arial" w:eastAsia="Arial" w:hAnsi="Arial"/>
                  <w:sz w:val="18"/>
                  <w:szCs w:val="18"/>
                  <w:color w:val="0000EE"/>
                </w:rPr>
                <w:t>Form of Stock Option Agreement (Executives)</w:t>
              </w:r>
            </w:hyperlink>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10-Q   001-33357</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360" w:type="dxa"/>
            <w:vAlign w:val="bottom"/>
          </w:tcPr>
          <w:p>
            <w:pPr>
              <w:jc w:val="center"/>
              <w:ind w:right="550"/>
              <w:spacing w:after="0"/>
              <w:rPr>
                <w:sz w:val="20"/>
                <w:szCs w:val="20"/>
                <w:color w:val="auto"/>
              </w:rPr>
            </w:pPr>
            <w:r>
              <w:rPr>
                <w:rFonts w:ascii="Arial" w:cs="Arial" w:eastAsia="Arial" w:hAnsi="Arial"/>
                <w:sz w:val="18"/>
                <w:szCs w:val="18"/>
                <w:color w:val="auto"/>
                <w:w w:val="91"/>
              </w:rPr>
              <w:t>August 10, 2020</w:t>
            </w: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4.10</w:t>
            </w:r>
          </w:p>
        </w:tc>
        <w:tc>
          <w:tcPr>
            <w:tcW w:w="32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Form of Stock Option Agreement (Standard)</w:t>
              </w:r>
            </w:hyperlink>
          </w:p>
        </w:tc>
        <w:tc>
          <w:tcPr>
            <w:tcW w:w="140" w:type="dxa"/>
            <w:vAlign w:val="bottom"/>
            <w:tcBorders>
              <w:top w:val="single" w:sz="8" w:color="0000EE"/>
            </w:tcBorders>
            <w:gridSpan w:val="3"/>
          </w:tcPr>
          <w:p>
            <w:pPr>
              <w:spacing w:after="0"/>
              <w:rPr>
                <w:sz w:val="21"/>
                <w:szCs w:val="21"/>
                <w:color w:val="auto"/>
              </w:rPr>
            </w:pPr>
          </w:p>
        </w:tc>
        <w:tc>
          <w:tcPr>
            <w:tcW w:w="340" w:type="dxa"/>
            <w:vAlign w:val="bottom"/>
            <w:gridSpan w:val="7"/>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2360" w:type="dxa"/>
            <w:vAlign w:val="bottom"/>
          </w:tcPr>
          <w:p>
            <w:pPr>
              <w:jc w:val="center"/>
              <w:ind w:right="550"/>
              <w:spacing w:after="0"/>
              <w:rPr>
                <w:sz w:val="20"/>
                <w:szCs w:val="20"/>
                <w:color w:val="auto"/>
              </w:rPr>
            </w:pPr>
            <w:r>
              <w:rPr>
                <w:rFonts w:ascii="Arial" w:cs="Arial" w:eastAsia="Arial" w:hAnsi="Arial"/>
                <w:sz w:val="18"/>
                <w:szCs w:val="18"/>
                <w:color w:val="auto"/>
                <w:w w:val="91"/>
              </w:rPr>
              <w:t>August 10, 2020</w:t>
            </w: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3060" w:type="dxa"/>
            <w:vAlign w:val="bottom"/>
            <w:tcBorders>
              <w:bottom w:val="single" w:sz="8" w:color="0000EE"/>
            </w:tcBorders>
            <w:gridSpan w:val="11"/>
          </w:tcPr>
          <w:p>
            <w:pP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Form of Exchange Agreement, dated as of</w:t>
              </w:r>
            </w:hyperlink>
          </w:p>
        </w:tc>
        <w:tc>
          <w:tcPr>
            <w:tcW w:w="660" w:type="dxa"/>
            <w:vAlign w:val="bottom"/>
            <w:gridSpan w:val="14"/>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360" w:type="dxa"/>
            <w:vAlign w:val="bottom"/>
          </w:tcPr>
          <w:p>
            <w:pPr>
              <w:jc w:val="center"/>
              <w:ind w:right="550"/>
              <w:spacing w:after="0"/>
              <w:rPr>
                <w:sz w:val="20"/>
                <w:szCs w:val="20"/>
                <w:color w:val="auto"/>
              </w:rPr>
            </w:pPr>
            <w:r>
              <w:rPr>
                <w:rFonts w:ascii="Arial" w:cs="Arial" w:eastAsia="Arial" w:hAnsi="Arial"/>
                <w:sz w:val="18"/>
                <w:szCs w:val="18"/>
                <w:color w:val="auto"/>
                <w:w w:val="91"/>
              </w:rPr>
              <w:t>August 12, 2021</w:t>
            </w:r>
          </w:p>
        </w:tc>
      </w:tr>
      <w:tr>
        <w:trPr>
          <w:trHeight w:val="196"/>
        </w:trPr>
        <w:tc>
          <w:tcPr>
            <w:tcW w:w="860" w:type="dxa"/>
            <w:vAlign w:val="bottom"/>
          </w:tcPr>
          <w:p>
            <w:pPr>
              <w:spacing w:after="0"/>
              <w:rPr>
                <w:sz w:val="17"/>
                <w:szCs w:val="17"/>
                <w:color w:val="auto"/>
              </w:rPr>
            </w:pPr>
          </w:p>
        </w:tc>
        <w:tc>
          <w:tcPr>
            <w:tcW w:w="3720" w:type="dxa"/>
            <w:vAlign w:val="bottom"/>
            <w:gridSpan w:val="25"/>
          </w:tcPr>
          <w:p>
            <w:pPr>
              <w:spacing w:after="0" w:line="19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August 12, 2021 among Protalix BioTherapeutics,</w:t>
              </w:r>
            </w:hyperlink>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6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Inc. and the holders named therein</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354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Certification of Chief Executive Officer pursuant</w:t>
              </w:r>
            </w:hyperlink>
          </w:p>
        </w:tc>
        <w:tc>
          <w:tcPr>
            <w:tcW w:w="180" w:type="dxa"/>
            <w:vAlign w:val="bottom"/>
            <w:gridSpan w:val="3"/>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196"/>
        </w:trPr>
        <w:tc>
          <w:tcPr>
            <w:tcW w:w="86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to Rule 13a-14(a) as adopted pursuant to Section</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302 of the Sarbanes-Oxley Act of 2002</w:t>
              </w:r>
            </w:hyperlink>
          </w:p>
        </w:tc>
        <w:tc>
          <w:tcPr>
            <w:tcW w:w="88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3720" w:type="dxa"/>
            <w:vAlign w:val="bottom"/>
            <w:gridSpan w:val="25"/>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Certification of Chief Financial Officer pursuant</w:t>
              </w:r>
            </w:hyperlink>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10"/>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to Rule 13a-14(a) as adopted pursuant to Section</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302 of the Sarbanes-Oxley Act of 2002</w:t>
              </w:r>
            </w:hyperlink>
          </w:p>
        </w:tc>
        <w:tc>
          <w:tcPr>
            <w:tcW w:w="88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3720" w:type="dxa"/>
            <w:vAlign w:val="bottom"/>
            <w:gridSpan w:val="25"/>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18 U.S.C. Section 1350, as adopted pursuant to</w:t>
              </w:r>
            </w:hyperlink>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Section 906 of the Sarbanes-Oxley Act of 2002,</w:t>
              </w:r>
            </w:hyperlink>
          </w:p>
        </w:tc>
        <w:tc>
          <w:tcPr>
            <w:tcW w:w="2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Chief Executive Officer</w:t>
              </w:r>
            </w:hyperlink>
          </w:p>
        </w:tc>
        <w:tc>
          <w:tcPr>
            <w:tcW w:w="84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3720" w:type="dxa"/>
            <w:vAlign w:val="bottom"/>
            <w:gridSpan w:val="25"/>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18 U.S.C. Section 1350, as adopted pursuant to</w:t>
              </w:r>
            </w:hyperlink>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580" w:type="dxa"/>
            <w:vAlign w:val="bottom"/>
            <w:gridSpan w:val="12"/>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Section 906 of the Sarbanes-Oxley Act of 2002,</w:t>
              </w:r>
            </w:hyperlink>
          </w:p>
        </w:tc>
        <w:tc>
          <w:tcPr>
            <w:tcW w:w="2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20" w:type="dxa"/>
            <w:vAlign w:val="bottom"/>
            <w:gridSpan w:val="2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Certification of Chief Financial Officer</w:t>
              </w:r>
            </w:hyperlink>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90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720" w:type="dxa"/>
            <w:vAlign w:val="bottom"/>
            <w:gridSpan w:val="25"/>
          </w:tcPr>
          <w:p>
            <w:pPr>
              <w:spacing w:after="0"/>
              <w:rPr>
                <w:sz w:val="20"/>
                <w:szCs w:val="20"/>
                <w:color w:val="auto"/>
              </w:rPr>
            </w:pPr>
            <w:r>
              <w:rPr>
                <w:rFonts w:ascii="Arial" w:cs="Arial" w:eastAsia="Arial" w:hAnsi="Arial"/>
                <w:sz w:val="18"/>
                <w:szCs w:val="18"/>
                <w:color w:val="auto"/>
              </w:rPr>
              <w:t xml:space="preserve">XBRL Instance Document - </w:t>
            </w:r>
            <w:r>
              <w:rPr>
                <w:rFonts w:ascii="Arial" w:cs="Arial" w:eastAsia="Arial" w:hAnsi="Arial"/>
                <w:sz w:val="18"/>
                <w:szCs w:val="18"/>
                <w:color w:val="333333"/>
              </w:rPr>
              <w:t>the instance</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16"/>
        </w:trPr>
        <w:tc>
          <w:tcPr>
            <w:tcW w:w="860" w:type="dxa"/>
            <w:vAlign w:val="bottom"/>
          </w:tcPr>
          <w:p>
            <w:pPr>
              <w:spacing w:after="0"/>
              <w:rPr>
                <w:sz w:val="18"/>
                <w:szCs w:val="18"/>
                <w:color w:val="auto"/>
              </w:rPr>
            </w:pPr>
          </w:p>
        </w:tc>
        <w:tc>
          <w:tcPr>
            <w:tcW w:w="3720" w:type="dxa"/>
            <w:vAlign w:val="bottom"/>
            <w:gridSpan w:val="25"/>
          </w:tcPr>
          <w:p>
            <w:pPr>
              <w:spacing w:after="0"/>
              <w:rPr>
                <w:sz w:val="20"/>
                <w:szCs w:val="20"/>
                <w:color w:val="auto"/>
              </w:rPr>
            </w:pPr>
            <w:r>
              <w:rPr>
                <w:rFonts w:ascii="Arial" w:cs="Arial" w:eastAsia="Arial" w:hAnsi="Arial"/>
                <w:sz w:val="18"/>
                <w:szCs w:val="18"/>
                <w:color w:val="333333"/>
                <w:w w:val="93"/>
              </w:rPr>
              <w:t>document does not appear in the Interactive Data</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720" w:type="dxa"/>
            <w:vAlign w:val="bottom"/>
            <w:gridSpan w:val="25"/>
          </w:tcPr>
          <w:p>
            <w:pPr>
              <w:spacing w:after="0"/>
              <w:rPr>
                <w:sz w:val="20"/>
                <w:szCs w:val="20"/>
                <w:color w:val="auto"/>
              </w:rPr>
            </w:pPr>
            <w:r>
              <w:rPr>
                <w:rFonts w:ascii="Arial" w:cs="Arial" w:eastAsia="Arial" w:hAnsi="Arial"/>
                <w:sz w:val="18"/>
                <w:szCs w:val="18"/>
                <w:color w:val="333333"/>
                <w:w w:val="95"/>
              </w:rPr>
              <w:t>File because its XBRL tags are embedded within</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3720" w:type="dxa"/>
            <w:vAlign w:val="bottom"/>
            <w:gridSpan w:val="25"/>
          </w:tcPr>
          <w:p>
            <w:pPr>
              <w:spacing w:after="0"/>
              <w:rPr>
                <w:sz w:val="20"/>
                <w:szCs w:val="20"/>
                <w:color w:val="auto"/>
              </w:rPr>
            </w:pPr>
            <w:r>
              <w:rPr>
                <w:rFonts w:ascii="Arial" w:cs="Arial" w:eastAsia="Arial" w:hAnsi="Arial"/>
                <w:sz w:val="18"/>
                <w:szCs w:val="18"/>
                <w:color w:val="333333"/>
              </w:rPr>
              <w:t>the Inline XBRL document</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72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w:t>
            </w: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p>
        </w:tc>
        <w:tc>
          <w:tcPr>
            <w:tcW w:w="372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72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w:t>
            </w: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p>
        </w:tc>
        <w:tc>
          <w:tcPr>
            <w:tcW w:w="3720" w:type="dxa"/>
            <w:vAlign w:val="bottom"/>
            <w:gridSpan w:val="25"/>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72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w:t>
            </w: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p>
        </w:tc>
        <w:tc>
          <w:tcPr>
            <w:tcW w:w="3720" w:type="dxa"/>
            <w:vAlign w:val="bottom"/>
            <w:gridSpan w:val="25"/>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72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Labels</w:t>
            </w: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p>
        </w:tc>
        <w:tc>
          <w:tcPr>
            <w:tcW w:w="3720" w:type="dxa"/>
            <w:vAlign w:val="bottom"/>
            <w:gridSpan w:val="25"/>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720" w:type="dxa"/>
            <w:vAlign w:val="bottom"/>
            <w:gridSpan w:val="25"/>
          </w:tcPr>
          <w:p>
            <w:pPr>
              <w:spacing w:after="0"/>
              <w:rPr>
                <w:sz w:val="20"/>
                <w:szCs w:val="20"/>
                <w:color w:val="auto"/>
              </w:rPr>
            </w:pPr>
            <w:r>
              <w:rPr>
                <w:rFonts w:ascii="Arial" w:cs="Arial" w:eastAsia="Arial" w:hAnsi="Arial"/>
                <w:sz w:val="18"/>
                <w:szCs w:val="18"/>
                <w:color w:val="auto"/>
                <w:w w:val="98"/>
              </w:rPr>
              <w:t>Inline XBRL Taxonomy Extension Presentation</w:t>
            </w: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60" w:type="dxa"/>
            <w:vAlign w:val="bottom"/>
          </w:tcPr>
          <w:p>
            <w:pPr>
              <w:ind w:left="22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p>
        </w:tc>
        <w:tc>
          <w:tcPr>
            <w:tcW w:w="3720" w:type="dxa"/>
            <w:vAlign w:val="bottom"/>
            <w:gridSpan w:val="25"/>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80" w:lineRule="exact"/>
        <w:rPr>
          <w:sz w:val="20"/>
          <w:szCs w:val="20"/>
          <w:color w:val="auto"/>
        </w:rPr>
      </w:pPr>
    </w:p>
    <w:p>
      <w:pPr>
        <w:ind w:left="860" w:right="5440" w:hanging="851"/>
        <w:spacing w:after="0" w:line="263"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8" w:lineRule="exact"/>
        <w:rPr>
          <w:sz w:val="20"/>
          <w:szCs w:val="20"/>
          <w:color w:val="auto"/>
        </w:rPr>
      </w:pPr>
    </w:p>
    <w:p>
      <w:pPr>
        <w:ind w:left="320" w:hanging="311"/>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w:t>
      </w:r>
    </w:p>
    <w:p>
      <w:pPr>
        <w:sectPr>
          <w:pgSz w:w="11900" w:h="16838" w:orient="portrait"/>
          <w:cols w:equalWidth="0" w:num="1">
            <w:col w:w="9580"/>
          </w:cols>
          <w:pgMar w:left="980" w:top="648" w:right="1339" w:bottom="1440" w:gutter="0" w:footer="0" w:header="0"/>
        </w:sectPr>
      </w:pPr>
    </w:p>
    <w:p>
      <w:pPr>
        <w:spacing w:after="0" w:line="32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00" w:firstLine="46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PROTALIX BIOTHERAPEUTICS, INC.</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6"/>
          <w:szCs w:val="16"/>
          <w:color w:val="auto"/>
        </w:rPr>
        <w:t>By: /s/ Dror Bashan</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-130175</wp:posOffset>
            </wp:positionV>
            <wp:extent cx="30086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6"/>
          <w:szCs w:val="16"/>
          <w:color w:val="auto"/>
        </w:rPr>
        <w:t>By: /s/ Eyal Rubin</w:t>
      </w:r>
    </w:p>
    <w:p>
      <w:pPr>
        <w:spacing w:after="0" w:line="5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-130175</wp:posOffset>
            </wp:positionV>
            <wp:extent cx="30086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 Treasurer and</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Dror Bashan, certify that:</w:t>
      </w:r>
    </w:p>
    <w:p>
      <w:pPr>
        <w:spacing w:after="0" w:line="18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300" w:hanging="432"/>
        <w:spacing w:after="0" w:line="263" w:lineRule="auto"/>
        <w:tabs>
          <w:tab w:leader="none" w:pos="8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Eyal Rubin, certify that:</w:t>
      </w:r>
    </w:p>
    <w:p>
      <w:pPr>
        <w:spacing w:after="0" w:line="18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300" w:hanging="432"/>
        <w:spacing w:after="0" w:line="263" w:lineRule="auto"/>
        <w:tabs>
          <w:tab w:leader="none" w:pos="8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1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June 30, 2021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46" w:lineRule="exact"/>
        <w:rPr>
          <w:sz w:val="20"/>
          <w:szCs w:val="20"/>
          <w:color w:val="auto"/>
        </w:rPr>
      </w:pPr>
    </w:p>
    <w:p>
      <w:pPr>
        <w:ind w:left="440" w:right="400" w:firstLine="9"/>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June 30, 2021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46" w:lineRule="exact"/>
        <w:rPr>
          <w:sz w:val="20"/>
          <w:szCs w:val="20"/>
          <w:color w:val="auto"/>
        </w:rPr>
      </w:pPr>
    </w:p>
    <w:p>
      <w:pPr>
        <w:ind w:left="440" w:right="400" w:firstLine="8"/>
        <w:spacing w:after="0" w:line="277"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Letter"/>
      <w:start w:val="2"/>
    </w:lvl>
  </w:abstractNum>
  <w:abstractNum w:abstractNumId="6">
    <w:nsid w:val="7FDCC233"/>
    <w:multiLevelType w:val="hybridMultilevel"/>
    <w:lvl w:ilvl="0">
      <w:lvlJc w:val="left"/>
      <w:lvlText w:val="%1."/>
      <w:numFmt w:val="lowerLetter"/>
      <w:start w:val="3"/>
    </w:lvl>
    <w:lvl w:ilvl="1">
      <w:lvlJc w:val="left"/>
      <w:lvlText w:val="%2."/>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02"/>
    </w:lvl>
  </w:abstractNum>
  <w:abstractNum w:abstractNumId="14">
    <w:nsid w:val="3F2DBA31"/>
    <w:multiLevelType w:val="hybridMultilevel"/>
    <w:lvl w:ilvl="0">
      <w:lvlJc w:val="left"/>
      <w:lvlText w:val="%1."/>
      <w:numFmt w:val="decimal"/>
      <w:start w:val="102"/>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8"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48" Type="http://schemas.openxmlformats.org/officeDocument/2006/relationships/hyperlink" Target="https://www.sec.gov/Archives/edgar/data/1006281/000110465921088982/tm2121219d1_ex1-1.htm" TargetMode="External"/><Relationship Id="rId49" Type="http://schemas.openxmlformats.org/officeDocument/2006/relationships/hyperlink" Target="https://www.sec.gov/Archives/edgar/data/1006281/000114420416092335/v435826_ex3-1.htm" TargetMode="External"/><Relationship Id="rId50" Type="http://schemas.openxmlformats.org/officeDocument/2006/relationships/hyperlink" Target="https://www.sec.gov/Archives/edgar/data/1006281/000114420416111273/v443094_def14a.htm" TargetMode="External"/><Relationship Id="rId51" Type="http://schemas.openxmlformats.org/officeDocument/2006/relationships/hyperlink" Target="https://www.sec.gov/Archives/edgar/data/1006281/000114420418054229/tv504383-def14a.htm" TargetMode="External"/><Relationship Id="rId52" Type="http://schemas.openxmlformats.org/officeDocument/2006/relationships/hyperlink" Target="https://www.sec.gov/Archives/edgar/data/1006281/000110465919074602/tm1926620d1_ex3-1.htm" TargetMode="External"/><Relationship Id="rId53" Type="http://schemas.openxmlformats.org/officeDocument/2006/relationships/hyperlink" Target="https://www.sec.gov/Archives/edgar/data/1006281/000114420416092335/v435826_ex3-2.htm" TargetMode="External"/><Relationship Id="rId54" Type="http://schemas.openxmlformats.org/officeDocument/2006/relationships/hyperlink" Target="https://www.sec.gov/Archives/edgar/data/1006281/000114420412040015/v318898_ex4-1.htm" TargetMode="External"/><Relationship Id="rId55" Type="http://schemas.openxmlformats.org/officeDocument/2006/relationships/hyperlink" Target="https://www.sec.gov/Archives/edgar/data/1006281/000114420416138423/v454581_ex4-1.htm" TargetMode="External"/><Relationship Id="rId56" Type="http://schemas.openxmlformats.org/officeDocument/2006/relationships/hyperlink" Target="https://www.sec.gov/Archives/edgar/data/1006281/000114420416138423/v454581_ex4-2.htm" TargetMode="External"/><Relationship Id="rId57" Type="http://schemas.openxmlformats.org/officeDocument/2006/relationships/hyperlink" Target="https://www.sec.gov/Archives/edgar/data/1006281/000114420416138423/v454581_ex4-3.htm" TargetMode="External"/><Relationship Id="rId59" Type="http://schemas.openxmlformats.org/officeDocument/2006/relationships/hyperlink" Target="https://www.sec.gov/Archives/edgar/data/1006281/000114420417038121/v471411_ex4-2.htm" TargetMode="External"/><Relationship Id="rId60" Type="http://schemas.openxmlformats.org/officeDocument/2006/relationships/hyperlink" Target="https://www.sec.gov/Archives/edgar/data/1006281/000114420417061920/tv480506_ex4-1.htm" TargetMode="External"/><Relationship Id="rId61" Type="http://schemas.openxmlformats.org/officeDocument/2006/relationships/hyperlink" Target="https://www.sec.gov/Archives/edgar/data/1006281/000110465920032540/tm205240d1_ex4-7.htm" TargetMode="External"/><Relationship Id="rId62" Type="http://schemas.openxmlformats.org/officeDocument/2006/relationships/hyperlink" Target="https://www.sec.gov/Archives/edgar/data/1006281/000110465920032169/tm2012488d1_ex4-1.htm" TargetMode="External"/><Relationship Id="rId63" Type="http://schemas.openxmlformats.org/officeDocument/2006/relationships/hyperlink" Target="https://www.sec.gov/Archives/edgar/data/1006281/000110465920092375/plx-20200630xex4d8.htm" TargetMode="External"/><Relationship Id="rId64" Type="http://schemas.openxmlformats.org/officeDocument/2006/relationships/hyperlink" Target="https://www.sec.gov/Archives/edgar/data/1006281/000110465920092375/plx-20200630xex4d9.htm" TargetMode="External"/><Relationship Id="rId65" Type="http://schemas.openxmlformats.org/officeDocument/2006/relationships/hyperlink" Target="https://www.sec.gov/Archives/edgar/data/1006281/000155837021011566/plx-20210812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2021-08-16T06:27:58Z</dcterms:created>
  <dcterms:modified xsi:type="dcterms:W3CDTF">2021-08-16T06:27:58Z</dcterms:modified>
</cp:coreProperties>
</file>