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52070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ANNUAL AND TRANSITION REPORTS PURSUANT TO SECTIONS 13 OR 15(d)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3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07" w:lineRule="exact"/>
        <w:rPr>
          <w:sz w:val="24"/>
          <w:szCs w:val="24"/>
          <w:color w:val="auto"/>
        </w:rPr>
      </w:pPr>
    </w:p>
    <w:p>
      <w:pPr>
        <w:ind w:left="680" w:right="3420" w:hanging="656"/>
        <w:spacing w:after="0" w:line="420" w:lineRule="auto"/>
        <w:tabs>
          <w:tab w:leader="none" w:pos="680" w:val="left"/>
        </w:tabs>
        <w:numPr>
          <w:ilvl w:val="0"/>
          <w:numId w:val="1"/>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9" w:lineRule="exact"/>
        <w:rPr>
          <w:sz w:val="24"/>
          <w:szCs w:val="24"/>
          <w:color w:val="auto"/>
        </w:rPr>
      </w:pPr>
    </w:p>
    <w:p>
      <w:pPr>
        <w:ind w:left="680" w:hanging="656"/>
        <w:spacing w:after="0"/>
        <w:tabs>
          <w:tab w:leader="none" w:pos="680" w:val="left"/>
        </w:tabs>
        <w:numPr>
          <w:ilvl w:val="0"/>
          <w:numId w:val="2"/>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18"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1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720" w:type="dxa"/>
            <w:vAlign w:val="bottom"/>
            <w:tcBorders>
              <w:bottom w:val="single" w:sz="8" w:color="auto"/>
            </w:tcBorders>
          </w:tcPr>
          <w:p>
            <w:pPr>
              <w:spacing w:after="0"/>
              <w:rPr>
                <w:sz w:val="12"/>
                <w:szCs w:val="1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w:t>
            </w:r>
          </w:p>
        </w:tc>
        <w:tc>
          <w:tcPr>
            <w:tcW w:w="680" w:type="dxa"/>
            <w:vAlign w:val="bottom"/>
            <w:tcBorders>
              <w:bottom w:val="single" w:sz="8" w:color="auto"/>
            </w:tcBorders>
          </w:tcPr>
          <w:p>
            <w:pPr>
              <w:spacing w:after="0"/>
              <w:rPr>
                <w:sz w:val="12"/>
                <w:szCs w:val="12"/>
                <w:color w:val="auto"/>
              </w:rPr>
            </w:pPr>
          </w:p>
        </w:tc>
        <w:tc>
          <w:tcPr>
            <w:tcW w:w="1880" w:type="dxa"/>
            <w:vAlign w:val="bottom"/>
          </w:tcPr>
          <w:p>
            <w:pPr>
              <w:spacing w:after="0"/>
              <w:rPr>
                <w:sz w:val="12"/>
                <w:szCs w:val="12"/>
                <w:color w:val="auto"/>
              </w:rPr>
            </w:pPr>
          </w:p>
        </w:tc>
      </w:tr>
      <w:tr>
        <w:trPr>
          <w:trHeight w:val="189"/>
        </w:trPr>
        <w:tc>
          <w:tcPr>
            <w:tcW w:w="1660" w:type="dxa"/>
            <w:vAlign w:val="bottom"/>
          </w:tcPr>
          <w:p>
            <w:pPr>
              <w:spacing w:after="0"/>
              <w:rPr>
                <w:sz w:val="16"/>
                <w:szCs w:val="16"/>
                <w:color w:val="auto"/>
              </w:rPr>
            </w:pPr>
          </w:p>
        </w:tc>
        <w:tc>
          <w:tcPr>
            <w:tcW w:w="3480" w:type="dxa"/>
            <w:vAlign w:val="bottom"/>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001-33357</w:t>
            </w:r>
          </w:p>
        </w:tc>
      </w:tr>
      <w:tr>
        <w:trPr>
          <w:trHeight w:val="166"/>
        </w:trPr>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tcPr>
          <w:p>
            <w:pPr>
              <w:jc w:val="center"/>
              <w:ind w:left="417"/>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r>
    </w:tbl>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2320" w:type="dxa"/>
            <w:vAlign w:val="bottom"/>
            <w:tcBorders>
              <w:top w:val="single" w:sz="8" w:color="auto"/>
            </w:tcBorders>
            <w:gridSpan w:val="2"/>
            <w:vMerge w:val="restart"/>
          </w:tcPr>
          <w:p>
            <w:pPr>
              <w:ind w:left="1880"/>
              <w:spacing w:after="0"/>
              <w:rPr>
                <w:sz w:val="20"/>
                <w:szCs w:val="20"/>
                <w:color w:val="auto"/>
              </w:rPr>
            </w:pPr>
            <w:r>
              <w:rPr>
                <w:rFonts w:ascii="Times New Roman" w:cs="Times New Roman" w:eastAsia="Times New Roman" w:hAnsi="Times New Roman"/>
                <w:sz w:val="13"/>
                <w:szCs w:val="13"/>
                <w:b w:val="1"/>
                <w:bCs w:val="1"/>
                <w:color w:val="auto"/>
                <w:w w:val="96"/>
              </w:rPr>
              <w:t>State or</w:t>
            </w:r>
          </w:p>
        </w:tc>
        <w:tc>
          <w:tcPr>
            <w:tcW w:w="1200" w:type="dxa"/>
            <w:vAlign w:val="bottom"/>
            <w:tcBorders>
              <w:top w:val="single" w:sz="8" w:color="auto"/>
            </w:tcBorders>
            <w:gridSpan w:val="4"/>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6"/>
          </w:tcPr>
          <w:p>
            <w:pPr>
              <w:jc w:val="right"/>
              <w:ind w:right="2277"/>
              <w:spacing w:after="0"/>
              <w:rPr>
                <w:sz w:val="20"/>
                <w:szCs w:val="20"/>
                <w:color w:val="auto"/>
              </w:rPr>
            </w:pPr>
            <w:r>
              <w:rPr>
                <w:rFonts w:ascii="Times New Roman" w:cs="Times New Roman" w:eastAsia="Times New Roman" w:hAnsi="Times New Roman"/>
                <w:sz w:val="13"/>
                <w:szCs w:val="13"/>
                <w:b w:val="1"/>
                <w:bCs w:val="1"/>
                <w:color w:val="auto"/>
              </w:rPr>
              <w:t>65-0643773</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320" w:type="dxa"/>
            <w:vAlign w:val="bottom"/>
            <w:gridSpan w:val="2"/>
            <w:vMerge w:val="continue"/>
          </w:tcPr>
          <w:p>
            <w:pPr>
              <w:spacing w:after="0"/>
              <w:rPr>
                <w:sz w:val="9"/>
                <w:szCs w:val="9"/>
                <w:color w:val="auto"/>
              </w:rPr>
            </w:pPr>
          </w:p>
        </w:tc>
        <w:tc>
          <w:tcPr>
            <w:tcW w:w="1200" w:type="dxa"/>
            <w:vAlign w:val="bottom"/>
            <w:gridSpan w:val="4"/>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other jurisdiction</w:t>
            </w: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6"/>
          </w:tcPr>
          <w:p>
            <w:pPr>
              <w:jc w:val="center"/>
              <w:ind w:right="2100"/>
              <w:spacing w:after="0" w:line="109"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66"/>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jc w:val="center"/>
              <w:ind w:right="208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25"/>
        </w:trPr>
        <w:tc>
          <w:tcPr>
            <w:tcW w:w="3520" w:type="dxa"/>
            <w:vAlign w:val="bottom"/>
            <w:gridSpan w:val="6"/>
          </w:tcPr>
          <w:p>
            <w:pPr>
              <w:jc w:val="center"/>
              <w:ind w:left="1557"/>
              <w:spacing w:after="0"/>
              <w:rPr>
                <w:sz w:val="20"/>
                <w:szCs w:val="20"/>
                <w:color w:val="auto"/>
              </w:rPr>
            </w:pPr>
            <w:r>
              <w:rPr>
                <w:rFonts w:ascii="Times New Roman" w:cs="Times New Roman" w:eastAsia="Times New Roman" w:hAnsi="Times New Roman"/>
                <w:sz w:val="13"/>
                <w:szCs w:val="13"/>
                <w:b w:val="1"/>
                <w:bCs w:val="1"/>
                <w:color w:val="auto"/>
                <w:w w:val="96"/>
              </w:rPr>
              <w:t>2 University Plaza</w:t>
            </w: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jc w:val="center"/>
              <w:ind w:right="7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Suite 100</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380" w:type="dxa"/>
            <w:vAlign w:val="bottom"/>
            <w:gridSpan w:val="5"/>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Hackensack, NJ</w:t>
            </w: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5"/>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07601</w:t>
            </w: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w w:val="93"/>
              </w:rPr>
              <w:t>(Address of</w:t>
            </w:r>
          </w:p>
        </w:tc>
        <w:tc>
          <w:tcPr>
            <w:tcW w:w="860" w:type="dxa"/>
            <w:vAlign w:val="bottom"/>
            <w:gridSpan w:val="3"/>
            <w:shd w:val="clear" w:color="auto" w:fill="000000"/>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vMerge w:val="continue"/>
          </w:tcPr>
          <w:p>
            <w:pPr>
              <w:spacing w:after="0"/>
              <w:rPr>
                <w:sz w:val="13"/>
                <w:szCs w:val="13"/>
                <w:color w:val="auto"/>
              </w:rPr>
            </w:pPr>
          </w:p>
        </w:tc>
        <w:tc>
          <w:tcPr>
            <w:tcW w:w="468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principal executive offices)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5"/>
          </w:tcPr>
          <w:p>
            <w:pPr>
              <w:jc w:val="center"/>
              <w:ind w:right="234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85"/>
        </w:trPr>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2"/>
          </w:tcPr>
          <w:p>
            <w:pPr>
              <w:jc w:val="center"/>
              <w:ind w:left="1157"/>
              <w:spacing w:after="0"/>
              <w:rPr>
                <w:sz w:val="20"/>
                <w:szCs w:val="20"/>
                <w:color w:val="auto"/>
              </w:rPr>
            </w:pPr>
            <w:r>
              <w:rPr>
                <w:rFonts w:ascii="Times New Roman" w:cs="Times New Roman" w:eastAsia="Times New Roman" w:hAnsi="Times New Roman"/>
                <w:sz w:val="13"/>
                <w:szCs w:val="13"/>
                <w:b w:val="1"/>
                <w:bCs w:val="1"/>
                <w:color w:val="auto"/>
                <w:w w:val="95"/>
              </w:rPr>
              <w:t>(201) 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including area code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Registrant’s telephone number,</w:t>
            </w:r>
          </w:p>
        </w:tc>
        <w:tc>
          <w:tcPr>
            <w:tcW w:w="1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Title of each class</w:t>
            </w:r>
          </w:p>
        </w:tc>
        <w:tc>
          <w:tcPr>
            <w:tcW w:w="4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Trading Symbol(s)</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0" w:type="dxa"/>
            <w:vAlign w:val="bottom"/>
            <w:tcBorders>
              <w:bottom w:val="single" w:sz="8" w:color="auto"/>
              <w:right w:val="single" w:sz="8" w:color="auto"/>
            </w:tcBorders>
            <w:gridSpan w:val="3"/>
          </w:tcPr>
          <w:p>
            <w:pPr>
              <w:jc w:val="center"/>
              <w:ind w:right="197"/>
              <w:spacing w:after="0" w:line="129" w:lineRule="exact"/>
              <w:rPr>
                <w:sz w:val="20"/>
                <w:szCs w:val="20"/>
                <w:color w:val="auto"/>
              </w:rPr>
            </w:pPr>
            <w:r>
              <w:rPr>
                <w:rFonts w:ascii="Times New Roman" w:cs="Times New Roman" w:eastAsia="Times New Roman" w:hAnsi="Times New Roman"/>
                <w:sz w:val="13"/>
                <w:szCs w:val="13"/>
                <w:color w:val="auto"/>
                <w:w w:val="96"/>
              </w:rPr>
              <w:t>Name of each exchange on which registered</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left w:val="single" w:sz="8" w:color="auto"/>
              <w:bottom w:val="single" w:sz="8" w:color="auto"/>
              <w:right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Common stock, $0.001 par value</w:t>
            </w: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2"/>
          </w:tcPr>
          <w:p>
            <w:pPr>
              <w:jc w:val="center"/>
              <w:ind w:right="1137"/>
              <w:spacing w:after="0" w:line="129" w:lineRule="exact"/>
              <w:rPr>
                <w:sz w:val="20"/>
                <w:szCs w:val="20"/>
                <w:color w:val="auto"/>
              </w:rPr>
            </w:pPr>
            <w:r>
              <w:rPr>
                <w:rFonts w:ascii="Times New Roman" w:cs="Times New Roman" w:eastAsia="Times New Roman" w:hAnsi="Times New Roman"/>
                <w:sz w:val="13"/>
                <w:szCs w:val="13"/>
                <w:color w:val="auto"/>
                <w:w w:val="97"/>
              </w:rPr>
              <w:t>PLX</w:t>
            </w:r>
          </w:p>
        </w:tc>
        <w:tc>
          <w:tcPr>
            <w:tcW w:w="2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40" w:type="dxa"/>
            <w:vAlign w:val="bottom"/>
            <w:tcBorders>
              <w:bottom w:val="single" w:sz="8" w:color="auto"/>
              <w:right w:val="single" w:sz="8" w:color="auto"/>
            </w:tcBorders>
          </w:tcPr>
          <w:p>
            <w:pPr>
              <w:jc w:val="center"/>
              <w:ind w:right="657"/>
              <w:spacing w:after="0" w:line="129" w:lineRule="exact"/>
              <w:rPr>
                <w:sz w:val="20"/>
                <w:szCs w:val="20"/>
                <w:color w:val="auto"/>
              </w:rPr>
            </w:pPr>
            <w:r>
              <w:rPr>
                <w:rFonts w:ascii="Times New Roman" w:cs="Times New Roman" w:eastAsia="Times New Roman" w:hAnsi="Times New Roman"/>
                <w:sz w:val="13"/>
                <w:szCs w:val="13"/>
                <w:color w:val="auto"/>
                <w:w w:val="97"/>
              </w:rPr>
              <w:t>NYSE American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3"/>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jc w:val="center"/>
              <w:ind w:right="1257"/>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820" w:type="dxa"/>
            <w:vAlign w:val="bottom"/>
            <w:gridSpan w:val="9"/>
          </w:tcPr>
          <w:p>
            <w:pPr>
              <w:ind w:left="660"/>
              <w:spacing w:after="0"/>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 Yes</w:t>
            </w:r>
          </w:p>
        </w:tc>
        <w:tc>
          <w:tcPr>
            <w:tcW w:w="3440" w:type="dxa"/>
            <w:vAlign w:val="bottom"/>
            <w:gridSpan w:val="7"/>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58"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89" w:lineRule="exact"/>
        <w:rPr>
          <w:sz w:val="24"/>
          <w:szCs w:val="24"/>
          <w:color w:val="auto"/>
        </w:rPr>
      </w:pPr>
    </w:p>
    <w:p>
      <w:pPr>
        <w:ind w:left="20" w:right="12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65" w:lineRule="exact"/>
        <w:rPr>
          <w:sz w:val="24"/>
          <w:szCs w:val="24"/>
          <w:color w:val="auto"/>
        </w:rPr>
      </w:pPr>
    </w:p>
    <w:p>
      <w:pPr>
        <w:ind w:left="20" w:right="28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65" w:lineRule="exact"/>
        <w:rPr>
          <w:sz w:val="24"/>
          <w:szCs w:val="24"/>
          <w:color w:val="auto"/>
        </w:rPr>
      </w:pPr>
    </w:p>
    <w:p>
      <w:pPr>
        <w:ind w:left="20" w:right="320" w:firstLine="64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20" w:type="dxa"/>
            <w:vAlign w:val="bottom"/>
          </w:tcPr>
          <w:p>
            <w:pPr>
              <w:ind w:left="4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tcPr>
          <w:p>
            <w:pPr>
              <w:ind w:left="54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20" w:type="dxa"/>
            <w:vAlign w:val="bottom"/>
          </w:tcPr>
          <w:p>
            <w:pPr>
              <w:ind w:left="42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line="149" w:lineRule="exact"/>
              <w:rPr>
                <w:sz w:val="20"/>
                <w:szCs w:val="20"/>
                <w:color w:val="auto"/>
              </w:rPr>
            </w:pPr>
            <w:r>
              <w:rPr>
                <w:rFonts w:ascii="Arial Unicode MS" w:cs="Arial Unicode MS" w:eastAsia="Arial Unicode MS" w:hAnsi="Arial Unicode MS"/>
                <w:sz w:val="13"/>
                <w:szCs w:val="13"/>
                <w:color w:val="auto"/>
              </w:rPr>
              <w:t>☒</w:t>
            </w:r>
          </w:p>
        </w:tc>
      </w:tr>
      <w:tr>
        <w:trPr>
          <w:trHeight w:val="199"/>
        </w:trPr>
        <w:tc>
          <w:tcPr>
            <w:tcW w:w="15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900" w:type="dxa"/>
            <w:vAlign w:val="bottom"/>
          </w:tcPr>
          <w:p>
            <w:pPr>
              <w:ind w:left="1980"/>
              <w:spacing w:after="0"/>
              <w:rPr>
                <w:sz w:val="20"/>
                <w:szCs w:val="20"/>
                <w:color w:val="auto"/>
              </w:rPr>
            </w:pPr>
            <w:r>
              <w:rPr>
                <w:rFonts w:ascii="Times New Roman" w:cs="Times New Roman" w:eastAsia="Times New Roman" w:hAnsi="Times New Roman"/>
                <w:sz w:val="13"/>
                <w:szCs w:val="13"/>
                <w:color w:val="auto"/>
              </w:rPr>
              <w:t>Emerging growth company</w:t>
            </w:r>
          </w:p>
        </w:tc>
        <w:tc>
          <w:tcPr>
            <w:tcW w:w="660" w:type="dxa"/>
            <w:vAlign w:val="bottom"/>
          </w:tcPr>
          <w:p>
            <w:pPr>
              <w:ind w:left="54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38" w:lineRule="exact"/>
        <w:rPr>
          <w:sz w:val="24"/>
          <w:szCs w:val="24"/>
          <w:color w:val="auto"/>
        </w:rPr>
      </w:pPr>
    </w:p>
    <w:p>
      <w:pPr>
        <w:ind w:left="20" w:right="24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65" w:lineRule="exact"/>
        <w:rPr>
          <w:sz w:val="24"/>
          <w:szCs w:val="24"/>
          <w:color w:val="auto"/>
        </w:rPr>
      </w:pPr>
    </w:p>
    <w:p>
      <w:pPr>
        <w:ind w:left="20" w:right="200"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left="66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89" w:lineRule="exact"/>
        <w:rPr>
          <w:sz w:val="24"/>
          <w:szCs w:val="24"/>
          <w:color w:val="auto"/>
        </w:rPr>
      </w:pPr>
    </w:p>
    <w:p>
      <w:pPr>
        <w:ind w:left="20" w:right="20" w:firstLine="648"/>
        <w:spacing w:after="0"/>
        <w:rPr>
          <w:sz w:val="20"/>
          <w:szCs w:val="20"/>
          <w:color w:val="auto"/>
        </w:rPr>
      </w:pPr>
      <w:r>
        <w:rPr>
          <w:rFonts w:ascii="Times New Roman" w:cs="Times New Roman" w:eastAsia="Times New Roman" w:hAnsi="Times New Roman"/>
          <w:sz w:val="13"/>
          <w:szCs w:val="13"/>
          <w:color w:val="auto"/>
        </w:rPr>
        <w:t>The aggregate market value of the voting common stock held by non-affiliates of the Registrant as of June 30, 2021 was approximately $85.1 million, based on the closing price for shares of the Registrant’s common stock reported by the NYSE American for such date.</w:t>
      </w:r>
    </w:p>
    <w:p>
      <w:pPr>
        <w:spacing w:after="0" w:line="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On March 15, 2022, approximately 46,316,129 shares of the Registrant’s common stock, par value $0.001 per share, were outstanding.</w:t>
      </w:r>
    </w:p>
    <w:p>
      <w:pPr>
        <w:spacing w:after="0" w:line="5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ind w:left="20" w:right="220" w:firstLine="680"/>
        <w:spacing w:after="0"/>
        <w:rPr>
          <w:sz w:val="20"/>
          <w:szCs w:val="20"/>
          <w:color w:val="auto"/>
        </w:rPr>
      </w:pPr>
      <w:r>
        <w:rPr>
          <w:rFonts w:ascii="Times New Roman" w:cs="Times New Roman" w:eastAsia="Times New Roman" w:hAnsi="Times New Roman"/>
          <w:sz w:val="13"/>
          <w:szCs w:val="13"/>
          <w:color w:val="auto"/>
        </w:rPr>
        <w:t>Portions of the registrant’s proxy statement related to its 2022 Annual Stockholders’ Meeting to be filed subsequently are incorporated by reference into Part III of this Annual Report on Form 10-K.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507365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61595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104775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shd w:val="clear" w:color="auto" w:fill="CCEEFF"/>
          </w:tcPr>
          <w:p>
            <w:pPr>
              <w:jc w:val="center"/>
              <w:spacing w:after="0" w:line="176" w:lineRule="exact"/>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3560" w:type="dxa"/>
            <w:vAlign w:val="bottom"/>
            <w:tcBorders>
              <w:bottom w:val="single" w:sz="8" w:color="CCEEFF"/>
            </w:tcBorders>
            <w:gridSpan w:val="1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00" w:type="dxa"/>
            <w:vAlign w:val="bottom"/>
            <w:gridSpan w:val="35"/>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Cautionary Statement Regarding Forward-Looking Statements and Risk Factors Summary</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754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1B.</w:t>
              </w:r>
            </w:hyperlink>
          </w:p>
        </w:tc>
        <w:tc>
          <w:tcPr>
            <w:tcW w:w="754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Unresolved Staff Comments</w:t>
              </w:r>
            </w:hyperlink>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gridSpan w:val="4"/>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2.</w:t>
              </w:r>
            </w:hyperlink>
          </w:p>
        </w:tc>
        <w:tc>
          <w:tcPr>
            <w:tcW w:w="140" w:type="dxa"/>
            <w:vAlign w:val="bottom"/>
            <w:tcBorders>
              <w:top w:val="single" w:sz="8" w:color="CCEEFF"/>
            </w:tcBorders>
            <w:gridSpan w:val="2"/>
          </w:tcPr>
          <w:p>
            <w:pPr>
              <w:spacing w:after="0"/>
              <w:rPr>
                <w:sz w:val="15"/>
                <w:szCs w:val="15"/>
                <w:color w:val="auto"/>
              </w:rPr>
            </w:pPr>
          </w:p>
        </w:tc>
        <w:tc>
          <w:tcPr>
            <w:tcW w:w="206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Properties</w:t>
              </w:r>
            </w:hyperlink>
          </w:p>
        </w:tc>
        <w:tc>
          <w:tcPr>
            <w:tcW w:w="5480" w:type="dxa"/>
            <w:vAlign w:val="bottom"/>
            <w:tcBorders>
              <w:top w:val="single" w:sz="8" w:color="CCEEFF"/>
            </w:tcBorders>
            <w:gridSpan w:val="19"/>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3.</w:t>
              </w:r>
            </w:hyperlink>
          </w:p>
        </w:tc>
        <w:tc>
          <w:tcPr>
            <w:tcW w:w="754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Legal Proceedings</w:t>
              </w:r>
            </w:hyperlink>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4.</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Mine Safety Disclosures</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180" w:type="dxa"/>
            <w:vAlign w:val="bottom"/>
            <w:gridSpan w:val="14"/>
            <w:shd w:val="clear" w:color="auto" w:fill="CCEEFF"/>
          </w:tcPr>
          <w:p>
            <w:pPr>
              <w:jc w:val="center"/>
              <w:ind w:right="3520"/>
              <w:spacing w:after="0" w:line="176" w:lineRule="exact"/>
              <w:rPr>
                <w:rFonts w:ascii="Times New Roman" w:cs="Times New Roman" w:eastAsia="Times New Roman" w:hAnsi="Times New Roman"/>
                <w:sz w:val="18"/>
                <w:szCs w:val="18"/>
                <w:b w:val="1"/>
                <w:bCs w:val="1"/>
                <w:color w:val="0000EE"/>
                <w:w w:val="97"/>
              </w:rPr>
            </w:pPr>
            <w:hyperlink w:anchor="page61">
              <w:r>
                <w:rPr>
                  <w:rFonts w:ascii="Times New Roman" w:cs="Times New Roman" w:eastAsia="Times New Roman" w:hAnsi="Times New Roman"/>
                  <w:sz w:val="18"/>
                  <w:szCs w:val="18"/>
                  <w:b w:val="1"/>
                  <w:bCs w:val="1"/>
                  <w:color w:val="0000EE"/>
                  <w:w w:val="97"/>
                </w:rPr>
                <w:t>PART II</w:t>
              </w:r>
            </w:hyperlink>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Item 5.</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Securities</w:t>
              </w:r>
            </w:hyperlink>
          </w:p>
        </w:tc>
        <w:tc>
          <w:tcPr>
            <w:tcW w:w="2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Item 6.</w:t>
              </w:r>
            </w:hyperlink>
          </w:p>
        </w:tc>
        <w:tc>
          <w:tcPr>
            <w:tcW w:w="75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Item 7.</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w w:val="96"/>
              </w:rPr>
            </w:pPr>
            <w:hyperlink w:anchor="page71">
              <w:r>
                <w:rPr>
                  <w:rFonts w:ascii="Times New Roman" w:cs="Times New Roman" w:eastAsia="Times New Roman" w:hAnsi="Times New Roman"/>
                  <w:sz w:val="18"/>
                  <w:szCs w:val="18"/>
                  <w:color w:val="0000EE"/>
                  <w:w w:val="96"/>
                </w:rPr>
                <w:t>Item 7A.</w:t>
              </w:r>
            </w:hyperlink>
          </w:p>
        </w:tc>
        <w:tc>
          <w:tcPr>
            <w:tcW w:w="120" w:type="dxa"/>
            <w:vAlign w:val="bottom"/>
            <w:shd w:val="clear" w:color="auto" w:fill="CCEEFF"/>
          </w:tcPr>
          <w:p>
            <w:pPr>
              <w:spacing w:after="0"/>
              <w:rPr>
                <w:sz w:val="17"/>
                <w:szCs w:val="17"/>
                <w:color w:val="auto"/>
              </w:rPr>
            </w:pPr>
          </w:p>
        </w:tc>
        <w:tc>
          <w:tcPr>
            <w:tcW w:w="754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Quantitative and Qualitative Disclosures About Market Risk</w:t>
              </w:r>
            </w:hyperlink>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8.</w:t>
              </w:r>
            </w:hyperlink>
          </w:p>
        </w:tc>
        <w:tc>
          <w:tcPr>
            <w:tcW w:w="12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21"/>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Financial Statements and Supplementary Data</w:t>
              </w:r>
            </w:hyperlink>
          </w:p>
        </w:tc>
        <w:tc>
          <w:tcPr>
            <w:tcW w:w="318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9.</w:t>
              </w:r>
            </w:hyperlink>
          </w:p>
        </w:tc>
        <w:tc>
          <w:tcPr>
            <w:tcW w:w="754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9A.</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Controls and Procedures</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9B.</w:t>
              </w:r>
            </w:hyperlink>
          </w:p>
        </w:tc>
        <w:tc>
          <w:tcPr>
            <w:tcW w:w="754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Other Information</w:t>
              </w:r>
            </w:hyperlink>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9C.</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Disclosure Regarding Foreign Jurisdictions that Prevent Inspections</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20" w:type="dxa"/>
            <w:vAlign w:val="bottom"/>
            <w:gridSpan w:val="16"/>
            <w:shd w:val="clear" w:color="auto" w:fill="CCEEFF"/>
          </w:tcPr>
          <w:p>
            <w:pPr>
              <w:jc w:val="center"/>
              <w:ind w:right="3500"/>
              <w:spacing w:after="0" w:line="176" w:lineRule="exact"/>
              <w:rPr>
                <w:rFonts w:ascii="Times New Roman" w:cs="Times New Roman" w:eastAsia="Times New Roman" w:hAnsi="Times New Roman"/>
                <w:sz w:val="18"/>
                <w:szCs w:val="18"/>
                <w:b w:val="1"/>
                <w:bCs w:val="1"/>
                <w:color w:val="0000EE"/>
                <w:w w:val="96"/>
              </w:rPr>
            </w:pPr>
            <w:hyperlink w:anchor="page74">
              <w:r>
                <w:rPr>
                  <w:rFonts w:ascii="Times New Roman" w:cs="Times New Roman" w:eastAsia="Times New Roman" w:hAnsi="Times New Roman"/>
                  <w:sz w:val="18"/>
                  <w:szCs w:val="18"/>
                  <w:b w:val="1"/>
                  <w:bCs w:val="1"/>
                  <w:color w:val="0000EE"/>
                  <w:w w:val="96"/>
                </w:rPr>
                <w:t>PART III</w:t>
              </w:r>
            </w:hyperlink>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10.</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Directors, Executive Officers and Corporate Governance</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11.</w:t>
              </w:r>
            </w:hyperlink>
          </w:p>
        </w:tc>
        <w:tc>
          <w:tcPr>
            <w:tcW w:w="7540" w:type="dxa"/>
            <w:vAlign w:val="bottom"/>
            <w:gridSpan w:val="29"/>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Executive Compensation</w:t>
              </w:r>
            </w:hyperlink>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12.</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Item 13.</w:t>
              </w:r>
            </w:hyperlink>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546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Certain Relationships and Related Transactions, and Director Independence</w:t>
              </w:r>
            </w:hyperlink>
          </w:p>
        </w:tc>
        <w:tc>
          <w:tcPr>
            <w:tcW w:w="2080" w:type="dxa"/>
            <w:vAlign w:val="bottom"/>
            <w:tcBorders>
              <w:bottom w:val="single" w:sz="8" w:color="CCEEFF"/>
            </w:tcBorders>
            <w:gridSpan w:val="6"/>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14.</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Principal Accountant Fees and Services</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6"/>
            <w:shd w:val="clear" w:color="auto" w:fill="CCEEFF"/>
          </w:tcPr>
          <w:p>
            <w:pPr>
              <w:jc w:val="center"/>
              <w:spacing w:after="0" w:line="176" w:lineRule="exact"/>
              <w:rPr>
                <w:rFonts w:ascii="Times New Roman" w:cs="Times New Roman" w:eastAsia="Times New Roman" w:hAnsi="Times New Roman"/>
                <w:sz w:val="18"/>
                <w:szCs w:val="18"/>
                <w:b w:val="1"/>
                <w:bCs w:val="1"/>
                <w:color w:val="0000EE"/>
                <w:w w:val="97"/>
              </w:rPr>
            </w:pPr>
            <w:hyperlink w:anchor="page75">
              <w:r>
                <w:rPr>
                  <w:rFonts w:ascii="Times New Roman" w:cs="Times New Roman" w:eastAsia="Times New Roman" w:hAnsi="Times New Roman"/>
                  <w:sz w:val="18"/>
                  <w:szCs w:val="18"/>
                  <w:b w:val="1"/>
                  <w:bCs w:val="1"/>
                  <w:color w:val="0000EE"/>
                  <w:w w:val="97"/>
                </w:rPr>
                <w:t>PART IV</w:t>
              </w:r>
            </w:hyperlink>
          </w:p>
        </w:tc>
        <w:tc>
          <w:tcPr>
            <w:tcW w:w="3500" w:type="dxa"/>
            <w:vAlign w:val="bottom"/>
            <w:tcBorders>
              <w:bottom w:val="single" w:sz="8" w:color="CCEEFF"/>
            </w:tcBorders>
            <w:gridSpan w:val="10"/>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6"/>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15.</w:t>
              </w:r>
            </w:hyperlink>
          </w:p>
        </w:tc>
        <w:tc>
          <w:tcPr>
            <w:tcW w:w="7540" w:type="dxa"/>
            <w:vAlign w:val="bottom"/>
            <w:gridSpan w:val="29"/>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Exhibits and Financial Statement Schedules</w:t>
              </w:r>
            </w:hyperlink>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6"/>
              </w:rPr>
            </w:pPr>
            <w:hyperlink w:anchor="page78">
              <w:r>
                <w:rPr>
                  <w:rFonts w:ascii="Times New Roman" w:cs="Times New Roman" w:eastAsia="Times New Roman" w:hAnsi="Times New Roman"/>
                  <w:sz w:val="18"/>
                  <w:szCs w:val="18"/>
                  <w:color w:val="0000EE"/>
                  <w:w w:val="96"/>
                </w:rPr>
                <w:t>Item 16.</w:t>
              </w:r>
            </w:hyperlink>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156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Form 10-K Summary</w:t>
              </w:r>
            </w:hyperlink>
          </w:p>
        </w:tc>
        <w:tc>
          <w:tcPr>
            <w:tcW w:w="5980" w:type="dxa"/>
            <w:vAlign w:val="bottom"/>
            <w:tcBorders>
              <w:bottom w:val="single" w:sz="8" w:color="CCEEFF"/>
            </w:tcBorders>
            <w:gridSpan w:val="2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76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Signatures</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458"/>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7"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otherwise requires, the terms “we,” “us,” “our” or “the Company,” refer to the business of Protalix BioTherapeutics, Inc. and its consolidated subsidiaries, and “Protalix” or “Protalix Ltd.” refers to the business of Protalix Ltd., our wholly-owned subsidiary and sole operating unit.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6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statements set forth under the captions “Business,” “Management’s Discussion and Analysis of Financial Condition and Results of Operations” and “Risk Factors,” and other statements included elsewhere in this Annual Report on Form 10-K, particularly with respect to our plans and strategy for our business and related financing, includes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other words or phrases of similar import, as they relate to our company or our subsidiaries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98" w:lineRule="exact"/>
        <w:rPr>
          <w:sz w:val="20"/>
          <w:szCs w:val="20"/>
          <w:color w:val="auto"/>
        </w:rPr>
      </w:pPr>
    </w:p>
    <w:p>
      <w:pPr>
        <w:ind w:left="60" w:right="23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and progress of the preparation of an updated Biologics License Application, or BLA, for PRX-102 addressing the Complete Response Letter, or CRL;</w:t>
      </w:r>
    </w:p>
    <w:p>
      <w:pPr>
        <w:spacing w:after="0" w:line="121" w:lineRule="exact"/>
        <w:rPr>
          <w:rFonts w:ascii="Times New Roman" w:cs="Times New Roman" w:eastAsia="Times New Roman" w:hAnsi="Times New Roman"/>
          <w:sz w:val="18"/>
          <w:szCs w:val="18"/>
          <w:color w:val="auto"/>
        </w:rPr>
      </w:pPr>
    </w:p>
    <w:p>
      <w:pPr>
        <w:ind w:left="60" w:right="639" w:firstLine="638"/>
        <w:spacing w:after="0" w:line="261"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progress and likelihood of final approval by the U.S. Food and Drug Administration, or the FDA, and the European Medicines Agency, or the EMA, of a resubmitted Biologics License Application, or BLA, and of a Marketing Authorization Application, or an MAA, respectively, for PRX-102, and, if approved, whether the use of PRX-102 will be commercially successful;</w:t>
      </w:r>
    </w:p>
    <w:p>
      <w:pPr>
        <w:spacing w:after="0" w:line="139" w:lineRule="exact"/>
        <w:rPr>
          <w:rFonts w:ascii="Times New Roman" w:cs="Times New Roman" w:eastAsia="Times New Roman" w:hAnsi="Times New Roman"/>
          <w:sz w:val="18"/>
          <w:szCs w:val="18"/>
          <w:color w:val="auto"/>
        </w:rPr>
      </w:pPr>
    </w:p>
    <w:p>
      <w:pPr>
        <w:ind w:left="60" w:right="59" w:firstLine="638"/>
        <w:spacing w:after="0" w:line="258"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or unwillingness of medical investigators and institutional review boards to follow our clinical protocols; inability to monitor patients adequately during or after treatment; and/or lack of sufficient funding to finance our clinical trials;</w:t>
      </w:r>
    </w:p>
    <w:p>
      <w:pPr>
        <w:spacing w:after="0" w:line="156" w:lineRule="exact"/>
        <w:rPr>
          <w:rFonts w:ascii="Times New Roman" w:cs="Times New Roman" w:eastAsia="Times New Roman" w:hAnsi="Times New Roman"/>
          <w:sz w:val="18"/>
          <w:szCs w:val="18"/>
          <w:color w:val="auto"/>
        </w:rPr>
      </w:pPr>
    </w:p>
    <w:p>
      <w:pPr>
        <w:ind w:left="60" w:right="139" w:firstLine="638"/>
        <w:spacing w:after="0" w:line="26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FDA, the European Medicines Agency, or EMA, or other foreign regulatory authorities may not accept or approve a marketing application we file for any of our product candidates, and other risks relating to the review process;</w:t>
      </w:r>
    </w:p>
    <w:p>
      <w:pPr>
        <w:spacing w:after="0" w:line="135" w:lineRule="exact"/>
        <w:rPr>
          <w:rFonts w:ascii="Times New Roman" w:cs="Times New Roman" w:eastAsia="Times New Roman" w:hAnsi="Times New Roman"/>
          <w:sz w:val="18"/>
          <w:szCs w:val="18"/>
          <w:color w:val="auto"/>
        </w:rPr>
      </w:pPr>
    </w:p>
    <w:p>
      <w:pPr>
        <w:ind w:left="60" w:right="39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novel coronavirus disease, or COVID-19, outbreak and variants, which may adversely impact our business;</w:t>
      </w:r>
    </w:p>
    <w:p>
      <w:pPr>
        <w:spacing w:after="0" w:line="121" w:lineRule="exact"/>
        <w:rPr>
          <w:rFonts w:ascii="Times New Roman" w:cs="Times New Roman" w:eastAsia="Times New Roman" w:hAnsi="Times New Roman"/>
          <w:sz w:val="18"/>
          <w:szCs w:val="18"/>
          <w:color w:val="auto"/>
        </w:rPr>
      </w:pPr>
    </w:p>
    <w:p>
      <w:pPr>
        <w:ind w:left="60" w:right="279" w:firstLine="638"/>
        <w:spacing w:after="0" w:line="282"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markets to raise capital to finance future research and development activities, general and administrative expenses and working capital;</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alternatives;</w:t>
      </w:r>
    </w:p>
    <w:p>
      <w:pPr>
        <w:spacing w:after="0" w:line="184" w:lineRule="exact"/>
        <w:rPr>
          <w:rFonts w:ascii="Times New Roman" w:cs="Times New Roman" w:eastAsia="Times New Roman" w:hAnsi="Times New Roman"/>
          <w:sz w:val="18"/>
          <w:szCs w:val="18"/>
          <w:color w:val="auto"/>
        </w:rPr>
      </w:pPr>
    </w:p>
    <w:p>
      <w:pPr>
        <w:ind w:left="60" w:right="159" w:firstLine="638"/>
        <w:spacing w:after="0" w:line="266" w:lineRule="auto"/>
        <w:tabs>
          <w:tab w:leader="none" w:pos="1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results of our clinical trials will not support the applicable claims of safety or efficacy and that our product candidates will not have the desired effects or will be associated with undesirable side effects or other unexpected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or partners, including, but not limited to, Pfizer Inc., or Pfizer, and Chiesi Farmaceutici S.p.A., or Chiesi;</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w:t>
      </w:r>
    </w:p>
    <w:p>
      <w:pPr>
        <w:spacing w:after="0" w:line="166"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60" w:right="47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 trial services;</w:t>
      </w:r>
    </w:p>
    <w:p>
      <w:pPr>
        <w:spacing w:after="0" w:line="13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 to Pfizer;</w:t>
      </w:r>
    </w:p>
    <w:p>
      <w:pPr>
        <w:spacing w:after="0" w:line="184" w:lineRule="exact"/>
        <w:rPr>
          <w:rFonts w:ascii="Times New Roman" w:cs="Times New Roman" w:eastAsia="Times New Roman" w:hAnsi="Times New Roman"/>
          <w:sz w:val="18"/>
          <w:szCs w:val="18"/>
          <w:color w:val="auto"/>
        </w:rPr>
      </w:pPr>
    </w:p>
    <w:p>
      <w:pPr>
        <w:ind w:left="60" w:right="639" w:firstLine="638"/>
        <w:spacing w:after="0" w:line="282"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potential commercial value of our product and product candidates;</w:t>
      </w:r>
    </w:p>
    <w:p>
      <w:pPr>
        <w:spacing w:after="0" w:line="134" w:lineRule="exact"/>
        <w:rPr>
          <w:rFonts w:ascii="Times New Roman" w:cs="Times New Roman" w:eastAsia="Times New Roman" w:hAnsi="Times New Roman"/>
          <w:sz w:val="18"/>
          <w:szCs w:val="18"/>
          <w:color w:val="auto"/>
        </w:rPr>
      </w:pPr>
    </w:p>
    <w:p>
      <w:pPr>
        <w:jc w:val="both"/>
        <w:ind w:left="60" w:right="11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Fundação Oswaldo Cruz, or Fiocruz, an arm of the Brazilian Ministry of Health, or the Brazilian MoH, with its purchase obligations under our supply and technology transfer agreement, which may have a material adverse effect on us and may also result in the termination of such agreement;</w:t>
      </w:r>
    </w:p>
    <w:p>
      <w:pPr>
        <w:spacing w:after="0" w:line="135"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84" w:lineRule="exact"/>
        <w:rPr>
          <w:rFonts w:ascii="Times New Roman" w:cs="Times New Roman" w:eastAsia="Times New Roman" w:hAnsi="Times New Roman"/>
          <w:sz w:val="18"/>
          <w:szCs w:val="18"/>
          <w:color w:val="auto"/>
        </w:rPr>
      </w:pPr>
    </w:p>
    <w:p>
      <w:pPr>
        <w:jc w:val="both"/>
        <w:ind w:left="60" w:right="9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infringing a third-party’s patents or other intellectual property rights and the uncertainty of obtaining patents covering our products and processes and successfully enforcing our intellectual property rights against third-parties;</w:t>
      </w:r>
    </w:p>
    <w:p>
      <w:pPr>
        <w:spacing w:after="0" w:line="14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84" w:lineRule="exact"/>
        <w:rPr>
          <w:rFonts w:ascii="Times New Roman" w:cs="Times New Roman" w:eastAsia="Times New Roman" w:hAnsi="Times New Roman"/>
          <w:sz w:val="18"/>
          <w:szCs w:val="18"/>
          <w:color w:val="auto"/>
        </w:rPr>
      </w:pPr>
    </w:p>
    <w:p>
      <w:pPr>
        <w:ind w:left="60" w:right="179" w:firstLine="638"/>
        <w:spacing w:after="0" w:line="266" w:lineRule="auto"/>
        <w:tabs>
          <w:tab w:leader="none" w:pos="13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possible disruption of our operations due to terrorist activities and armed conflict, including as a result of the disruption of the operations of certain regulatory authorities and of certain of our suppliers, collaborative partners, licensees, clinical trial sites, distributors and customers.</w:t>
      </w:r>
    </w:p>
    <w:p>
      <w:pPr>
        <w:spacing w:after="0" w:line="13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56"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These and other risks and uncertainties are detailed under the heading “Risk Factors” in this Annual Report and are described from time to time in the reports we file with the U.S. Securities and Exchange Commission, or the Commission.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0" w:right="299"/>
        <w:spacing w:after="0" w:line="242" w:lineRule="auto"/>
        <w:rPr>
          <w:sz w:val="20"/>
          <w:szCs w:val="20"/>
          <w:color w:val="auto"/>
        </w:rPr>
      </w:pPr>
      <w:r>
        <w:rPr>
          <w:rFonts w:ascii="Times New Roman" w:cs="Times New Roman" w:eastAsia="Times New Roman" w:hAnsi="Times New Roman"/>
          <w:sz w:val="17"/>
          <w:szCs w:val="17"/>
          <w:color w:val="auto"/>
        </w:rPr>
        <w:t>We are a biopharmaceutical company focused on the development, production and commercialization of recombinant therapeutic proteins produced by our proprietary ProCellEx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plant cell-based protein expression system. We are the first and only company to gain FDA approval of a protein produced through plant cell-based expression in suspension. Our unique expression system represents a new method for developing recombinant proteins in an industrial-scale manner.</w:t>
      </w:r>
    </w:p>
    <w:p>
      <w:pPr>
        <w:spacing w:after="0" w:line="15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strategic focus is to develop tailored complex recombinant therapeutic proteins primarily produced through ProCellEx while genetically engineering and/or chemically modifying the proteins pre- and/or post-production.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intend such engineering and modifications to provide added clinical benefits by improving the biologic characteristics (e.g., glycosylation, half-life, immunogenicity) of the therapeutic protein.</w:t>
      </w:r>
    </w:p>
    <w:p>
      <w:pPr>
        <w:spacing w:after="0" w:line="127" w:lineRule="exact"/>
        <w:rPr>
          <w:sz w:val="20"/>
          <w:szCs w:val="20"/>
          <w:color w:val="auto"/>
        </w:rPr>
      </w:pPr>
    </w:p>
    <w:p>
      <w:pPr>
        <w:ind w:left="60" w:right="79"/>
        <w:spacing w:after="0" w:line="235"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our approved and marketed product,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the treatment of Gaucher disease. We are also developing, via ProCellEx, a pipeline of products. Our clinical development program for pegunigalsidase alfa, or PRX-102, for the potential treatment of Fabry disease is in advanced clinical stages. In addition, we are developing uricase, or PRX-115, for the treatment of refractory gout, PRX-119, a long action DNase I for the treatment of NETs-related diseases, and a number of other product candidates in early and preclinical development.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131445</wp:posOffset>
            </wp:positionV>
            <wp:extent cx="5580380" cy="1654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038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ProCellEx Platform</w:t>
      </w:r>
    </w:p>
    <w:p>
      <w:pPr>
        <w:spacing w:after="0" w:line="202" w:lineRule="exact"/>
        <w:rPr>
          <w:sz w:val="20"/>
          <w:szCs w:val="20"/>
          <w:color w:val="auto"/>
        </w:rPr>
      </w:pPr>
    </w:p>
    <w:p>
      <w:pPr>
        <w:ind w:left="60" w:right="199"/>
        <w:spacing w:after="0" w:line="277" w:lineRule="auto"/>
        <w:rPr>
          <w:sz w:val="20"/>
          <w:szCs w:val="20"/>
          <w:color w:val="auto"/>
        </w:rPr>
      </w:pPr>
      <w:r>
        <w:rPr>
          <w:rFonts w:ascii="Times New Roman" w:cs="Times New Roman" w:eastAsia="Times New Roman" w:hAnsi="Times New Roman"/>
          <w:sz w:val="17"/>
          <w:szCs w:val="17"/>
          <w:color w:val="auto"/>
        </w:rPr>
        <w:t>ProCellEx is our proprietary platform used to produce and manufacture recombinant proteins through plant cell-based expressions in suspension. ProCellEx consists of a comprehensive set of proprietary technologies and capabilities, including the use of advanced genetic engineering and plant cell culture technology, enabling us to produce complex, proprietary, and biologically equivalent proteins for a variety of human diseases. Our protein expression system facilitates the creation and selection of high-expressing, genetically-stable cell lines capable of expressing recombinant proteins.</w:t>
      </w:r>
    </w:p>
    <w:p>
      <w:pPr>
        <w:spacing w:after="0" w:line="1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Our technology allows for many unique advantages, including: biologic optimization; an ability to handle complex protein expressions; flexible manufacturing with improvements through efficiencies, enhancements and/or rapid horizontal scale-ups; a simplified production process; elimination of the risk of viral contaminations from mammalian components; and intellectual property advantages.</w:t>
      </w:r>
    </w:p>
    <w:p>
      <w:pPr>
        <w:spacing w:after="0" w:line="13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developed ProCellEx based on our plant cell culture technology for the development, expression and manufacturing of recombinant proteins, which are the essential foundation of modern biotechnology. We develop new, recombinant therapeutic proteins by using the natural capability of agrobacterium to transfer a DNA fragment into the plant chromosome, allowing the genome of the plant cell to code for specific proteins of interest. The agrobacterium-mediated transformed cells are then able to produce specific proteins, which are extracted and purified and can be used as therapies to treat a variety of diseases.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694690</wp:posOffset>
            </wp:positionV>
            <wp:extent cx="5546090" cy="2922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609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ProCellEx technology can be utilized to express complex therapeutic proteins belonging to different drug classes, such as enzymes, hormones, monoclonal antibodies, cytokines and vaccines. The entire protein expression process, from initial nucleotide cloning to large-scale production of the protein product, occurs under Current Good Manufacturing Practice, or cGMP-, compliant, controlled processes. Our plant cell culture technology uses cells, such as carrot and tobacco (BY-2) cells, which undergo advanced genetic engineering and/or chemical modifications, and are grown on an industrial scale in a disposable, flexible bioreactor system. Our system does not involve mammalian or animal-derived components or transgenic field-grown or whole plants at any point in the production process.</w:t>
      </w:r>
    </w:p>
    <w:p>
      <w:pPr>
        <w:spacing w:after="0" w:line="14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Cell growth, from initiating scale-up steps from a cell-bank through large-scale production takes place in a clean-room environment in flexible, sterile, custom-designed polyethylene bioreactors, and does not require the use of large stainless-steel bioreactors commonly used in mammalian-based systems for recombinant protein production. The ProCellEx reactors are easy to use and maintain, allowing for rapid horizontal scale-up and do not involve the risk of mammalian viral contamination. Our bioreactors are well-suited for plant cell growth using a simple, inexpensive, chemically defined growth medium. The reactors, which are custom-designed and optimized for plant cell cultures, require low initial capital investment and are rapidly scalable at a low cost.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w:t>
      </w:r>
      <w:r>
        <w:rPr>
          <w:rFonts w:ascii="Times New Roman" w:cs="Times New Roman" w:eastAsia="Times New Roman" w:hAnsi="Times New Roman"/>
          <w:sz w:val="26"/>
          <w:szCs w:val="26"/>
          <w:i w:val="1"/>
          <w:iCs w:val="1"/>
          <w:color w:val="auto"/>
          <w:vertAlign w:val="superscript"/>
        </w:rPr>
        <w:t>®</w:t>
      </w:r>
    </w:p>
    <w:p>
      <w:pPr>
        <w:spacing w:after="0" w:line="102" w:lineRule="exact"/>
        <w:rPr>
          <w:sz w:val="20"/>
          <w:szCs w:val="20"/>
          <w:color w:val="auto"/>
        </w:rPr>
      </w:pPr>
    </w:p>
    <w:p>
      <w:pPr>
        <w:ind w:left="60" w:right="79"/>
        <w:spacing w:after="0" w:line="241" w:lineRule="auto"/>
        <w:rPr>
          <w:sz w:val="20"/>
          <w:szCs w:val="20"/>
          <w:color w:val="auto"/>
        </w:rPr>
      </w:pPr>
      <w:r>
        <w:rPr>
          <w:rFonts w:ascii="Times New Roman" w:cs="Times New Roman" w:eastAsia="Times New Roman" w:hAnsi="Times New Roman"/>
          <w:sz w:val="18"/>
          <w:szCs w:val="18"/>
          <w:color w:val="auto"/>
        </w:rPr>
        <w:t>Elelyso for the treatment of Gaucher Disease is currently approved and marketed in 23 countries including the United States, Australia, Canada, Israel, Brazil, Russia and Turkey. In June 2012, the European Committee for Medicinal Products for Human Use (CHMP) issued a positive opinion regarding the benefit of Elelyso but did not immediately grant marketing authorization because of the ten-year market exclusivity granted to Vpriv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(Takeda Shire) in August 2010 for the same condition, which was later extended for an additional two years. Elelyso is marketed globally, excluding Brazil, through an exclusive licensing agreement with Pfizer. We maintain the distribution rights to Elelyso in Brazil, where it is currently marketed as BioManguinhos alfataliglicerase, through the Supply and Technology Transfer Agreement we entered into on June 18, 2013, with Fiocruz, an arm of the Brazilian MoH, or the Brazil Agreement. In 2021, we generated $6.4 million from sales of BioManguinhos alfataliglicerase to the Brazilian MoH.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Pegunigalsidase alfa (PRX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102)</w:t>
      </w:r>
    </w:p>
    <w:p>
      <w:pPr>
        <w:spacing w:after="0" w:line="200" w:lineRule="exact"/>
        <w:rPr>
          <w:sz w:val="20"/>
          <w:szCs w:val="20"/>
          <w:color w:val="auto"/>
        </w:rPr>
      </w:pPr>
    </w:p>
    <w:p>
      <w:pPr>
        <w:ind w:left="60" w:right="79"/>
        <w:spacing w:after="0" w:line="227" w:lineRule="auto"/>
        <w:rPr>
          <w:sz w:val="20"/>
          <w:szCs w:val="20"/>
          <w:color w:val="auto"/>
        </w:rPr>
      </w:pPr>
      <w:r>
        <w:rPr>
          <w:rFonts w:ascii="Times New Roman" w:cs="Times New Roman" w:eastAsia="Times New Roman" w:hAnsi="Times New Roman"/>
          <w:sz w:val="18"/>
          <w:szCs w:val="18"/>
          <w:color w:val="auto"/>
        </w:rPr>
        <w:t>Pegunigalsidase alfa, or PRX-102, our lead product candidate, is a late-stage clinical asset in development for the treatment of Fabry disease. We expect PRX-102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α-galactosidase-A resulting in the progressive accumulation of abnormal deposits of a fatty substance called globotriaosylceramide, 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blood vessel walls throughout their body. The abnormal storage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increases with time and, as a result,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accumulates, primarily in the blood vessel walls. The ultimate consequences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w:t>
      </w:r>
    </w:p>
    <w:p>
      <w:pPr>
        <w:spacing w:after="0" w:line="15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Our phase III clinical program includes three separate studies which are referred to as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have been completed, and the last patient in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received the final dose in the study in October 2021. In addition, the phase III clinical program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extension studies in which subjects that participated in our phase I/II clinical trials and our phase III clinical trials may enroll and continue to be treated with PRX-102.</w:t>
      </w:r>
    </w:p>
    <w:p>
      <w:pPr>
        <w:spacing w:after="0" w:line="14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On February 7, 2022, an MAA for PRX-102 was submitted to, and subsequently validated by, the EMA. The submission was made after the October 8, 2021 meeting the Company held, together with Chiesi, with the Rapporteur and Co-Rapporteur of the EMA regarding PRX-102. At the meeting on October 8, 2021, we and Chiesi discussed the scope of the then anticipated MAA submission for the European Union, and the Rapporteur and Co-Rapporteur were generally supportive of the planned MAA submission for PRX-102.</w:t>
      </w:r>
    </w:p>
    <w:p>
      <w:pPr>
        <w:spacing w:after="0" w:line="156"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7"/>
          <w:szCs w:val="17"/>
          <w:color w:val="auto"/>
        </w:rPr>
        <w:t>On April 28, 2021, we, together with Chiesi, announced the receipt of a CRL from the FDA regarding the BLA originally submitted to the FDA on May 27, 2020 under the FDA’s Accelerated Approval pathway. The BLA was subsequently accepted by the FDA and granted Priority Review designation. The CRL did not report any concerns relating to the potential safety or efficacy of PRX-102 in the submitted data package. In the CRL, the FDA noted that an inspection of our manufacturing facility in Carmiel, Israel, including a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U.S. Federal Food, Drug, and Cosmetic Act, or the FFDCA, in lieu of a pre-licensing inspection. In the CRL, the FDA stated that it will communicate remaining issues to the facility in order to seek prompt resolution of any pending items. In addition to the foregoing, in the CRL, the FDA noted that Fabrazyme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(agalsidase beta), a therapy used to treat Fabry patients, was recently converted to full approval and is now an “available therapy,” which must be addressed in the context of any potential resubmission of a BLA for PRX-102.</w:t>
      </w:r>
    </w:p>
    <w:p>
      <w:pPr>
        <w:spacing w:after="0" w:line="14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We and Chiesi participated in a Type A (End of Review) meeting with the FDA on September 9, 2021 to discuss the FDA’s requirements for a BLA resubmission. As part of the meeting minutes provided by the FDA, which included the preliminary comments and meeting discussion, the FDA, in principle, agreed that the clinical data package proposed to the FDA for a BLA resubmission has the potential to support a traditional approval of PRX-102 for the treatment of Fabry disease. The planned data package for the BLA resubmission, given the changed regulatory landscape in the United States, will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w:t>
      </w:r>
    </w:p>
    <w:p>
      <w:pPr>
        <w:spacing w:after="0" w:line="14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have entered into two exclusive global licensing and supply agreements (ex-U.S. and U.S.) with Chiesi for PRX-102; on October 19, 2017, Protalix Ltd., our wholly-owned subsidiary, entered into an Exclusive License and Supply Agreement with Chiesi, or the Chiesi Ex-US Agreement, pursuant to which Chiesi was granted an exclusive license for all markets outside of the United States to commercialize PRX-102 and on July 23, 2018, Protalix Ltd. entered into an Exclusive License and Supply Agreement with Chiesi, or the Chiesi US Agreement, with respect to the commercialization of PRX-102 in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Alidornase alfa (PRX-110)</w:t>
      </w:r>
    </w:p>
    <w:p>
      <w:pPr>
        <w:spacing w:after="0" w:line="20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Alidornase alfa is our plant cell-expressed recombinant human DNase I product candidate, administered via inhalation, chemically modified to resist inhibition by actin, thus enabling enzymatic activity in the presence of actin. In vitro studies have shown PRX-110 to have a highly improved catalytic efficiency and affinity to DNA compared to the unmodified DNase I. We completed a phase IIa clinical trial of PRX-110 in Cystic Fibrosis patients in 2018, and PRX-110 was shown to be generally well-tolerated with no serious adverse events reported. Efficacy results demonstrated clinically meaningful lung function improvement following treatment with PRX-110.</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PRX-115</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PRX-115 is our plant cell-expressed recombinant PEGylated Uricase (urate oxidase) – a chemically modified enzyme under development for the potential treatment of refractory gout. Gout is the most common inflammatory arthritis in the United States, affecting an estimated 9.2 million adults. An estimated approximately 2% of the gout population is considered to have chronic refractory disease. The uricase enzyme converts uric acid to allantoin, which is easily eliminated through urine. However the uricase enzyme does not exist naturally in humans. We use ProCellEx to express an optimized recombinant uricase enzyme under development for the potential treatment of refractory gout which we are designing to have an improved half-life, reduced immunogenicity and potentially longer-term efficacy.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PRX-119</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PRX-119 is our plant cell-expressed PEGylated recombinant human DNase I product candidate which we are designing to have an elongated half-life in the circulation for the potential treatment of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I treatment reduce NETs toxicity. Our proprietary modified DNase I may potentially enable effective treatment of acute and chronic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2021 and Recent Company Developments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5" w:lineRule="exact"/>
        <w:rPr>
          <w:sz w:val="20"/>
          <w:szCs w:val="20"/>
          <w:color w:val="auto"/>
        </w:rPr>
      </w:pPr>
    </w:p>
    <w:p>
      <w:pPr>
        <w:ind w:left="60" w:right="359" w:firstLine="638"/>
        <w:spacing w:after="0" w:line="234" w:lineRule="auto"/>
        <w:tabs>
          <w:tab w:leader="none" w:pos="1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18, 2022, we, together with Chiesi, announced final results from our phase III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clinical trial of PRX-102 for the treatment of Fabry disease, or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designed to evaluate the safety, efficacy and pharmacokinetics of PRX-102 treatment, 2 mg/kg every four weeks, in up to 30 patients with Fabry disease previously treated with a commercially available enzyme replacement therapy, or ERT (agalsidase alfa – Replagal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agalsidase beta – Fabrazyme).</w:t>
      </w:r>
    </w:p>
    <w:p>
      <w:pPr>
        <w:spacing w:after="0" w:line="172" w:lineRule="exact"/>
        <w:rPr>
          <w:rFonts w:ascii="Times New Roman" w:cs="Times New Roman" w:eastAsia="Times New Roman" w:hAnsi="Times New Roman"/>
          <w:sz w:val="18"/>
          <w:szCs w:val="18"/>
          <w:color w:val="auto"/>
        </w:rPr>
      </w:pPr>
    </w:p>
    <w:p>
      <w:pPr>
        <w:ind w:left="60" w:right="139" w:firstLine="638"/>
        <w:spacing w:after="0" w:line="258" w:lineRule="auto"/>
        <w:tabs>
          <w:tab w:leader="none" w:pos="1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2022, we, together with Chiesi, announced that the PRX-102 MAA was submitted to the EMA following the October 8, 2021 meeting we, together with Chiesi, held with the Rapporteur and Co-Rapporteur of the EMA regarding PRX-102, and that the submission was subsequently validated by the EMA. At the meeting, we and Chiesi discussed the scope of the anticipated MAA submission for the European Union, and the Rapporteur and Co-Rapporteur were generally supportive of a planned MAA submission.</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2021 Developments</w:t>
      </w:r>
    </w:p>
    <w:p>
      <w:pPr>
        <w:spacing w:after="0" w:line="227" w:lineRule="exact"/>
        <w:rPr>
          <w:sz w:val="20"/>
          <w:szCs w:val="20"/>
          <w:color w:val="auto"/>
        </w:rPr>
      </w:pPr>
    </w:p>
    <w:p>
      <w:pPr>
        <w:ind w:left="60" w:right="859" w:firstLine="638"/>
        <w:spacing w:after="0" w:line="282"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15, 2021, we, together with Chiesi, announced the final dosing of the last patient in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for the proposed treatment of Fabry disease.</w:t>
      </w:r>
    </w:p>
    <w:p>
      <w:pPr>
        <w:spacing w:after="0" w:line="121" w:lineRule="exact"/>
        <w:rPr>
          <w:rFonts w:ascii="Times New Roman" w:cs="Times New Roman" w:eastAsia="Times New Roman" w:hAnsi="Times New Roman"/>
          <w:sz w:val="18"/>
          <w:szCs w:val="18"/>
          <w:color w:val="auto"/>
        </w:rPr>
      </w:pPr>
    </w:p>
    <w:p>
      <w:pPr>
        <w:ind w:left="60" w:right="399" w:firstLine="638"/>
        <w:spacing w:after="0" w:line="266" w:lineRule="auto"/>
        <w:tabs>
          <w:tab w:leader="none" w:pos="10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2021, we, together with Chiesi, provided a regulatory update regarding PRX-102 which included an announcement of the receipt of the official Type A (End-of-Review) meeting minutes from FDA regarding the CRL confirming a potential pathway for resubmission of a BLA for PRX-102.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38"/>
        <w:spacing w:after="0" w:line="261"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25, 2021, we exchanged an aggregate of $54.65 million principal amount of our outstanding 2021 Notes, representing a substantial majority of our then outstanding 2021 Notes, with institutional note holders for an aggregate of $28.75 million principal amount of newly issued 2024 Notes, $25.90 million in cash and approximately $1.1 million in cash representing accrued and unpaid interest through the closing date.</w:t>
      </w:r>
    </w:p>
    <w:p>
      <w:pPr>
        <w:spacing w:after="0" w:line="152"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 2021, we announced that a Type A Meeting request has been submitted to the FDA to discuss the</w:t>
      </w:r>
    </w:p>
    <w:p>
      <w:pPr>
        <w:spacing w:after="0" w:line="38" w:lineRule="exact"/>
        <w:rPr>
          <w:rFonts w:ascii="Times New Roman" w:cs="Times New Roman" w:eastAsia="Times New Roman" w:hAnsi="Times New Roman"/>
          <w:sz w:val="17"/>
          <w:szCs w:val="17"/>
          <w:color w:val="auto"/>
        </w:rPr>
      </w:pPr>
    </w:p>
    <w:p>
      <w:pPr>
        <w:ind w:left="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CRL.</w:t>
      </w:r>
    </w:p>
    <w:p>
      <w:pPr>
        <w:spacing w:after="0" w:line="166" w:lineRule="exact"/>
        <w:rPr>
          <w:rFonts w:ascii="Times New Roman" w:cs="Times New Roman" w:eastAsia="Times New Roman" w:hAnsi="Times New Roman"/>
          <w:sz w:val="17"/>
          <w:szCs w:val="17"/>
          <w:color w:val="auto"/>
        </w:rPr>
      </w:pPr>
    </w:p>
    <w:p>
      <w:pPr>
        <w:ind w:left="60" w:right="159" w:firstLine="638"/>
        <w:spacing w:after="0" w:line="265"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2021, we entered into the Sales Agreement with H.C. Wainwright &amp; Co., LLC, as our sales agent, or the Agent, pursuant to which we may sell from time to time up to $20.0 million worth of shares of our common stock in at-the-market transactions through the Agent. Upon execution of the Sales Agreement, we terminated the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we entered into on October 1, 2020 with BofA Securities.</w:t>
      </w:r>
    </w:p>
    <w:p>
      <w:pPr>
        <w:spacing w:after="0" w:line="23" w:lineRule="exact"/>
        <w:rPr>
          <w:rFonts w:ascii="Times New Roman" w:cs="Times New Roman" w:eastAsia="Times New Roman" w:hAnsi="Times New Roman"/>
          <w:sz w:val="18"/>
          <w:szCs w:val="18"/>
          <w:color w:val="auto"/>
        </w:rPr>
      </w:pPr>
    </w:p>
    <w:p>
      <w:pPr>
        <w:ind w:left="60" w:right="259" w:firstLine="638"/>
        <w:spacing w:after="0" w:line="255"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 2021, we, together Chiesi, announced topline results from an interim analysis of the phase III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clinical trial. The initial top-line results show that the lower boundary of the confidence interval for the mean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two treatments (PRX-102 and Fabrazyme) was below the non-inferiority margin pre-specified for this interim analysis in the ITT analysis set and above such limit in the PP analysis set. At the time of this analysis, two patients had discontinued participation due to treatment emergent adverse events (TEAEs). Of these two patients, one discontinued participation due to a related adverse event. No deaths were registered. Overall, safety data appears favorable and consistent with what was observed in previous clinical studies with PRX-102.</w:t>
      </w:r>
    </w:p>
    <w:p>
      <w:pPr>
        <w:spacing w:after="0" w:line="161" w:lineRule="exact"/>
        <w:rPr>
          <w:rFonts w:ascii="Times New Roman" w:cs="Times New Roman" w:eastAsia="Times New Roman" w:hAnsi="Times New Roman"/>
          <w:sz w:val="18"/>
          <w:szCs w:val="18"/>
          <w:color w:val="auto"/>
        </w:rPr>
      </w:pPr>
    </w:p>
    <w:p>
      <w:pPr>
        <w:ind w:left="60" w:right="239" w:firstLine="638"/>
        <w:spacing w:after="0" w:line="256"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2021, we signed a binding term sheet with Chiesi pursuant to which we amended the Chiesi Agreements in order to provide us with near-term capital. Chiesi agreed to make a $10.0 million milestone payment to us before the end of the second quarter of 2021 in exchange for a $25.0 million reduction in a longer term regulatory milestone payment provided in the Chiesi EX-US Agreement. All other regulatory and commercial milestone payments remain unchanged. We also agreed to negotiate certain manufacturing related matters. We received the payment in June 2021.</w:t>
      </w:r>
    </w:p>
    <w:p>
      <w:pPr>
        <w:spacing w:after="0" w:line="146" w:lineRule="exact"/>
        <w:rPr>
          <w:rFonts w:ascii="Times New Roman" w:cs="Times New Roman" w:eastAsia="Times New Roman" w:hAnsi="Times New Roman"/>
          <w:sz w:val="18"/>
          <w:szCs w:val="18"/>
          <w:color w:val="auto"/>
        </w:rPr>
      </w:pPr>
    </w:p>
    <w:p>
      <w:pPr>
        <w:ind w:left="60" w:right="339" w:firstLine="638"/>
        <w:spacing w:after="0" w:line="282"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2021, we, together with Chiesi, announced the receipt from the FDA of a CRL in response to the PRX-102 BLA.</w:t>
      </w:r>
    </w:p>
    <w:p>
      <w:pPr>
        <w:spacing w:after="0" w:line="119"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23, 2021, we, together with Chiesi, announced positive topline results from our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w:t>
      </w:r>
    </w:p>
    <w:p>
      <w:pPr>
        <w:spacing w:after="0" w:line="200" w:lineRule="exact"/>
        <w:rPr>
          <w:rFonts w:ascii="Times New Roman" w:cs="Times New Roman" w:eastAsia="Times New Roman" w:hAnsi="Times New Roman"/>
          <w:sz w:val="18"/>
          <w:szCs w:val="18"/>
          <w:color w:val="auto"/>
        </w:rPr>
      </w:pPr>
    </w:p>
    <w:p>
      <w:pPr>
        <w:ind w:left="60" w:right="359" w:firstLine="638"/>
        <w:spacing w:after="0" w:line="266"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2021, we announced the closing of a public offering of our common stock raising gross proceeds of approximately $40.2 million at a price equal to $4.60 per share, before deducting the underwriting discount and estimated expenses of the offering.</w:t>
      </w:r>
    </w:p>
    <w:p>
      <w:pPr>
        <w:spacing w:after="0" w:line="135" w:lineRule="exact"/>
        <w:rPr>
          <w:rFonts w:ascii="Times New Roman" w:cs="Times New Roman" w:eastAsia="Times New Roman" w:hAnsi="Times New Roman"/>
          <w:sz w:val="18"/>
          <w:szCs w:val="18"/>
          <w:color w:val="auto"/>
        </w:rPr>
      </w:pPr>
    </w:p>
    <w:p>
      <w:pPr>
        <w:ind w:left="60" w:right="279" w:firstLine="638"/>
        <w:spacing w:after="0" w:line="261" w:lineRule="auto"/>
        <w:tabs>
          <w:tab w:leader="none" w:pos="1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2021, we announced an exclusive worldwide license agreement with SarcoMed USA Inc., or SarcoMed, for PRX-110 for use in the treatment of any human respiratory disease or condition including, but not limited to, sarcoidosis, pulmonary fibrosis, and other related diseases via inhaled delivery. The agreement expired during 2021.</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Marketed Product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Elelyso</w:t>
      </w:r>
      <w:r>
        <w:rPr>
          <w:rFonts w:ascii="Times New Roman" w:cs="Times New Roman" w:eastAsia="Times New Roman" w:hAnsi="Times New Roman"/>
          <w:sz w:val="26"/>
          <w:szCs w:val="26"/>
          <w:b w:val="1"/>
          <w:bCs w:val="1"/>
          <w:i w:val="1"/>
          <w:iCs w:val="1"/>
          <w:color w:val="auto"/>
          <w:vertAlign w:val="superscript"/>
        </w:rPr>
        <w:t>®</w:t>
      </w:r>
    </w:p>
    <w:p>
      <w:pPr>
        <w:spacing w:after="0" w:line="104"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Elelyso (taliglucerase alfa), our first commercial product for the treatment of Gaucher disease, is the first plant cell derived recombinant protein therapeutic approved by major regulatory authorities, including the FDA and the EMA. Elelyso is approved in 23 markets for infusion as an ERT for the long-term treatment of adult and pediatric patients with a confirmed diagnosis of type 1 Gaucher disease. We have licensed to Pfizer the global rights for Elelyso, excluding Brazil. In Brazil, we maintain the distribution rights to taliglucerase alfa, marketed as BioManguinhos alfataliglicerase, through the Brazil Agreement. In 2021, we generated $6.4 million from sales of BioManguinhos alfataliglicerase to the Brazilian MoH.</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Gaucher disease, also known as glucocerebrosidase, or GCD, deficiency, is a rare genetic autosomal recessive disorder and one of the most common Lysosomal Storage Disorders in the world. It is one of a group of disorders that affect specific enzymes that normally break down fatty substances for reuse in the cells. If the enzymes are missing or do not work properly, the substances can build up and become toxic. Gaucher disease occurs when a lipid called glucosylceramide accumulates in the cells of the bone marrow, lungs, spleen, liver, and sometimes the brain. Gaucher disease symptoms can include fatigue, anemia, easy bruising and bleeding, severe bone pain and easily broken bones, and distended stomach due to an enlarged spleen and thrombocytopenia. Epidemiology of Gaucher disease varies; recent literature provides that prevalence of Gaucher disease ranges from 0.70 to 1.75 per 100,000 in the general population. In people of Ashkenazi Jewish heritage, estimates of occurrence vary from approximately 1 in 400 to 1 in 850 people. The global market for Gaucher disease is forecasted to be approximately $1.5 billion and $1.6 billion in 2021 and 2022, respectively (Global Data) and to grow at a CAGR of approximately 8.6% from 2020-2027 (Global Data).</w:t>
      </w:r>
    </w:p>
    <w:p>
      <w:pPr>
        <w:spacing w:after="0" w:line="165" w:lineRule="exact"/>
        <w:rPr>
          <w:sz w:val="20"/>
          <w:szCs w:val="20"/>
          <w:color w:val="auto"/>
        </w:rPr>
      </w:pPr>
    </w:p>
    <w:p>
      <w:pPr>
        <w:ind w:left="60" w:right="199"/>
        <w:spacing w:after="0" w:line="265" w:lineRule="auto"/>
        <w:rPr>
          <w:sz w:val="20"/>
          <w:szCs w:val="20"/>
          <w:color w:val="auto"/>
        </w:rPr>
      </w:pPr>
      <w:r>
        <w:rPr>
          <w:rFonts w:ascii="Times New Roman" w:cs="Times New Roman" w:eastAsia="Times New Roman" w:hAnsi="Times New Roman"/>
          <w:sz w:val="18"/>
          <w:szCs w:val="18"/>
          <w:color w:val="auto"/>
        </w:rPr>
        <w:t>The current standard of care for Gaucher disease is ERT, which is a medical treatment where recombinant enzymes are injected into patients to replace the lacking or dysfunctional enzyme. In Gaucher disease, recombinant GCD is infused to replace the mutated or deficient natural GCD enzyme. Elelyso is the only alternative ERT treatment of Gaucher disease to Sanofi Genzyme’s Cerezyme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VPRIV.</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Clinical Development Pipeline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Pegunigalsidase alfa (PRX-102)</w:t>
      </w:r>
    </w:p>
    <w:p>
      <w:pPr>
        <w:spacing w:after="0" w:line="189" w:lineRule="exact"/>
        <w:rPr>
          <w:sz w:val="20"/>
          <w:szCs w:val="20"/>
          <w:color w:val="auto"/>
        </w:rPr>
      </w:pPr>
    </w:p>
    <w:p>
      <w:pPr>
        <w:ind w:left="60" w:right="119"/>
        <w:spacing w:after="0" w:line="234" w:lineRule="auto"/>
        <w:rPr>
          <w:sz w:val="20"/>
          <w:szCs w:val="20"/>
          <w:color w:val="auto"/>
        </w:rPr>
      </w:pPr>
      <w:r>
        <w:rPr>
          <w:rFonts w:ascii="Times New Roman" w:cs="Times New Roman" w:eastAsia="Times New Roman" w:hAnsi="Times New Roman"/>
          <w:sz w:val="18"/>
          <w:szCs w:val="18"/>
          <w:color w:val="auto"/>
        </w:rPr>
        <w:t>PRX-102 is our lead product candidate and we expect it to be the primary subject of our development efforts in the short-term. It is our proprietary, investigational, plant cell culture expressed enzyme, and a chemically modified stabilized version of, the recombinant α-Galactosidase-A protein, a lysosomal enzyme, under development for the treatment of Fabry disease. Fabry disease is a serious life-threatening rare genetic disorder. Fabry patients lack α-galactosidase-A resulting in the progressive accumulation of abnormal deposits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blood vessel walls throughout their body. The abnormal storage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increases with time. The ultimate consequences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deposition range from episodes of pain and impaired peripheral sensation to end-organ failure, particularly of the kidneys, but also of the heart and the cerebrovascular system. Fabry disease occurs in one person per 40,000 to 60,000 males. The global market for Fabry disease is forecasted to be approximately $1.9 billion and $2.1 billion in 2021 and 2022, respectively (Global Data) and to grow at a CAGR of approximately 10% from 2020-2027 (Global Data).</w:t>
      </w:r>
    </w:p>
    <w:p>
      <w:pPr>
        <w:spacing w:after="0" w:line="17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Fabry disease is generally treated with an ERT, Fabrazyme or Replagal. In ERT, the missing α-galactosidase-A is replaced with a recombinant form of the protein via intravenous, or IV infusion once every two weeks. Fabry disease, if left untreated, will progress from a less severe condition to a more serious one. It can have a significant impact on quality of life due to presence of serious, chronic and debilitating complications, including cardiovascular and renal complications, and comorbid conditions such as pain can have a significant impact on the psychological well-being of Fabry patients, which also impacts social functioning. Fabry disease involves substantial reduction in life expectancy. Causes of death are most often cardiovascular disease and, to a lesser extent, cerebrovascular disease and renal disease. The life expectancy of Fabry patients is significantly shorter compared to the general population. Untreated male Fabry patients may experience shortened lifespans to approximately 50 years, and 70 years for untreated women. This represents a 20- and 10-year reduction, respectively.</w:t>
      </w:r>
    </w:p>
    <w:p>
      <w:pPr>
        <w:spacing w:after="0" w:line="15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On February 7, 2022, the PRX-102 MAA was submitted to, and subsequently validated by, the EMA. The submission was made after the October 8, 2021 meeting we held, together with Chiesi, with the Rapporteur and Co-Rapporteur of the EMA regarding PRX-102. At the meeting, we and Chiesi discussed the scope of the anticipated MAA submission for the European Union, and the Rapporteur and Co-Rapporteur were generally supportive of the planned MAA submission. The MAA submission includes a comprehensive set of preclinical, clinical and manufacturing data compiled from our completed and ongoing clinical studies evaluating PRX-102 as a potential treatment for Fabry disease. The submission is supported by the 12–month interim data analysis generated from our phase III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clinical trial of PRX-102, which was released in June 2021. Data generated from the completed phase III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clinical trial, the phase 1/2 clinical trial in naive or untreated patients, and from the extension studies with 1 mg/kg every two weeks were also included in the filing. In addition, the MAA includes data from the completed 12–month switch–over phase III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clinical trial of patients treated with the 2 mg/kg every 4 weeks dosage.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 xml:space="preserve">The initial BLA submitted on May 27, 2020 included a comprehensive set of preclinical, clinical and manufacturing data compiled from our completed phase I/II clinical trial of PRX-102, including the related extension study succeeding our phase I/II clinical trial, interim clinical data from our phase III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switch-over study and safety data from our on-going clinical studies of PRX-102 in patients receiving 1 mg/kg every other week.</w:t>
      </w:r>
    </w:p>
    <w:p>
      <w:pPr>
        <w:spacing w:after="0" w:line="15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April 28, 2021, we, together with Chiesi, announced the receipt of a CRL from the FDA regarding the BLA. The CRL did not report any concerns relating to the potential safety or efficacy of PRX-102 in the submitted data package. In the CRL, the FDA noted that an inspection of Protalix’s manufacturing facility in Carmiel, Israel, including a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FFDCA in lieu of a pre-licensing inspection. In the CRL, the FDA stated that it will communicate remaining issues to the facility in order to seek prompt resolution of any pending items. In addition to the foregoing, in the CRL, the FDA noted that Fabrazyme, a therapy used to treat Fabry patients, was recently converted to full approval and is now an “available therapy,” which must be addressed in the context of any potential resubmission of a BLA for PRX-102.</w:t>
      </w:r>
    </w:p>
    <w:p>
      <w:pPr>
        <w:spacing w:after="0" w:line="14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 xml:space="preserve">We and Chiesi participated in a Type A (End of Review) meeting with the FDA on September 9, 2021 to discuss the FDA’s requirements for a BLA resubmission. As part of the meeting minutes provided by the FDA, which included the preliminary comments and meeting discussion, the FDA, in principle, agreed that the clinical data package proposed to the FDA for a BLA resubmission has the potential to support a traditional approval of PRX-102 for the treatment of Fabry disease. The planned data package for the BLA resubmission, given the changed regulatory landscape in the United States, will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We intend to continue to work collaboratively with the FDA resolve the issues noted in the CRL and provide a new, alternative drug to Fabry patients.</w:t>
      </w:r>
    </w:p>
    <w:p>
      <w:pPr>
        <w:spacing w:after="0" w:line="148"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Given the changed regulatory landscape in the United States, the planned data package for the PRX-102 BLA resubmission will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w:t>
      </w:r>
    </w:p>
    <w:p>
      <w:pPr>
        <w:spacing w:after="0" w:line="13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 January 2018, the FDA granted Fast Track designation to PRX-102. Fast Track designation is a process designed to facilitate the development and expedite the review of drugs and vaccines for serious conditions that fill an unmet medical need.</w:t>
      </w:r>
    </w:p>
    <w:p>
      <w:pPr>
        <w:spacing w:after="0" w:line="135"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December 2017, the European Commission granted Orphan Drug Designation for PRX-102 for the treatment of Fabry disease. Orphan Drug Designation for PRX-102 qualifies Chiesi for access to a centralized marketing authorization procedure, including applications for inspections and for protocol assistance. If the orphan drug designation is maintained at the time PRX-102 is approved for marketing in the European Union, if at all, we expect that PRX-102 will benefit from 10 years of market exclusivity within the European Union. The market exclusivity will not have any effect on Fabry disease treatments already approved at that time.</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Key Trials and Design</w:t>
      </w:r>
    </w:p>
    <w:p>
      <w:pPr>
        <w:spacing w:after="0" w:line="20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Our clinical development program is designed to show that PRX-102 has a potential clinical benefit in all adult Fabry patient populations when compared to currently marketed Fabry disease enzymes, Fabrazyme and Replagal. In preclinical studies, PRX-102 showed enhanced activity in Fabry disease target organs, reduction of the accumulated substrate, significantly longer half-life due to higher enzyme stability, and reduced immunogenicity, which together can potentially lead to improved efficacy through increased substrate clearance and significantly lower formation of antibodies. Providing a meaningful improvement in the health and quality of life for Fabry patients being treated with PRX-102 represents a significant potential market opportunity.</w:t>
      </w:r>
    </w:p>
    <w:p>
      <w:pPr>
        <w:spacing w:after="0" w:line="14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Our phase III clinical program of PRX-102 for the treatment of Fabry disease includes three individual studies; the </w:t>
      </w:r>
      <w:r>
        <w:rPr>
          <w:rFonts w:ascii="Times New Roman" w:cs="Times New Roman" w:eastAsia="Times New Roman" w:hAnsi="Times New Roman"/>
          <w:sz w:val="18"/>
          <w:szCs w:val="18"/>
          <w:i w:val="1"/>
          <w:iCs w:val="1"/>
          <w:color w:val="auto"/>
        </w:rPr>
        <w:t xml:space="preserve">BALANCE </w:t>
      </w:r>
      <w:r>
        <w:rPr>
          <w:rFonts w:ascii="Times New Roman" w:cs="Times New Roman" w:eastAsia="Times New Roman" w:hAnsi="Times New Roman"/>
          <w:sz w:val="18"/>
          <w:szCs w:val="18"/>
          <w:color w:val="auto"/>
        </w:rPr>
        <w:t>study, the</w:t>
      </w:r>
      <w:r>
        <w:rPr>
          <w:rFonts w:ascii="Times New Roman" w:cs="Times New Roman" w:eastAsia="Times New Roman" w:hAnsi="Times New Roman"/>
          <w:sz w:val="18"/>
          <w:szCs w:val="18"/>
          <w:i w:val="1"/>
          <w:iCs w:val="1"/>
          <w:color w:val="auto"/>
        </w:rPr>
        <w:t xml:space="preserve"> BRIDGE </w:t>
      </w:r>
      <w:r>
        <w:rPr>
          <w:rFonts w:ascii="Times New Roman" w:cs="Times New Roman" w:eastAsia="Times New Roman" w:hAnsi="Times New Roman"/>
          <w:sz w:val="18"/>
          <w:szCs w:val="18"/>
          <w:color w:val="auto"/>
        </w:rPr>
        <w:t>study and the</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study. The</w:t>
      </w:r>
      <w:r>
        <w:rPr>
          <w:rFonts w:ascii="Times New Roman" w:cs="Times New Roman" w:eastAsia="Times New Roman" w:hAnsi="Times New Roman"/>
          <w:sz w:val="18"/>
          <w:szCs w:val="18"/>
          <w:i w:val="1"/>
          <w:iCs w:val="1"/>
          <w:color w:val="auto"/>
        </w:rPr>
        <w:t xml:space="preserve"> BRIDGE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studies have been completed,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last patient in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received the final dose in the study in October 2021. In 2015, we completed a phase I/II clinical trial of PRX-102. In the phase III clinical program, we are studying two potential dosing regimens for PRX-102; 1 mg/kg every two weeks, with the potential for improved efficacy and safety offering a potential alternative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312" w:lineRule="auto"/>
        <w:rPr>
          <w:sz w:val="20"/>
          <w:szCs w:val="20"/>
          <w:color w:val="auto"/>
        </w:rPr>
      </w:pPr>
      <w:r>
        <w:rPr>
          <w:rFonts w:ascii="Times New Roman" w:cs="Times New Roman" w:eastAsia="Times New Roman" w:hAnsi="Times New Roman"/>
          <w:sz w:val="17"/>
          <w:szCs w:val="17"/>
          <w:color w:val="auto"/>
        </w:rPr>
        <w:t>to existing enzyme replacement therapies, and 2 mg/kg every four weeks, which has the potential to lower treatment burden versus existing treatments and potentially provide a better quality of life for a subset of Fabry patients.</w:t>
      </w:r>
    </w:p>
    <w:p>
      <w:pPr>
        <w:spacing w:after="0" w:line="11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 xml:space="preserve">Patients that completed the </w:t>
      </w:r>
      <w:r>
        <w:rPr>
          <w:rFonts w:ascii="Times New Roman" w:cs="Times New Roman" w:eastAsia="Times New Roman" w:hAnsi="Times New Roman"/>
          <w:sz w:val="18"/>
          <w:szCs w:val="18"/>
          <w:i w:val="1"/>
          <w:iCs w:val="1"/>
          <w:color w:val="auto"/>
        </w:rPr>
        <w:t>BALANCE, BRIDGE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studies, and the extension of the phase I/II study, were offered the opportunity to continue PRX-102 treatment in one of two long-term open-label extension studies. Currently, 126 subjects that participated in the our PRX-102 clinical program have opted, with the advice of the treating physician, to continue PRX-102 treatment in one of our long-term extension studies; 10 subjects that completed an extension study from the phase I/II clinical trial, 18 subjects that completed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69 subjects that completed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and 29 subjects that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Of the 29 subjects that completed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that are enrolled in a long-term extension study, 27 of them are being treated with 2 mg/kg of PRX-102 every 4 weeks and two are being treated with 1 mg/kg every two weeks.</w:t>
      </w:r>
    </w:p>
    <w:p>
      <w:pPr>
        <w:spacing w:after="0" w:line="146"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In February 2020, we, together with Chiesi, announced an agreement with the FDA for the Initial Pediatric Study Plan (iPSP) for PRX-102. The joint announcement was made after completion of discussions with the FDA and receipt of confirmation from the FDA in an official “Agreement Letter” which outlines an agreed-upon approach to evaluate the safety and efficacy of PRX-102 in pediatric Fabry patients in a clinical trial to be performed by Chiesi with our collaborative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102235</wp:posOffset>
            </wp:positionV>
            <wp:extent cx="5417820" cy="2794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78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BALANCE Study</w:t>
      </w:r>
    </w:p>
    <w:p>
      <w:pPr>
        <w:spacing w:after="0" w:line="19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is a 24-month, randomized, double blind, active control study of PRX-102 in Fabry patients with impaired renal function. A total of 78 patients were enrolled in the trial which was designed to evaluate the safety and efficacy of PRX-102 compared to agalsidase beta (Fabrazyme) on renal function in Fabry patients with progressing kidney disease previously treated with Fabrazyme infused once every two weeks. The last patient in the study received the final dose in October 2021. Patients previously treated with Fabrazyme for approximately one year and on a stable dose for at least six months were screened and then randomized on a 2:1 ratio to 1 mg/kg of PRX-102 or 1 mg/kg of Fabrazyme. Randomization is being stratified by urinary protein to creatinine ratio (UPCR) of ≥ 1 g/g by spot urine sample. The study was designed such that no more than 50% of the patients enrolled in the study would be female. Approximately 40% of the enrolled patients were female.</w:t>
      </w:r>
    </w:p>
    <w:p>
      <w:pPr>
        <w:spacing w:after="0" w:line="148"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color w:val="auto"/>
        </w:rPr>
        <w:t xml:space="preserve">The primary endpoint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is the comparison in the annualized rate of decline of estimated Glomerular Filtration Rate, or eGFR, slope between Fabrazyme and PRX-102. eGFR is considered a reliable and accepted test to measure kidney function and stage of kidney disease. Additional parameters being evaluated include: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right="999"/>
        <w:spacing w:after="0" w:line="300" w:lineRule="auto"/>
        <w:rPr>
          <w:sz w:val="20"/>
          <w:szCs w:val="20"/>
          <w:color w:val="auto"/>
        </w:rPr>
      </w:pPr>
      <w:r>
        <w:rPr>
          <w:rFonts w:ascii="Times New Roman" w:cs="Times New Roman" w:eastAsia="Times New Roman" w:hAnsi="Times New Roman"/>
          <w:sz w:val="18"/>
          <w:szCs w:val="18"/>
          <w:color w:val="auto"/>
        </w:rPr>
        <w:t>cardiac assessment,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(a biomarker for monitoring Fabry patients during therapy), pain, quality of life, immunogenicity, Fabry Clinical Events and pharmacokinetic and other parameters.</w:t>
      </w:r>
    </w:p>
    <w:p>
      <w:pPr>
        <w:spacing w:after="0" w:line="94" w:lineRule="exact"/>
        <w:rPr>
          <w:sz w:val="20"/>
          <w:szCs w:val="20"/>
          <w:color w:val="auto"/>
        </w:rPr>
      </w:pPr>
    </w:p>
    <w:p>
      <w:pPr>
        <w:ind w:left="60" w:right="99"/>
        <w:spacing w:after="0" w:line="242" w:lineRule="auto"/>
        <w:rPr>
          <w:sz w:val="20"/>
          <w:szCs w:val="20"/>
          <w:color w:val="auto"/>
        </w:rPr>
      </w:pPr>
      <w:r>
        <w:rPr>
          <w:rFonts w:ascii="Times New Roman" w:cs="Times New Roman" w:eastAsia="Times New Roman" w:hAnsi="Times New Roman"/>
          <w:sz w:val="18"/>
          <w:szCs w:val="18"/>
          <w:color w:val="auto"/>
        </w:rPr>
        <w:t xml:space="preserve">In June 2021, we, together with Chiesi, announced topline results from an interim analysis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primary endpoint of the interim analysis is the comparison of mean annualized changes (slope) of the eGFR</w:t>
      </w:r>
      <w:r>
        <w:rPr>
          <w:rFonts w:ascii="Times New Roman" w:cs="Times New Roman" w:eastAsia="Times New Roman" w:hAnsi="Times New Roman"/>
          <w:sz w:val="26"/>
          <w:szCs w:val="26"/>
          <w:color w:val="auto"/>
          <w:vertAlign w:val="subscript"/>
        </w:rPr>
        <w:t>(CKD-EPI)</w:t>
      </w:r>
      <w:r>
        <w:rPr>
          <w:rFonts w:ascii="Times New Roman" w:cs="Times New Roman" w:eastAsia="Times New Roman" w:hAnsi="Times New Roman"/>
          <w:sz w:val="18"/>
          <w:szCs w:val="18"/>
          <w:color w:val="auto"/>
        </w:rPr>
        <w:t xml:space="preserve"> after completion of at least 12 months of treatment between the two treatment arms (Fabrazyme and PRX-102). The interim efficacy analysis was conducted on two pre-defined analysis sets: Intention to Treat (ITT), consisting of all randomized patients who received at least one dose (77 patients), considered as the primary analysis for this interim review; and the Per Protocol (PP), consisting of all patients who completed at least 12 months of treatment with no major protocol violations (74 patients). The patient population (ITT analysis set) of the study is comprised of 47 males (61%) and 30 females (39%) with a mean age of 44.3 years.</w:t>
      </w:r>
    </w:p>
    <w:p>
      <w:pPr>
        <w:spacing w:after="0" w:line="15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initial top-line results show that the lower boundary of the confidence interval for the mean difference between the two treatments was below the non-inferiority margin pre-specified for this interim analysis in the ITT analysis set and above such limit in the PP analysis set. At the time of this analysis, two patients discontinued participation due to treatment emergent adverse events (TEAEs). Of these two patients, one discontinued participation due to a related adverse event. No deaths were registered. Overall, safety data appears favorable and consistent with what was observed in previous clinical studies with PRX-102. We expect top-line results from the BALANCE study to be released in the second quarter of 2022 and final results to be released in the second half of 2022.</w:t>
      </w:r>
    </w:p>
    <w:p>
      <w:pPr>
        <w:spacing w:after="0" w:line="148"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 xml:space="preserve">The planned data package for the BLA resubmission, given the changed regulatory landscape in the United States, will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BRIDGE Study</w:t>
      </w:r>
    </w:p>
    <w:p>
      <w:pPr>
        <w:spacing w:after="0" w:line="18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was a 12-month open-label, single arm switch-over study evaluating the safety and efficacy of pegunigalsidase alfa, 1 mg/kg infused every two weeks, in up to 22 Fabry patients previously treated with Replagal (agalsidase alfa; marketed by Takeda Pharmaceutical Company Limited (acquired Shire Plc)) for at least two years and on a stable dose for at least six months. The trial was completed in December 2019. Patients were screened and evaluated over three months while continuing Replagal treatment.</w:t>
      </w:r>
    </w:p>
    <w:p>
      <w:pPr>
        <w:spacing w:after="0" w:line="143" w:lineRule="exact"/>
        <w:rPr>
          <w:sz w:val="20"/>
          <w:szCs w:val="20"/>
          <w:color w:val="auto"/>
        </w:rPr>
      </w:pPr>
    </w:p>
    <w:p>
      <w:pPr>
        <w:ind w:left="60" w:right="259"/>
        <w:spacing w:after="0" w:line="234" w:lineRule="auto"/>
        <w:rPr>
          <w:sz w:val="20"/>
          <w:szCs w:val="20"/>
          <w:color w:val="auto"/>
        </w:rPr>
      </w:pPr>
      <w:r>
        <w:rPr>
          <w:rFonts w:ascii="Times New Roman" w:cs="Times New Roman" w:eastAsia="Times New Roman" w:hAnsi="Times New Roman"/>
          <w:sz w:val="17"/>
          <w:szCs w:val="17"/>
          <w:color w:val="auto"/>
        </w:rPr>
        <w:t xml:space="preserve">Final results of the data generated in the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study showed substantial improvement in renal function as measured by mean annualized eGFR slope in both male and female patients. Twenty of 22 patients completed the 12-month treatment duration. Eighteen of the patients who completed the study opted to roll over to a long-term extension study and continue to be treated with PRX-102. In the study, the mean annualized eGFR slope of the study participants improved from -5.90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while on agalsidase alfa to -1.19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on PRX-102 in all patients. Male patients improved from -6.36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-1.73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and female patients improved from -5.03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to -0.21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/year. Following the switch to PRX-102, there was a decrease in patients with progressing or fast progressing kidney disease which is consistent with the therapeutic goals for Fabry disease, as identified by Christoph Wanner, </w:t>
      </w:r>
      <w:r>
        <w:rPr>
          <w:rFonts w:ascii="Times New Roman" w:cs="Times New Roman" w:eastAsia="Times New Roman" w:hAnsi="Times New Roman"/>
          <w:sz w:val="17"/>
          <w:szCs w:val="17"/>
          <w:u w:val="single" w:color="auto"/>
          <w:color w:val="auto"/>
        </w:rPr>
        <w:t>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al</w:t>
      </w:r>
      <w:r>
        <w:rPr>
          <w:rFonts w:ascii="Times New Roman" w:cs="Times New Roman" w:eastAsia="Times New Roman" w:hAnsi="Times New Roman"/>
          <w:sz w:val="17"/>
          <w:szCs w:val="17"/>
          <w:color w:val="auto"/>
        </w:rPr>
        <w:t>., in 2019, and most patients achieved a stable status post-switch.</w:t>
      </w:r>
    </w:p>
    <w:p>
      <w:pPr>
        <w:spacing w:after="0" w:line="176" w:lineRule="exact"/>
        <w:rPr>
          <w:sz w:val="20"/>
          <w:szCs w:val="20"/>
          <w:color w:val="auto"/>
        </w:rPr>
      </w:pPr>
    </w:p>
    <w:p>
      <w:pPr>
        <w:ind w:left="60" w:right="519"/>
        <w:spacing w:after="0" w:line="258" w:lineRule="auto"/>
        <w:rPr>
          <w:sz w:val="20"/>
          <w:szCs w:val="20"/>
          <w:color w:val="auto"/>
        </w:rPr>
      </w:pPr>
      <w:r>
        <w:rPr>
          <w:rFonts w:ascii="Times New Roman" w:cs="Times New Roman" w:eastAsia="Times New Roman" w:hAnsi="Times New Roman"/>
          <w:sz w:val="18"/>
          <w:szCs w:val="18"/>
          <w:color w:val="auto"/>
        </w:rPr>
        <w:t xml:space="preserve">PRX-102 was well-tolerated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with all adverse events being transient in nature without sequelae. Of the 22 patients enrolled in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the majority of treatment emergent adverse events were mild or moderate in severity, with two patients (9.1%) withdrawing from the therapy due to hypersensitivity reaction that was resolved. The most common moderate treatment emergent adverse events were nasopharyngitis, headache and dyspnea.</w:t>
      </w:r>
    </w:p>
    <w:p>
      <w:pPr>
        <w:spacing w:after="0" w:line="14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 immunogenicity assessment indicated that four out of 20 patients (20%) developed persistent antidrug antibodies over the course of the study, of which two had neutralizing activity.</w:t>
      </w:r>
    </w:p>
    <w:p>
      <w:pPr>
        <w:spacing w:after="0" w:line="121" w:lineRule="exact"/>
        <w:rPr>
          <w:sz w:val="20"/>
          <w:szCs w:val="20"/>
          <w:color w:val="auto"/>
        </w:rPr>
      </w:pPr>
    </w:p>
    <w:p>
      <w:pPr>
        <w:ind w:left="60" w:right="199"/>
        <w:spacing w:after="0" w:line="218" w:lineRule="auto"/>
        <w:rPr>
          <w:sz w:val="20"/>
          <w:szCs w:val="20"/>
          <w:color w:val="auto"/>
        </w:rPr>
      </w:pPr>
      <w:r>
        <w:rPr>
          <w:rFonts w:ascii="Times New Roman" w:cs="Times New Roman" w:eastAsia="Times New Roman" w:hAnsi="Times New Roman"/>
          <w:sz w:val="18"/>
          <w:szCs w:val="18"/>
          <w:color w:val="auto"/>
        </w:rPr>
        <w:t>Baseline characteristics of the 20 patients that completed the study, ranging from ages 28 to 60 years, were as follows: mean eGFR 75.87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males, and 86.14 mL/min/1.73m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females and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were 51.81 nM and 13.81 nM in males and females, respectively. While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remain slightly high, particularly within the male cohort, continuous reduction in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was observed of 19.55 nM (32.35%) in males and 4.57 nM (29.81%) in females.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199"/>
        <w:spacing w:after="0" w:line="267" w:lineRule="auto"/>
        <w:rPr>
          <w:sz w:val="20"/>
          <w:szCs w:val="20"/>
          <w:color w:val="auto"/>
        </w:rPr>
      </w:pPr>
      <w:r>
        <w:rPr>
          <w:rFonts w:ascii="Times New Roman" w:cs="Times New Roman" w:eastAsia="Times New Roman" w:hAnsi="Times New Roman"/>
          <w:sz w:val="18"/>
          <w:szCs w:val="18"/>
          <w:color w:val="auto"/>
        </w:rPr>
        <w:t xml:space="preserve">Data from the interim analysis of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which were first announced in February 2020, were used to support the PRX-102 BLA filing with the FDA, and we anticipate that the final analysis will be used to support the planned MAA submission to the EMA and the BLA resubmission.</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BRIGHT Study</w:t>
      </w:r>
    </w:p>
    <w:p>
      <w:pPr>
        <w:spacing w:after="0" w:line="185" w:lineRule="exact"/>
        <w:rPr>
          <w:sz w:val="20"/>
          <w:szCs w:val="20"/>
          <w:color w:val="auto"/>
        </w:rPr>
      </w:pPr>
    </w:p>
    <w:p>
      <w:pPr>
        <w:ind w:left="60" w:right="99"/>
        <w:spacing w:after="0" w:line="24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was a multicenter, multinational open-label, switch-over study designed to evaluate the safety, efficacy and pharmacokinetics of treatment with 2 mg/kg of PRX-102 administered every four weeks for 52 weeks (a total of 14 infusions). The trial, which was completed in June 2020, enrolled 30 adult patients (24 males and 6 females) with mean (SD) age of 40.5 (11.3) years, ranging from 19 to 58 years previously treated with a commercially available ERT (Fabrazyme or Replagal), for at least three years and on a stable dose administered every two weeks. To determine eligibility for participation in the study, candidates were screened to identify and select Fabry patients with clinically stable kidney disease. The most common Fabry disease symptoms at baseline were acroparesthesia, heat intolerance, angiokeratomas and hypohydrosis. Patients who matched the criteria were enrolled in the study and switched from their current treatment of IV infusions every 2 weeks to 2 mg/kg of PRX-102 every 4 weeks for 12 months. Patients participating in the study were evaluated, among other disease parameters, to determine if their kidney disease had not further deteriorated while being treated with the 4-week dosing regimen as measured by eGFR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as well as other parameters. In addition, participating patients were evaluated to assess the safety and tolerability of PRX-102.</w:t>
      </w:r>
    </w:p>
    <w:p>
      <w:pPr>
        <w:spacing w:after="0" w:line="152" w:lineRule="exact"/>
        <w:rPr>
          <w:sz w:val="20"/>
          <w:szCs w:val="20"/>
          <w:color w:val="auto"/>
        </w:rPr>
      </w:pPr>
    </w:p>
    <w:p>
      <w:pPr>
        <w:ind w:left="60" w:right="199"/>
        <w:spacing w:after="0" w:line="248" w:lineRule="auto"/>
        <w:rPr>
          <w:sz w:val="20"/>
          <w:szCs w:val="20"/>
          <w:color w:val="auto"/>
        </w:rPr>
      </w:pPr>
      <w:r>
        <w:rPr>
          <w:rFonts w:ascii="Times New Roman" w:cs="Times New Roman" w:eastAsia="Times New Roman" w:hAnsi="Times New Roman"/>
          <w:sz w:val="17"/>
          <w:szCs w:val="17"/>
          <w:color w:val="auto"/>
        </w:rPr>
        <w:t xml:space="preserve">We announced final results from the </w:t>
      </w:r>
      <w:r>
        <w:rPr>
          <w:rFonts w:ascii="Times New Roman" w:cs="Times New Roman" w:eastAsia="Times New Roman" w:hAnsi="Times New Roman"/>
          <w:sz w:val="17"/>
          <w:szCs w:val="17"/>
          <w:i w:val="1"/>
          <w:iCs w:val="1"/>
          <w:color w:val="auto"/>
        </w:rPr>
        <w:t>BRIGHT</w:t>
      </w:r>
      <w:r>
        <w:rPr>
          <w:rFonts w:ascii="Times New Roman" w:cs="Times New Roman" w:eastAsia="Times New Roman" w:hAnsi="Times New Roman"/>
          <w:sz w:val="17"/>
          <w:szCs w:val="17"/>
          <w:color w:val="auto"/>
        </w:rPr>
        <w:t xml:space="preserve"> study in March 2022. The results indicate that 2 mg/kg of PRX-102 administered by intravenous infusion every four weeks was well tolerated, and Fabry disease assessed by eGFR slope and plasma lyso-Gb</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xml:space="preserve"> was stable throughout PRX-102 treatment in adult Fabry patients. None of the patients without anti-drug antibodies, or ADAs, at screening developed treatment-induced ADAs following the switch to PRX-102 treatment.</w:t>
      </w:r>
    </w:p>
    <w:p>
      <w:pPr>
        <w:spacing w:after="0" w:line="192" w:lineRule="exact"/>
        <w:rPr>
          <w:sz w:val="20"/>
          <w:szCs w:val="20"/>
          <w:color w:val="auto"/>
        </w:rPr>
      </w:pPr>
    </w:p>
    <w:p>
      <w:pPr>
        <w:ind w:left="60" w:right="119"/>
        <w:spacing w:after="0" w:line="230" w:lineRule="auto"/>
        <w:rPr>
          <w:sz w:val="20"/>
          <w:szCs w:val="20"/>
          <w:color w:val="auto"/>
        </w:rPr>
      </w:pPr>
      <w:r>
        <w:rPr>
          <w:rFonts w:ascii="Times New Roman" w:cs="Times New Roman" w:eastAsia="Times New Roman" w:hAnsi="Times New Roman"/>
          <w:sz w:val="18"/>
          <w:szCs w:val="18"/>
          <w:color w:val="auto"/>
        </w:rPr>
        <w:t>All 30 patients received at least one dose of pegunigalsidase alfa, and 29 patients completed the one-year study. Of these 29 patients, 28 received the intended regimen of 2 mg/kg every 4 weeks throughout the entire study, while one patient was switched to 1 mg/kg pegunigalsidase alfa every two weeks per protocol at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infusion. One patient withdrew from the study after the first infusion due to a traffic accident.</w:t>
      </w:r>
    </w:p>
    <w:p>
      <w:pPr>
        <w:spacing w:after="0" w:line="17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First infusions of PRX-102 were administered under controlled conditions at the investigation site. Based on the protocol-specified criteria, patients were able to receive their PRX-102 infusions at a home care setup once the Investigator and Sponsor Medical Monitor agreed that it was safe to do so. Safety and efficacy exploratory endpoints were assessed throughout the 52-week study.</w:t>
      </w:r>
    </w:p>
    <w:p>
      <w:pPr>
        <w:spacing w:after="0" w:line="13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Overall, 33 of 183 total treatment-emergent adverse events (TEAEs) reported in nine (30.0%) of the patients were considered treatment related; all were mild or moderate in severity and the majority were resolved at the end of the study. There were no serious or severe treatment-related TEAEs and no TEAEs lead to death or study withdrawal. Of the treatment-related TEAEs, 27 were infusion-related reactions (IRRs) and the remainder were single events of diarrhea, erythema, fatigue, influenza-like illness, increases urine protein/creatinine ratio, and urine positive for white blood cells. The 27 IRRs were reported in five (16.7%) patients, all male. All IRRs occurred during the infusion or within two hours post-infusion; no events were recorded between two and 24 hours post-infusion.</w:t>
      </w:r>
    </w:p>
    <w:p>
      <w:pPr>
        <w:spacing w:after="0" w:line="95" w:lineRule="exact"/>
        <w:rPr>
          <w:sz w:val="20"/>
          <w:szCs w:val="20"/>
          <w:color w:val="auto"/>
        </w:rPr>
      </w:pPr>
    </w:p>
    <w:p>
      <w:pPr>
        <w:jc w:val="both"/>
        <w:ind w:left="60" w:right="119"/>
        <w:spacing w:after="0" w:line="253" w:lineRule="auto"/>
        <w:rPr>
          <w:sz w:val="20"/>
          <w:szCs w:val="20"/>
          <w:color w:val="auto"/>
        </w:rPr>
      </w:pPr>
      <w:r>
        <w:rPr>
          <w:rFonts w:ascii="Times New Roman" w:cs="Times New Roman" w:eastAsia="Times New Roman" w:hAnsi="Times New Roman"/>
          <w:sz w:val="17"/>
          <w:szCs w:val="17"/>
          <w:color w:val="auto"/>
        </w:rPr>
        <w:t>Study outcome measures show that plasma lyso-Gb</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xml:space="preserve"> concentrations remained stable during the study with a mean change (±SE) of 3.01 nM (0.94) from baseline (19.36 nM ±3.35) to Week 52 (22.23 ±3.60 nM). Mean absolute eGFR values were stable during the 52-week treatment period, with a mean change from baseline of -1.27 mL/min/1.73 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(1.39). Mean (SE) eGFR slope, at the end of the study, for the overall population, was -2.92 (1.05) mL/min/1.73m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/year indicating stability.</w:t>
      </w:r>
    </w:p>
    <w:p>
      <w:pPr>
        <w:spacing w:after="0" w:line="7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study suggests that Fabry patients who are currently receiving ERT every 2 weeks may be successfully transitioned to PRX-102 2 mg/kg every 4 weeks as an effective and tolerable alternative treatment option. Additional long term data is being collected as part of the ongoing long term extension study (NCT03614234) of the 2 mg/kg PRX-102 every 4 weeks dose.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Following a survey of participants using the Quality of Life EQ-5D-5L questionnaire, responses indicate that patient perception of their own health remained high and stable throughout the 52-week study duration, with overall health mean (SE) scores of 78.3 (3.1) and 82.1 (2.9) at baseline and Week 52, respectively, in a 0 to 100 scale. Using the short-form Brief Pain Inventory, or, questionnaire, approximately 75% of study participants had an improvement or no change in average pain severity at Week 52 (compared to baseline). The short-form BPI interference items also remained stable during the study. Pain-related results indicate that there was no increase and/or relapse in pain. No Fabry clinical events were reported during the study.</w:t>
      </w:r>
    </w:p>
    <w:p>
      <w:pPr>
        <w:spacing w:after="0" w:line="1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COVID-19 Impact on PRX-102 Clinical Trials</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To date, the COVID-19 pandemic has had a minimal effect on the performance of the phase III clinical trials of PRX-102 as many of the patients were already treated in home care settings. We were able to complete two of the trials and the last patient in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received the final dose in the study in October 2021. In a minimal amount of cases, patients that completed a trial were not able to be transferred into an extension study due to the pandemic restrictions, and, accordingly, the main trial was prolonged for the patients to permit the continuation of treatment.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Phase I/II Study</w:t>
      </w:r>
    </w:p>
    <w:p>
      <w:pPr>
        <w:spacing w:after="0" w:line="200" w:lineRule="exact"/>
        <w:rPr>
          <w:sz w:val="20"/>
          <w:szCs w:val="20"/>
          <w:color w:val="auto"/>
        </w:rPr>
      </w:pPr>
    </w:p>
    <w:p>
      <w:pPr>
        <w:ind w:left="60" w:right="99"/>
        <w:spacing w:after="0" w:line="273" w:lineRule="auto"/>
        <w:rPr>
          <w:sz w:val="20"/>
          <w:szCs w:val="20"/>
          <w:color w:val="auto"/>
        </w:rPr>
      </w:pPr>
      <w:r>
        <w:rPr>
          <w:rFonts w:ascii="Times New Roman" w:cs="Times New Roman" w:eastAsia="Times New Roman" w:hAnsi="Times New Roman"/>
          <w:sz w:val="17"/>
          <w:szCs w:val="17"/>
          <w:color w:val="auto"/>
        </w:rPr>
        <w:t xml:space="preserve">Our phase I/II clinical trial of PRX-102, which we completed in 2015, was a worldwide, multi-center, open-label, dose ranging study designed to evaluate the safety, tolerability, pharmacokinetics, immunogenicity and efficacy parameters of PRX-102 in adult Fabry patients. Sixteen adult, naïve Fabry patients (9 male and 7 female) completed the trial, each in one of three dosing groups, 0.2 mg/kg, 1 mg/kg and 2 mg/kg. Each patient received IV infusions of PRX-102 every two weeks for 12 weeks, with efficacy follow-up after six-month and twelve-month periods. A majority of the patients who completed the trial opted to continue receiving PRX-102 in an open-label, 60-month extension study under which all patients were switched to receive 1 mg/kg of the drug, the selected dose for our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studies of PRX-102.</w:t>
      </w:r>
    </w:p>
    <w:p>
      <w:pPr>
        <w:spacing w:after="0" w:line="37" w:lineRule="exact"/>
        <w:rPr>
          <w:sz w:val="20"/>
          <w:szCs w:val="20"/>
          <w:color w:val="auto"/>
        </w:rPr>
      </w:pPr>
    </w:p>
    <w:p>
      <w:pPr>
        <w:ind w:left="60" w:right="79"/>
        <w:spacing w:after="0" w:line="206" w:lineRule="auto"/>
        <w:rPr>
          <w:sz w:val="20"/>
          <w:szCs w:val="20"/>
          <w:color w:val="auto"/>
        </w:rPr>
      </w:pPr>
      <w:r>
        <w:rPr>
          <w:rFonts w:ascii="Times New Roman" w:cs="Times New Roman" w:eastAsia="Times New Roman" w:hAnsi="Times New Roman"/>
          <w:sz w:val="18"/>
          <w:szCs w:val="18"/>
          <w:color w:val="auto"/>
        </w:rPr>
        <w:t>The adult symptomatic, ERT-naïve Fabry disease patients enrolled in the phase I/II study were evaluated for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in kidney biopsies and for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concentration by the quantitative BLISS methodology. Biopsies were available from 14 patients. The outcome of ≥ 50% reduction in the average number of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per kidney PTC from baseline to Month 6 was demonstrated in 11 of 14 (78.6%) of the patients treated with PRX-102. The overall results demonstrate that PRX-102 reaches the affected tissue and reduces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burden and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 the circulation. A high correlation was found between the two Fabry disease biomarkers, reduction of kidney 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inclusions and the reduction of plasma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over six months of treatment.</w:t>
      </w:r>
    </w:p>
    <w:p>
      <w:pPr>
        <w:spacing w:after="0" w:line="14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Data was recorded at 24 months from 11 patients who completed 12 months of the long-term open-label extension trial that succeeded the phase I/II study. Patients who did not continue in the extension trial included: female patients who became or planned to become pregnant and therefore were unable to continue in accordance with the study protocol; and patients who relocated to a location where treatment was not available under the clinical study.</w:t>
      </w:r>
    </w:p>
    <w:p>
      <w:pPr>
        <w:spacing w:after="0" w:line="5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Results show that Lyso-Gb</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levels decreased approximately 90% from baseline. Renal function remained stable with mean eGFR levels of 108.02 and 107.20 at baseline and 24 months, respectively, with a modest annual eGFR slope of -2.1. An improvement across all the gastrointestinal symptoms evaluated, including severity and frequency of abdominal pain and frequency of diarrhea, was noted. Cardiac parameters, including LVM, LVMI and EF, remained stable with no cardiac fibrosis development detected. In conclusion, an improvement of over 40% in disease severity was shown as measured by the Mainz Severity Score Index, or MSSI, a score compiling the different elements of the disease severity including neurological, renal and cardiovascular parameters. In addition, an improvement was noted in each of the individual parameters of the MSSI.</w:t>
      </w:r>
    </w:p>
    <w:p>
      <w:pPr>
        <w:spacing w:after="0" w:line="14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majority of adverse events were mild-to-moderate in severity, and transient in nature. During the first 12 months of treatment, only three of 16 patients (less than 19%) formed ADAs of which two of these patients (less than 13%) had neutralizing antibodies. Importantly, however, the ADAs turned negative for all three of these patients following 12 months of treatment. The ADA positivity effect had no observed impact on the safety, efficacy or continuous biomarker reduction of PRX-102.</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Alidornase Alfa (PRX-110)</w:t>
      </w:r>
    </w:p>
    <w:p>
      <w:pPr>
        <w:spacing w:after="0" w:line="202" w:lineRule="exact"/>
        <w:rPr>
          <w:sz w:val="20"/>
          <w:szCs w:val="20"/>
          <w:color w:val="auto"/>
        </w:rPr>
      </w:pPr>
    </w:p>
    <w:p>
      <w:pPr>
        <w:ind w:left="60" w:right="59"/>
        <w:spacing w:after="0" w:line="242" w:lineRule="auto"/>
        <w:rPr>
          <w:sz w:val="20"/>
          <w:szCs w:val="20"/>
          <w:color w:val="auto"/>
        </w:rPr>
      </w:pPr>
      <w:r>
        <w:rPr>
          <w:rFonts w:ascii="Times New Roman" w:cs="Times New Roman" w:eastAsia="Times New Roman" w:hAnsi="Times New Roman"/>
          <w:sz w:val="18"/>
          <w:szCs w:val="18"/>
          <w:color w:val="auto"/>
        </w:rPr>
        <w:t>Alidornase alfa is our chemically-modified plant cell expressed recombinant human DNase I, administered via inhalation. Recombinant human DNase I enzymatically cleaves DNA but its activity is inhibited by actin, which is present in the blood and other target organs. PRX-110 is designed to be less susceptible to actin inhibition and have higher affinity to DNA, thus enhancing enzymatic activity. In-vitro studies have shown PRX-110 to have a highly improved catalytic efficiency and affinity to DNA, compared to dornase alfa (Pulmozyme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currently the only commercially available DNase therapy), even more so in the presence of actin. In February 2021, we entered into an exclusive worldwide license agreement with SarcoMed with respect to PRX-110 for use in the treatment of any human respiratory disease or condition including, but not limited to, sarcoidosis, pulmonary fibrosis, and other related diseases via inhaled delivery. The license agreement expired during the three months ended September 30, 2021. We are continuing to evaluate potential strategic marketing partnerships and collaboration programs with biotechnology and pharmaceutical companies for this product candidate for various respiratory indications.</w:t>
      </w:r>
    </w:p>
    <w:p>
      <w:pPr>
        <w:spacing w:after="0" w:line="163"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completed a phase I clinical trial of PRX-110 with 18 healthy volunteers, in whom alidornase alfa was found to be well tolerated.</w:t>
      </w:r>
    </w:p>
    <w:p>
      <w:pPr>
        <w:spacing w:after="0" w:line="12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July 2016, we commenced a phase IIa clinical trial of PRX-110 for the treatment of Cystic Fibrosis, and we released the final results of the study in April 2017. Sixteen patients were enrolled in the study, all of whom completed the study. The phase IIa clinical trial was a 28-day switchover study to evaluate the safety and efficacy of PRX-110 in Cystic Fibrosis patients previously treated with Pulmozyme (dornase alfa). Participation in the trial was preceded by a two-week washout period from Pulmozyme before treatment with PRX-110 via inhalation.</w:t>
      </w:r>
    </w:p>
    <w:p>
      <w:pPr>
        <w:spacing w:after="0" w:line="15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Primary efficacy results from the phase IIa study demonstrated clinically meaningful lung function improvement following treatment with PRX-110, as demonstrated by a mean absolute improvement in the percent predicted forced expiratory volume in one second (ppFEV1) of 3.4 points from baseline. Moreover, a mean absolute increase in ppFEV1 of 2.8 points was also observed in patients participating in the study when compared to measurements taken from patients at initiation, before the switch from Pulmozyme to PRX-110.</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PRX-115</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PRX-115 is our plant cell-expressed recombinant PEGylated uricase (urate oxidase) – a chemically modified enzyme under development for the potential treatment of refractory gout. Gout is the most common inflammatory arthritis in the United States, affecting an estimated 9.2 million adults. Gout is caused by factors that elevate serum uric acid, or sUA, levels, which may include diet or genetic predisposition and environmental factors leading to hyperuricemia and tissue deposition of monosodium urate crystals, tophi, in joints and soft tissues, causing acute and chronic inflammation, and is characterized by recurrent flares. Gout flares lead to substantial morbidity by causing severe pain, reduced quality of life, decreased physical function, increased healthcare costs, and lost economic productivity. Furthermore, gout is strongly associated with metabolic syndrome, and may contribute to myocardial infarction, type 2 diabetes mellitus, chronic kidney disease, or CKD, and premature mortality.</w:t>
      </w:r>
    </w:p>
    <w:p>
      <w:pPr>
        <w:spacing w:after="0" w:line="161" w:lineRule="exact"/>
        <w:rPr>
          <w:sz w:val="20"/>
          <w:szCs w:val="20"/>
          <w:color w:val="auto"/>
        </w:rPr>
      </w:pPr>
    </w:p>
    <w:p>
      <w:pPr>
        <w:ind w:left="60" w:right="99"/>
        <w:spacing w:after="0" w:line="233" w:lineRule="auto"/>
        <w:rPr>
          <w:sz w:val="20"/>
          <w:szCs w:val="20"/>
          <w:color w:val="auto"/>
        </w:rPr>
      </w:pPr>
      <w:r>
        <w:rPr>
          <w:rFonts w:ascii="Times New Roman" w:cs="Times New Roman" w:eastAsia="Times New Roman" w:hAnsi="Times New Roman"/>
          <w:sz w:val="18"/>
          <w:szCs w:val="18"/>
          <w:color w:val="auto"/>
        </w:rPr>
        <w:t>Currently available urate-lowering therapies, or ULTs, can be effective in treating gout. Refractory gout patients are those whom, despite treatment with existing ULTs, have high flare frequency, consistent tophi, and the inability to maintain therapeutic goals of urate levels. An estimated approximately 2% of the gout population is considered to have chronic refractory disease and are in need of other therapeutic options. One option may be a therapeutic use of the uricase enzyme which converts uric acid to allantoin, which is easily eliminated through urine. The uricase enzyme does not exist naturally in humans. To date, two variants of recombinant uricases are approved for marketing: (i) Krystexxa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treatment of chronic gout refractory to conventional therapy (no longer approved in the European Union) and (ii) Elitek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indicated for the treatment of tumor lysis syndrome but not gout. Both have a black box warning for anaphylaxis, induce strong immunogenic reactions and have other major side-effects. We use ProCellEx to express an optimized recombinant uricase enzyme under development for the potential treatment of refractory gout which we are designing to have an improved half-life, reduced immunogenicity and potentially longer term efficacy.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PRX-119</w:t>
      </w:r>
    </w:p>
    <w:p>
      <w:pPr>
        <w:spacing w:after="0" w:line="202"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PRX-119 is our plant cell-expressed PEGylated recombinant human DNase I product candidate being designed to elongate half-life in the circulation for NETs-related diseases. NETs, Neutrophil extracellular traps, are web-like structures, released by activated neutrophils that trap and kill a variety of microorganisms. NETs are composed of DNA, histones, antimicrobial and pro-inflammatory proteins. Excessive formation or ineffective clearance of NETs can cause different pathological effects. NETs formation has been observed in various autoimmune, inflammatory and fibrotic conditions, diverse forms of thrombosis, cancer and metastasis. According to scientific literature, animal studies have demonstrated that DNase treatment reduces NETs toxicity. Our proprietary modified DNase I design for long and customized systemically circulating in the bloodstream, may potentially enable effective treatment of acute and chronic conditions.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have a robust patent portfolio, which is a key element of our overall strategy. We work to continually enhance, strengthen, and protect our intellectual property and now hold a broad portfolio of more than 80 patents globally, including Europe, the United States, Israel and additional countries worldwide. Our patents are designed to protect our proprietary technology, proprietary products and product candidates, and their methods of use. Additionally, we have more than 30 pending patent applications.</w:t>
      </w:r>
    </w:p>
    <w:p>
      <w:pPr>
        <w:spacing w:after="0" w:line="143"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During 2021, we received a patent in Brazil for each of the patent family named “Production of High Mannose Proteins in Plant Culture” and the patent family named “Large Scale Disposable Bioreactor,” adding to the more than 10 previously granted patents in each of those families. We received a second United States patent for the patent family named “Stabilized Alpha-galactosidase and uses thereof,” adding to the more than 10 previously granted patents in such family. We received a patent in each of the United States, Australia, South Africa for the patent family named “Modified DNase and uses thereof.” Finally, we received a patent in each of Israel and Japan for the patent family named “Use of Plant Cells Expressing a TNF Alpha Polypeptide Inhibitor in Therapy,” adding to the four previously granted patents in such family.</w:t>
      </w:r>
    </w:p>
    <w:p>
      <w:pPr>
        <w:spacing w:after="0" w:line="144"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competitive position and future success depend in part on our ability, and that of our licensees, to obtain and leverage the intellectual property covering our product candidates, know-how, methods, processes and other technologies, to protect our trade secrets, to prevent others from using our intellectual property and to operate without infringing on the intellectual property of third parties. We seek to protect our competitive position by filing United States, European Union, Israeli and other foreign patent applications covering our technology, including both new technology and improvements to existing technology. Our patent strategy includes obtaining patents on methods of production, compositions of matter and methods of use. We also rely on know-how, continuing technological innovation, licensing and partnership opportunities to develop and maintain our competitive position.</w:t>
      </w:r>
    </w:p>
    <w:p>
      <w:pPr>
        <w:spacing w:after="0" w:line="151"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outstanding 2024 Notes are guaranteed by our subsidiaries and secured by perfected liens on all of our material assets, primarily consisting of our intellectual property assets, including a stock pledge of our foreign subsidiaries in favor of the holders of outstanding 2024 Notes.</w:t>
      </w:r>
    </w:p>
    <w:p>
      <w:pPr>
        <w:spacing w:after="0" w:line="135"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As of December 31, 2021, our patent portfolio consisted of several patent families (consisting of patents and/or patent applications) covering our technology, protein expression methodologies and system and product candidates,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Patent Name/Int. App. No.</w:t>
            </w:r>
          </w:p>
        </w:tc>
        <w:tc>
          <w:tcPr>
            <w:tcW w:w="48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Global Pending</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6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Granted Jurisdictions</w:t>
            </w:r>
          </w:p>
        </w:tc>
        <w:tc>
          <w:tcPr>
            <w:tcW w:w="120" w:type="dxa"/>
            <w:vAlign w:val="bottom"/>
          </w:tcPr>
          <w:p>
            <w:pPr>
              <w:spacing w:after="0"/>
              <w:rPr>
                <w:sz w:val="18"/>
                <w:szCs w:val="18"/>
                <w:color w:val="auto"/>
              </w:rPr>
            </w:pPr>
          </w:p>
        </w:tc>
        <w:tc>
          <w:tcPr>
            <w:tcW w:w="8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0" w:type="dxa"/>
            <w:vAlign w:val="bottom"/>
          </w:tcPr>
          <w:p>
            <w:pPr>
              <w:spacing w:after="0"/>
              <w:rPr>
                <w:sz w:val="1"/>
                <w:szCs w:val="1"/>
                <w:color w:val="auto"/>
              </w:rPr>
            </w:pPr>
          </w:p>
        </w:tc>
      </w:tr>
      <w:tr>
        <w:trPr>
          <w:trHeight w:val="196"/>
        </w:trPr>
        <w:tc>
          <w:tcPr>
            <w:tcW w:w="288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Jurisdictions</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Expiry</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80" w:type="dxa"/>
            <w:vAlign w:val="bottom"/>
            <w:gridSpan w:val="3"/>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Production of High Mannose</w:t>
            </w:r>
          </w:p>
        </w:tc>
        <w:tc>
          <w:tcPr>
            <w:tcW w:w="480" w:type="dxa"/>
            <w:vAlign w:val="bottom"/>
            <w:shd w:val="clear" w:color="auto" w:fill="9DC3E6"/>
          </w:tcPr>
          <w:p>
            <w:pPr>
              <w:spacing w:after="0"/>
              <w:rPr>
                <w:sz w:val="17"/>
                <w:szCs w:val="17"/>
                <w:color w:val="auto"/>
              </w:rPr>
            </w:pPr>
          </w:p>
        </w:tc>
        <w:tc>
          <w:tcPr>
            <w:tcW w:w="100" w:type="dxa"/>
            <w:vAlign w:val="bottom"/>
            <w:shd w:val="clear" w:color="auto" w:fill="9DC3E6"/>
          </w:tcPr>
          <w:p>
            <w:pPr>
              <w:spacing w:after="0"/>
              <w:rPr>
                <w:sz w:val="17"/>
                <w:szCs w:val="17"/>
                <w:color w:val="auto"/>
              </w:rPr>
            </w:pPr>
          </w:p>
        </w:tc>
        <w:tc>
          <w:tcPr>
            <w:tcW w:w="1460" w:type="dxa"/>
            <w:vAlign w:val="bottom"/>
            <w:gridSpan w:val="3"/>
            <w:shd w:val="clear" w:color="auto" w:fill="9DC3E6"/>
          </w:tcPr>
          <w:p>
            <w:pPr>
              <w:jc w:val="center"/>
              <w:ind w:right="46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3080" w:type="dxa"/>
            <w:vAlign w:val="bottom"/>
            <w:gridSpan w:val="3"/>
            <w:shd w:val="clear" w:color="auto" w:fill="9DC3E6"/>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Japan, Israel, Canada, Russian</w:t>
            </w:r>
          </w:p>
        </w:tc>
        <w:tc>
          <w:tcPr>
            <w:tcW w:w="780" w:type="dxa"/>
            <w:vAlign w:val="bottom"/>
            <w:gridSpan w:val="4"/>
            <w:shd w:val="clear" w:color="auto" w:fill="9DC3E6"/>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8"/>
              </w:rPr>
              <w:t>2024(1)</w:t>
            </w:r>
          </w:p>
        </w:tc>
        <w:tc>
          <w:tcPr>
            <w:tcW w:w="120" w:type="dxa"/>
            <w:vAlign w:val="bottom"/>
            <w:shd w:val="clear" w:color="auto" w:fill="9DC3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Proteins in Plant Culture/PCT/</w:t>
            </w:r>
          </w:p>
        </w:tc>
        <w:tc>
          <w:tcPr>
            <w:tcW w:w="480" w:type="dxa"/>
            <w:vAlign w:val="bottom"/>
            <w:shd w:val="clear" w:color="auto" w:fill="9DC3E6"/>
          </w:tcPr>
          <w:p>
            <w:pPr>
              <w:spacing w:after="0"/>
              <w:rPr>
                <w:sz w:val="18"/>
                <w:szCs w:val="18"/>
                <w:color w:val="auto"/>
              </w:rPr>
            </w:pPr>
          </w:p>
        </w:tc>
        <w:tc>
          <w:tcPr>
            <w:tcW w:w="100" w:type="dxa"/>
            <w:vAlign w:val="bottom"/>
            <w:shd w:val="clear" w:color="auto" w:fill="9DC3E6"/>
          </w:tcPr>
          <w:p>
            <w:pPr>
              <w:spacing w:after="0"/>
              <w:rPr>
                <w:sz w:val="18"/>
                <w:szCs w:val="18"/>
                <w:color w:val="auto"/>
              </w:rPr>
            </w:pPr>
          </w:p>
        </w:tc>
        <w:tc>
          <w:tcPr>
            <w:tcW w:w="1000" w:type="dxa"/>
            <w:vAlign w:val="bottom"/>
            <w:shd w:val="clear" w:color="auto" w:fill="9DC3E6"/>
          </w:tcPr>
          <w:p>
            <w:pPr>
              <w:spacing w:after="0"/>
              <w:rPr>
                <w:sz w:val="18"/>
                <w:szCs w:val="18"/>
                <w:color w:val="auto"/>
              </w:rPr>
            </w:pPr>
          </w:p>
        </w:tc>
        <w:tc>
          <w:tcPr>
            <w:tcW w:w="100" w:type="dxa"/>
            <w:vAlign w:val="bottom"/>
            <w:shd w:val="clear" w:color="auto" w:fill="9DC3E6"/>
          </w:tcPr>
          <w:p>
            <w:pPr>
              <w:spacing w:after="0"/>
              <w:rPr>
                <w:sz w:val="18"/>
                <w:szCs w:val="18"/>
                <w:color w:val="auto"/>
              </w:rPr>
            </w:pPr>
          </w:p>
        </w:tc>
        <w:tc>
          <w:tcPr>
            <w:tcW w:w="360" w:type="dxa"/>
            <w:vAlign w:val="bottom"/>
            <w:shd w:val="clear" w:color="auto" w:fill="9DC3E6"/>
          </w:tcPr>
          <w:p>
            <w:pPr>
              <w:spacing w:after="0"/>
              <w:rPr>
                <w:sz w:val="18"/>
                <w:szCs w:val="18"/>
                <w:color w:val="auto"/>
              </w:rPr>
            </w:pPr>
          </w:p>
        </w:tc>
        <w:tc>
          <w:tcPr>
            <w:tcW w:w="3080" w:type="dxa"/>
            <w:vAlign w:val="bottom"/>
            <w:gridSpan w:val="3"/>
            <w:shd w:val="clear" w:color="auto" w:fill="9DC3E6"/>
          </w:tcPr>
          <w:p>
            <w:pPr>
              <w:jc w:val="center"/>
              <w:ind w:left="150"/>
              <w:spacing w:after="0"/>
              <w:rPr>
                <w:sz w:val="20"/>
                <w:szCs w:val="20"/>
                <w:color w:val="auto"/>
              </w:rPr>
            </w:pPr>
            <w:r>
              <w:rPr>
                <w:rFonts w:ascii="Times New Roman" w:cs="Times New Roman" w:eastAsia="Times New Roman" w:hAnsi="Times New Roman"/>
                <w:sz w:val="18"/>
                <w:szCs w:val="18"/>
                <w:color w:val="auto"/>
              </w:rPr>
              <w:t>Federation, Mexico, India,</w:t>
            </w:r>
          </w:p>
        </w:tc>
        <w:tc>
          <w:tcPr>
            <w:tcW w:w="120" w:type="dxa"/>
            <w:vAlign w:val="bottom"/>
            <w:shd w:val="clear" w:color="auto" w:fill="9DC3E6"/>
          </w:tcPr>
          <w:p>
            <w:pPr>
              <w:spacing w:after="0"/>
              <w:rPr>
                <w:sz w:val="18"/>
                <w:szCs w:val="18"/>
                <w:color w:val="auto"/>
              </w:rPr>
            </w:pPr>
          </w:p>
        </w:tc>
        <w:tc>
          <w:tcPr>
            <w:tcW w:w="60" w:type="dxa"/>
            <w:vAlign w:val="bottom"/>
            <w:shd w:val="clear" w:color="auto" w:fill="9DC3E6"/>
          </w:tcPr>
          <w:p>
            <w:pPr>
              <w:spacing w:after="0"/>
              <w:rPr>
                <w:sz w:val="18"/>
                <w:szCs w:val="18"/>
                <w:color w:val="auto"/>
              </w:rPr>
            </w:pPr>
          </w:p>
        </w:tc>
        <w:tc>
          <w:tcPr>
            <w:tcW w:w="540" w:type="dxa"/>
            <w:vAlign w:val="bottom"/>
            <w:shd w:val="clear" w:color="auto" w:fill="9DC3E6"/>
          </w:tcPr>
          <w:p>
            <w:pPr>
              <w:spacing w:after="0"/>
              <w:rPr>
                <w:sz w:val="18"/>
                <w:szCs w:val="18"/>
                <w:color w:val="auto"/>
              </w:rPr>
            </w:pPr>
          </w:p>
        </w:tc>
        <w:tc>
          <w:tcPr>
            <w:tcW w:w="60" w:type="dxa"/>
            <w:vAlign w:val="bottom"/>
            <w:shd w:val="clear" w:color="auto" w:fill="9DC3E6"/>
          </w:tcPr>
          <w:p>
            <w:pPr>
              <w:spacing w:after="0"/>
              <w:rPr>
                <w:sz w:val="18"/>
                <w:szCs w:val="18"/>
                <w:color w:val="auto"/>
              </w:rPr>
            </w:pPr>
          </w:p>
        </w:tc>
        <w:tc>
          <w:tcPr>
            <w:tcW w:w="120" w:type="dxa"/>
            <w:vAlign w:val="bottom"/>
            <w:shd w:val="clear" w:color="auto" w:fill="9DC3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Il2004 000181</w:t>
            </w:r>
          </w:p>
        </w:tc>
        <w:tc>
          <w:tcPr>
            <w:tcW w:w="480" w:type="dxa"/>
            <w:vAlign w:val="bottom"/>
            <w:shd w:val="clear" w:color="auto" w:fill="9DC3E6"/>
          </w:tcPr>
          <w:p>
            <w:pPr>
              <w:spacing w:after="0"/>
              <w:rPr>
                <w:sz w:val="18"/>
                <w:szCs w:val="18"/>
                <w:color w:val="auto"/>
              </w:rPr>
            </w:pPr>
          </w:p>
        </w:tc>
        <w:tc>
          <w:tcPr>
            <w:tcW w:w="100" w:type="dxa"/>
            <w:vAlign w:val="bottom"/>
            <w:shd w:val="clear" w:color="auto" w:fill="9DC3E6"/>
          </w:tcPr>
          <w:p>
            <w:pPr>
              <w:spacing w:after="0"/>
              <w:rPr>
                <w:sz w:val="18"/>
                <w:szCs w:val="18"/>
                <w:color w:val="auto"/>
              </w:rPr>
            </w:pPr>
          </w:p>
        </w:tc>
        <w:tc>
          <w:tcPr>
            <w:tcW w:w="1000" w:type="dxa"/>
            <w:vAlign w:val="bottom"/>
            <w:shd w:val="clear" w:color="auto" w:fill="9DC3E6"/>
          </w:tcPr>
          <w:p>
            <w:pPr>
              <w:spacing w:after="0"/>
              <w:rPr>
                <w:sz w:val="18"/>
                <w:szCs w:val="18"/>
                <w:color w:val="auto"/>
              </w:rPr>
            </w:pPr>
          </w:p>
        </w:tc>
        <w:tc>
          <w:tcPr>
            <w:tcW w:w="100" w:type="dxa"/>
            <w:vAlign w:val="bottom"/>
            <w:shd w:val="clear" w:color="auto" w:fill="9DC3E6"/>
          </w:tcPr>
          <w:p>
            <w:pPr>
              <w:spacing w:after="0"/>
              <w:rPr>
                <w:sz w:val="18"/>
                <w:szCs w:val="18"/>
                <w:color w:val="auto"/>
              </w:rPr>
            </w:pPr>
          </w:p>
        </w:tc>
        <w:tc>
          <w:tcPr>
            <w:tcW w:w="360" w:type="dxa"/>
            <w:vAlign w:val="bottom"/>
            <w:shd w:val="clear" w:color="auto" w:fill="9DC3E6"/>
          </w:tcPr>
          <w:p>
            <w:pPr>
              <w:spacing w:after="0"/>
              <w:rPr>
                <w:sz w:val="18"/>
                <w:szCs w:val="18"/>
                <w:color w:val="auto"/>
              </w:rPr>
            </w:pPr>
          </w:p>
        </w:tc>
        <w:tc>
          <w:tcPr>
            <w:tcW w:w="3080" w:type="dxa"/>
            <w:vAlign w:val="bottom"/>
            <w:gridSpan w:val="3"/>
            <w:shd w:val="clear" w:color="auto" w:fill="9DC3E6"/>
          </w:tcPr>
          <w:p>
            <w:pPr>
              <w:jc w:val="center"/>
              <w:ind w:left="150"/>
              <w:spacing w:after="0"/>
              <w:rPr>
                <w:sz w:val="20"/>
                <w:szCs w:val="20"/>
                <w:color w:val="auto"/>
              </w:rPr>
            </w:pPr>
            <w:r>
              <w:rPr>
                <w:rFonts w:ascii="Times New Roman" w:cs="Times New Roman" w:eastAsia="Times New Roman" w:hAnsi="Times New Roman"/>
                <w:sz w:val="18"/>
                <w:szCs w:val="18"/>
                <w:color w:val="auto"/>
                <w:w w:val="99"/>
              </w:rPr>
              <w:t>Australia, South Africa, Republic of</w:t>
            </w:r>
          </w:p>
        </w:tc>
        <w:tc>
          <w:tcPr>
            <w:tcW w:w="120" w:type="dxa"/>
            <w:vAlign w:val="bottom"/>
            <w:shd w:val="clear" w:color="auto" w:fill="9DC3E6"/>
          </w:tcPr>
          <w:p>
            <w:pPr>
              <w:spacing w:after="0"/>
              <w:rPr>
                <w:sz w:val="18"/>
                <w:szCs w:val="18"/>
                <w:color w:val="auto"/>
              </w:rPr>
            </w:pPr>
          </w:p>
        </w:tc>
        <w:tc>
          <w:tcPr>
            <w:tcW w:w="60" w:type="dxa"/>
            <w:vAlign w:val="bottom"/>
            <w:shd w:val="clear" w:color="auto" w:fill="9DC3E6"/>
          </w:tcPr>
          <w:p>
            <w:pPr>
              <w:spacing w:after="0"/>
              <w:rPr>
                <w:sz w:val="18"/>
                <w:szCs w:val="18"/>
                <w:color w:val="auto"/>
              </w:rPr>
            </w:pPr>
          </w:p>
        </w:tc>
        <w:tc>
          <w:tcPr>
            <w:tcW w:w="540" w:type="dxa"/>
            <w:vAlign w:val="bottom"/>
            <w:shd w:val="clear" w:color="auto" w:fill="9DC3E6"/>
          </w:tcPr>
          <w:p>
            <w:pPr>
              <w:spacing w:after="0"/>
              <w:rPr>
                <w:sz w:val="18"/>
                <w:szCs w:val="18"/>
                <w:color w:val="auto"/>
              </w:rPr>
            </w:pPr>
          </w:p>
        </w:tc>
        <w:tc>
          <w:tcPr>
            <w:tcW w:w="60" w:type="dxa"/>
            <w:vAlign w:val="bottom"/>
            <w:shd w:val="clear" w:color="auto" w:fill="9DC3E6"/>
          </w:tcPr>
          <w:p>
            <w:pPr>
              <w:spacing w:after="0"/>
              <w:rPr>
                <w:sz w:val="18"/>
                <w:szCs w:val="18"/>
                <w:color w:val="auto"/>
              </w:rPr>
            </w:pPr>
          </w:p>
        </w:tc>
        <w:tc>
          <w:tcPr>
            <w:tcW w:w="120" w:type="dxa"/>
            <w:vAlign w:val="bottom"/>
            <w:shd w:val="clear" w:color="auto" w:fill="9DC3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9DC3E6"/>
          </w:tcPr>
          <w:p>
            <w:pPr>
              <w:spacing w:after="0"/>
              <w:rPr>
                <w:sz w:val="18"/>
                <w:szCs w:val="18"/>
                <w:color w:val="auto"/>
              </w:rPr>
            </w:pPr>
          </w:p>
        </w:tc>
        <w:tc>
          <w:tcPr>
            <w:tcW w:w="2040" w:type="dxa"/>
            <w:vAlign w:val="bottom"/>
            <w:shd w:val="clear" w:color="auto" w:fill="9DC3E6"/>
          </w:tcPr>
          <w:p>
            <w:pPr>
              <w:spacing w:after="0"/>
              <w:rPr>
                <w:sz w:val="18"/>
                <w:szCs w:val="18"/>
                <w:color w:val="auto"/>
              </w:rPr>
            </w:pPr>
          </w:p>
        </w:tc>
        <w:tc>
          <w:tcPr>
            <w:tcW w:w="480" w:type="dxa"/>
            <w:vAlign w:val="bottom"/>
            <w:shd w:val="clear" w:color="auto" w:fill="9DC3E6"/>
          </w:tcPr>
          <w:p>
            <w:pPr>
              <w:spacing w:after="0"/>
              <w:rPr>
                <w:sz w:val="18"/>
                <w:szCs w:val="18"/>
                <w:color w:val="auto"/>
              </w:rPr>
            </w:pPr>
          </w:p>
        </w:tc>
        <w:tc>
          <w:tcPr>
            <w:tcW w:w="480" w:type="dxa"/>
            <w:vAlign w:val="bottom"/>
            <w:shd w:val="clear" w:color="auto" w:fill="9DC3E6"/>
          </w:tcPr>
          <w:p>
            <w:pPr>
              <w:spacing w:after="0"/>
              <w:rPr>
                <w:sz w:val="18"/>
                <w:szCs w:val="18"/>
                <w:color w:val="auto"/>
              </w:rPr>
            </w:pPr>
          </w:p>
        </w:tc>
        <w:tc>
          <w:tcPr>
            <w:tcW w:w="100" w:type="dxa"/>
            <w:vAlign w:val="bottom"/>
            <w:shd w:val="clear" w:color="auto" w:fill="9DC3E6"/>
          </w:tcPr>
          <w:p>
            <w:pPr>
              <w:spacing w:after="0"/>
              <w:rPr>
                <w:sz w:val="18"/>
                <w:szCs w:val="18"/>
                <w:color w:val="auto"/>
              </w:rPr>
            </w:pPr>
          </w:p>
        </w:tc>
        <w:tc>
          <w:tcPr>
            <w:tcW w:w="1000" w:type="dxa"/>
            <w:vAlign w:val="bottom"/>
            <w:shd w:val="clear" w:color="auto" w:fill="9DC3E6"/>
          </w:tcPr>
          <w:p>
            <w:pPr>
              <w:spacing w:after="0"/>
              <w:rPr>
                <w:sz w:val="18"/>
                <w:szCs w:val="18"/>
                <w:color w:val="auto"/>
              </w:rPr>
            </w:pPr>
          </w:p>
        </w:tc>
        <w:tc>
          <w:tcPr>
            <w:tcW w:w="100" w:type="dxa"/>
            <w:vAlign w:val="bottom"/>
            <w:shd w:val="clear" w:color="auto" w:fill="9DC3E6"/>
          </w:tcPr>
          <w:p>
            <w:pPr>
              <w:spacing w:after="0"/>
              <w:rPr>
                <w:sz w:val="18"/>
                <w:szCs w:val="18"/>
                <w:color w:val="auto"/>
              </w:rPr>
            </w:pPr>
          </w:p>
        </w:tc>
        <w:tc>
          <w:tcPr>
            <w:tcW w:w="360" w:type="dxa"/>
            <w:vAlign w:val="bottom"/>
            <w:shd w:val="clear" w:color="auto" w:fill="9DC3E6"/>
          </w:tcPr>
          <w:p>
            <w:pPr>
              <w:spacing w:after="0"/>
              <w:rPr>
                <w:sz w:val="18"/>
                <w:szCs w:val="18"/>
                <w:color w:val="auto"/>
              </w:rPr>
            </w:pPr>
          </w:p>
        </w:tc>
        <w:tc>
          <w:tcPr>
            <w:tcW w:w="3080" w:type="dxa"/>
            <w:vAlign w:val="bottom"/>
            <w:gridSpan w:val="3"/>
            <w:shd w:val="clear" w:color="auto" w:fill="9DC3E6"/>
          </w:tcPr>
          <w:p>
            <w:pPr>
              <w:jc w:val="center"/>
              <w:ind w:left="150"/>
              <w:spacing w:after="0"/>
              <w:rPr>
                <w:sz w:val="20"/>
                <w:szCs w:val="20"/>
                <w:color w:val="auto"/>
              </w:rPr>
            </w:pPr>
            <w:r>
              <w:rPr>
                <w:rFonts w:ascii="Times New Roman" w:cs="Times New Roman" w:eastAsia="Times New Roman" w:hAnsi="Times New Roman"/>
                <w:sz w:val="18"/>
                <w:szCs w:val="18"/>
                <w:color w:val="auto"/>
              </w:rPr>
              <w:t>Korea, Singapore, Europe, Hong</w:t>
            </w:r>
          </w:p>
        </w:tc>
        <w:tc>
          <w:tcPr>
            <w:tcW w:w="120" w:type="dxa"/>
            <w:vAlign w:val="bottom"/>
            <w:shd w:val="clear" w:color="auto" w:fill="9DC3E6"/>
          </w:tcPr>
          <w:p>
            <w:pPr>
              <w:spacing w:after="0"/>
              <w:rPr>
                <w:sz w:val="18"/>
                <w:szCs w:val="18"/>
                <w:color w:val="auto"/>
              </w:rPr>
            </w:pPr>
          </w:p>
        </w:tc>
        <w:tc>
          <w:tcPr>
            <w:tcW w:w="60" w:type="dxa"/>
            <w:vAlign w:val="bottom"/>
            <w:shd w:val="clear" w:color="auto" w:fill="9DC3E6"/>
          </w:tcPr>
          <w:p>
            <w:pPr>
              <w:spacing w:after="0"/>
              <w:rPr>
                <w:sz w:val="18"/>
                <w:szCs w:val="18"/>
                <w:color w:val="auto"/>
              </w:rPr>
            </w:pPr>
          </w:p>
        </w:tc>
        <w:tc>
          <w:tcPr>
            <w:tcW w:w="540" w:type="dxa"/>
            <w:vAlign w:val="bottom"/>
            <w:shd w:val="clear" w:color="auto" w:fill="9DC3E6"/>
          </w:tcPr>
          <w:p>
            <w:pPr>
              <w:spacing w:after="0"/>
              <w:rPr>
                <w:sz w:val="18"/>
                <w:szCs w:val="18"/>
                <w:color w:val="auto"/>
              </w:rPr>
            </w:pPr>
          </w:p>
        </w:tc>
        <w:tc>
          <w:tcPr>
            <w:tcW w:w="60" w:type="dxa"/>
            <w:vAlign w:val="bottom"/>
            <w:shd w:val="clear" w:color="auto" w:fill="9DC3E6"/>
          </w:tcPr>
          <w:p>
            <w:pPr>
              <w:spacing w:after="0"/>
              <w:rPr>
                <w:sz w:val="18"/>
                <w:szCs w:val="18"/>
                <w:color w:val="auto"/>
              </w:rPr>
            </w:pPr>
          </w:p>
        </w:tc>
        <w:tc>
          <w:tcPr>
            <w:tcW w:w="120" w:type="dxa"/>
            <w:vAlign w:val="bottom"/>
            <w:shd w:val="clear" w:color="auto" w:fill="9DC3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9DC3E6"/>
          </w:tcPr>
          <w:p>
            <w:pPr>
              <w:spacing w:after="0"/>
              <w:rPr>
                <w:sz w:val="20"/>
                <w:szCs w:val="20"/>
                <w:color w:val="auto"/>
              </w:rPr>
            </w:pPr>
          </w:p>
        </w:tc>
        <w:tc>
          <w:tcPr>
            <w:tcW w:w="2040" w:type="dxa"/>
            <w:vAlign w:val="bottom"/>
            <w:shd w:val="clear" w:color="auto" w:fill="9DC3E6"/>
          </w:tcPr>
          <w:p>
            <w:pPr>
              <w:spacing w:after="0"/>
              <w:rPr>
                <w:sz w:val="20"/>
                <w:szCs w:val="20"/>
                <w:color w:val="auto"/>
              </w:rPr>
            </w:pPr>
          </w:p>
        </w:tc>
        <w:tc>
          <w:tcPr>
            <w:tcW w:w="480" w:type="dxa"/>
            <w:vAlign w:val="bottom"/>
            <w:shd w:val="clear" w:color="auto" w:fill="9DC3E6"/>
          </w:tcPr>
          <w:p>
            <w:pPr>
              <w:spacing w:after="0"/>
              <w:rPr>
                <w:sz w:val="20"/>
                <w:szCs w:val="20"/>
                <w:color w:val="auto"/>
              </w:rPr>
            </w:pPr>
          </w:p>
        </w:tc>
        <w:tc>
          <w:tcPr>
            <w:tcW w:w="480" w:type="dxa"/>
            <w:vAlign w:val="bottom"/>
            <w:shd w:val="clear" w:color="auto" w:fill="9DC3E6"/>
          </w:tcPr>
          <w:p>
            <w:pPr>
              <w:spacing w:after="0"/>
              <w:rPr>
                <w:sz w:val="20"/>
                <w:szCs w:val="20"/>
                <w:color w:val="auto"/>
              </w:rPr>
            </w:pPr>
          </w:p>
        </w:tc>
        <w:tc>
          <w:tcPr>
            <w:tcW w:w="100" w:type="dxa"/>
            <w:vAlign w:val="bottom"/>
            <w:shd w:val="clear" w:color="auto" w:fill="9DC3E6"/>
          </w:tcPr>
          <w:p>
            <w:pPr>
              <w:spacing w:after="0"/>
              <w:rPr>
                <w:sz w:val="20"/>
                <w:szCs w:val="20"/>
                <w:color w:val="auto"/>
              </w:rPr>
            </w:pPr>
          </w:p>
        </w:tc>
        <w:tc>
          <w:tcPr>
            <w:tcW w:w="1000" w:type="dxa"/>
            <w:vAlign w:val="bottom"/>
            <w:shd w:val="clear" w:color="auto" w:fill="9DC3E6"/>
          </w:tcPr>
          <w:p>
            <w:pPr>
              <w:spacing w:after="0"/>
              <w:rPr>
                <w:sz w:val="20"/>
                <w:szCs w:val="20"/>
                <w:color w:val="auto"/>
              </w:rPr>
            </w:pPr>
          </w:p>
        </w:tc>
        <w:tc>
          <w:tcPr>
            <w:tcW w:w="100" w:type="dxa"/>
            <w:vAlign w:val="bottom"/>
            <w:shd w:val="clear" w:color="auto" w:fill="9DC3E6"/>
          </w:tcPr>
          <w:p>
            <w:pPr>
              <w:spacing w:after="0"/>
              <w:rPr>
                <w:sz w:val="20"/>
                <w:szCs w:val="20"/>
                <w:color w:val="auto"/>
              </w:rPr>
            </w:pPr>
          </w:p>
        </w:tc>
        <w:tc>
          <w:tcPr>
            <w:tcW w:w="360" w:type="dxa"/>
            <w:vAlign w:val="bottom"/>
            <w:shd w:val="clear" w:color="auto" w:fill="9DC3E6"/>
          </w:tcPr>
          <w:p>
            <w:pPr>
              <w:spacing w:after="0"/>
              <w:rPr>
                <w:sz w:val="20"/>
                <w:szCs w:val="20"/>
                <w:color w:val="auto"/>
              </w:rPr>
            </w:pPr>
          </w:p>
        </w:tc>
        <w:tc>
          <w:tcPr>
            <w:tcW w:w="3080" w:type="dxa"/>
            <w:vAlign w:val="bottom"/>
            <w:gridSpan w:val="3"/>
            <w:shd w:val="clear" w:color="auto" w:fill="9DC3E6"/>
          </w:tcPr>
          <w:p>
            <w:pPr>
              <w:jc w:val="center"/>
              <w:ind w:left="150"/>
              <w:spacing w:after="0"/>
              <w:rPr>
                <w:sz w:val="20"/>
                <w:szCs w:val="20"/>
                <w:color w:val="auto"/>
              </w:rPr>
            </w:pPr>
            <w:r>
              <w:rPr>
                <w:rFonts w:ascii="Times New Roman" w:cs="Times New Roman" w:eastAsia="Times New Roman" w:hAnsi="Times New Roman"/>
                <w:sz w:val="18"/>
                <w:szCs w:val="18"/>
                <w:color w:val="auto"/>
                <w:w w:val="99"/>
              </w:rPr>
              <w:t>Kong, Ukraine, China, USA, Brazil</w:t>
            </w:r>
          </w:p>
        </w:tc>
        <w:tc>
          <w:tcPr>
            <w:tcW w:w="120" w:type="dxa"/>
            <w:vAlign w:val="bottom"/>
            <w:shd w:val="clear" w:color="auto" w:fill="9DC3E6"/>
          </w:tcPr>
          <w:p>
            <w:pPr>
              <w:spacing w:after="0"/>
              <w:rPr>
                <w:sz w:val="20"/>
                <w:szCs w:val="20"/>
                <w:color w:val="auto"/>
              </w:rPr>
            </w:pPr>
          </w:p>
        </w:tc>
        <w:tc>
          <w:tcPr>
            <w:tcW w:w="60" w:type="dxa"/>
            <w:vAlign w:val="bottom"/>
            <w:shd w:val="clear" w:color="auto" w:fill="9DC3E6"/>
          </w:tcPr>
          <w:p>
            <w:pPr>
              <w:spacing w:after="0"/>
              <w:rPr>
                <w:sz w:val="20"/>
                <w:szCs w:val="20"/>
                <w:color w:val="auto"/>
              </w:rPr>
            </w:pPr>
          </w:p>
        </w:tc>
        <w:tc>
          <w:tcPr>
            <w:tcW w:w="540" w:type="dxa"/>
            <w:vAlign w:val="bottom"/>
            <w:shd w:val="clear" w:color="auto" w:fill="9DC3E6"/>
          </w:tcPr>
          <w:p>
            <w:pPr>
              <w:spacing w:after="0"/>
              <w:rPr>
                <w:sz w:val="20"/>
                <w:szCs w:val="20"/>
                <w:color w:val="auto"/>
              </w:rPr>
            </w:pPr>
          </w:p>
        </w:tc>
        <w:tc>
          <w:tcPr>
            <w:tcW w:w="60" w:type="dxa"/>
            <w:vAlign w:val="bottom"/>
            <w:shd w:val="clear" w:color="auto" w:fill="9DC3E6"/>
          </w:tcPr>
          <w:p>
            <w:pPr>
              <w:spacing w:after="0"/>
              <w:rPr>
                <w:sz w:val="20"/>
                <w:szCs w:val="20"/>
                <w:color w:val="auto"/>
              </w:rPr>
            </w:pPr>
          </w:p>
        </w:tc>
        <w:tc>
          <w:tcPr>
            <w:tcW w:w="120" w:type="dxa"/>
            <w:vAlign w:val="bottom"/>
            <w:shd w:val="clear" w:color="auto" w:fill="9DC3E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9DC3E6"/>
          </w:tcPr>
          <w:p>
            <w:pPr>
              <w:spacing w:after="0"/>
              <w:rPr>
                <w:sz w:val="18"/>
                <w:szCs w:val="18"/>
                <w:color w:val="auto"/>
              </w:rPr>
            </w:pPr>
          </w:p>
        </w:tc>
        <w:tc>
          <w:tcPr>
            <w:tcW w:w="2040" w:type="dxa"/>
            <w:vAlign w:val="bottom"/>
            <w:shd w:val="clear" w:color="auto" w:fill="9DC3E6"/>
          </w:tcPr>
          <w:p>
            <w:pPr>
              <w:spacing w:after="0"/>
              <w:rPr>
                <w:sz w:val="18"/>
                <w:szCs w:val="18"/>
                <w:color w:val="auto"/>
              </w:rPr>
            </w:pPr>
          </w:p>
        </w:tc>
        <w:tc>
          <w:tcPr>
            <w:tcW w:w="480" w:type="dxa"/>
            <w:vAlign w:val="bottom"/>
            <w:shd w:val="clear" w:color="auto" w:fill="9DC3E6"/>
          </w:tcPr>
          <w:p>
            <w:pPr>
              <w:spacing w:after="0"/>
              <w:rPr>
                <w:sz w:val="18"/>
                <w:szCs w:val="18"/>
                <w:color w:val="auto"/>
              </w:rPr>
            </w:pPr>
          </w:p>
        </w:tc>
        <w:tc>
          <w:tcPr>
            <w:tcW w:w="480" w:type="dxa"/>
            <w:vAlign w:val="bottom"/>
            <w:shd w:val="clear" w:color="auto" w:fill="9DC3E6"/>
          </w:tcPr>
          <w:p>
            <w:pPr>
              <w:spacing w:after="0"/>
              <w:rPr>
                <w:sz w:val="18"/>
                <w:szCs w:val="18"/>
                <w:color w:val="auto"/>
              </w:rPr>
            </w:pPr>
          </w:p>
        </w:tc>
        <w:tc>
          <w:tcPr>
            <w:tcW w:w="100" w:type="dxa"/>
            <w:vAlign w:val="bottom"/>
            <w:shd w:val="clear" w:color="auto" w:fill="9DC3E6"/>
          </w:tcPr>
          <w:p>
            <w:pPr>
              <w:spacing w:after="0"/>
              <w:rPr>
                <w:sz w:val="18"/>
                <w:szCs w:val="18"/>
                <w:color w:val="auto"/>
              </w:rPr>
            </w:pPr>
          </w:p>
        </w:tc>
        <w:tc>
          <w:tcPr>
            <w:tcW w:w="1000" w:type="dxa"/>
            <w:vAlign w:val="bottom"/>
            <w:shd w:val="clear" w:color="auto" w:fill="9DC3E6"/>
          </w:tcPr>
          <w:p>
            <w:pPr>
              <w:spacing w:after="0"/>
              <w:rPr>
                <w:sz w:val="18"/>
                <w:szCs w:val="18"/>
                <w:color w:val="auto"/>
              </w:rPr>
            </w:pPr>
          </w:p>
        </w:tc>
        <w:tc>
          <w:tcPr>
            <w:tcW w:w="100" w:type="dxa"/>
            <w:vAlign w:val="bottom"/>
            <w:shd w:val="clear" w:color="auto" w:fill="9DC3E6"/>
          </w:tcPr>
          <w:p>
            <w:pPr>
              <w:spacing w:after="0"/>
              <w:rPr>
                <w:sz w:val="18"/>
                <w:szCs w:val="18"/>
                <w:color w:val="auto"/>
              </w:rPr>
            </w:pPr>
          </w:p>
        </w:tc>
        <w:tc>
          <w:tcPr>
            <w:tcW w:w="360" w:type="dxa"/>
            <w:vAlign w:val="bottom"/>
            <w:shd w:val="clear" w:color="auto" w:fill="9DC3E6"/>
          </w:tcPr>
          <w:p>
            <w:pPr>
              <w:spacing w:after="0"/>
              <w:rPr>
                <w:sz w:val="18"/>
                <w:szCs w:val="18"/>
                <w:color w:val="auto"/>
              </w:rPr>
            </w:pPr>
          </w:p>
        </w:tc>
        <w:tc>
          <w:tcPr>
            <w:tcW w:w="820" w:type="dxa"/>
            <w:vAlign w:val="bottom"/>
            <w:shd w:val="clear" w:color="auto" w:fill="9DC3E6"/>
          </w:tcPr>
          <w:p>
            <w:pPr>
              <w:spacing w:after="0"/>
              <w:rPr>
                <w:sz w:val="18"/>
                <w:szCs w:val="18"/>
                <w:color w:val="auto"/>
              </w:rPr>
            </w:pPr>
          </w:p>
        </w:tc>
        <w:tc>
          <w:tcPr>
            <w:tcW w:w="1680" w:type="dxa"/>
            <w:vAlign w:val="bottom"/>
            <w:shd w:val="clear" w:color="auto" w:fill="9DC3E6"/>
          </w:tcPr>
          <w:p>
            <w:pPr>
              <w:spacing w:after="0"/>
              <w:rPr>
                <w:sz w:val="18"/>
                <w:szCs w:val="18"/>
                <w:color w:val="auto"/>
              </w:rPr>
            </w:pPr>
          </w:p>
        </w:tc>
        <w:tc>
          <w:tcPr>
            <w:tcW w:w="580" w:type="dxa"/>
            <w:vAlign w:val="bottom"/>
            <w:shd w:val="clear" w:color="auto" w:fill="9DC3E6"/>
          </w:tcPr>
          <w:p>
            <w:pPr>
              <w:spacing w:after="0"/>
              <w:rPr>
                <w:sz w:val="18"/>
                <w:szCs w:val="18"/>
                <w:color w:val="auto"/>
              </w:rPr>
            </w:pPr>
          </w:p>
        </w:tc>
        <w:tc>
          <w:tcPr>
            <w:tcW w:w="120" w:type="dxa"/>
            <w:vAlign w:val="bottom"/>
            <w:shd w:val="clear" w:color="auto" w:fill="9DC3E6"/>
          </w:tcPr>
          <w:p>
            <w:pPr>
              <w:spacing w:after="0"/>
              <w:rPr>
                <w:sz w:val="18"/>
                <w:szCs w:val="18"/>
                <w:color w:val="auto"/>
              </w:rPr>
            </w:pPr>
          </w:p>
        </w:tc>
        <w:tc>
          <w:tcPr>
            <w:tcW w:w="60" w:type="dxa"/>
            <w:vAlign w:val="bottom"/>
            <w:shd w:val="clear" w:color="auto" w:fill="9DC3E6"/>
          </w:tcPr>
          <w:p>
            <w:pPr>
              <w:spacing w:after="0"/>
              <w:rPr>
                <w:sz w:val="18"/>
                <w:szCs w:val="18"/>
                <w:color w:val="auto"/>
              </w:rPr>
            </w:pPr>
          </w:p>
        </w:tc>
        <w:tc>
          <w:tcPr>
            <w:tcW w:w="540" w:type="dxa"/>
            <w:vAlign w:val="bottom"/>
            <w:shd w:val="clear" w:color="auto" w:fill="9DC3E6"/>
          </w:tcPr>
          <w:p>
            <w:pPr>
              <w:spacing w:after="0"/>
              <w:rPr>
                <w:sz w:val="18"/>
                <w:szCs w:val="18"/>
                <w:color w:val="auto"/>
              </w:rPr>
            </w:pPr>
          </w:p>
        </w:tc>
        <w:tc>
          <w:tcPr>
            <w:tcW w:w="60" w:type="dxa"/>
            <w:vAlign w:val="bottom"/>
            <w:shd w:val="clear" w:color="auto" w:fill="9DC3E6"/>
          </w:tcPr>
          <w:p>
            <w:pPr>
              <w:spacing w:after="0"/>
              <w:rPr>
                <w:sz w:val="18"/>
                <w:szCs w:val="18"/>
                <w:color w:val="auto"/>
              </w:rPr>
            </w:pPr>
          </w:p>
        </w:tc>
        <w:tc>
          <w:tcPr>
            <w:tcW w:w="120" w:type="dxa"/>
            <w:vAlign w:val="bottom"/>
            <w:shd w:val="clear" w:color="auto" w:fill="9DC3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Cell/Tissue Culturing Device,</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System and Method/PCT/Il2005/</w:t>
            </w:r>
          </w:p>
        </w:tc>
        <w:tc>
          <w:tcPr>
            <w:tcW w:w="2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000228</w:t>
            </w:r>
          </w:p>
        </w:tc>
        <w:tc>
          <w:tcPr>
            <w:tcW w:w="2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75"/>
        </w:trPr>
        <w:tc>
          <w:tcPr>
            <w:tcW w:w="2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2740" w:type="dxa"/>
            <w:vAlign w:val="bottom"/>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System and Method for Production</w:t>
            </w:r>
          </w:p>
        </w:tc>
        <w:tc>
          <w:tcPr>
            <w:tcW w:w="24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USA, Israel</w:t>
            </w:r>
          </w:p>
        </w:tc>
        <w:tc>
          <w:tcPr>
            <w:tcW w:w="88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of Antibodies in Plant Cell</w:t>
            </w: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34"/>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Culture/PCT/Il2005/001075</w:t>
            </w:r>
          </w:p>
        </w:tc>
        <w:tc>
          <w:tcPr>
            <w:tcW w:w="2440" w:type="dxa"/>
            <w:vAlign w:val="bottom"/>
            <w:shd w:val="clear" w:color="auto" w:fill="9DC3E6"/>
          </w:tcPr>
          <w:p>
            <w:pPr>
              <w:spacing w:after="0"/>
              <w:rPr>
                <w:sz w:val="20"/>
                <w:szCs w:val="20"/>
                <w:color w:val="auto"/>
              </w:rPr>
            </w:pPr>
          </w:p>
        </w:tc>
        <w:tc>
          <w:tcPr>
            <w:tcW w:w="2840" w:type="dxa"/>
            <w:vAlign w:val="bottom"/>
            <w:shd w:val="clear" w:color="auto" w:fill="9DC3E6"/>
          </w:tcPr>
          <w:p>
            <w:pPr>
              <w:spacing w:after="0"/>
              <w:rPr>
                <w:sz w:val="20"/>
                <w:szCs w:val="20"/>
                <w:color w:val="auto"/>
              </w:rPr>
            </w:pPr>
          </w:p>
        </w:tc>
        <w:tc>
          <w:tcPr>
            <w:tcW w:w="880" w:type="dxa"/>
            <w:vAlign w:val="bottom"/>
            <w:shd w:val="clear" w:color="auto" w:fill="9DC3E6"/>
          </w:tcPr>
          <w:p>
            <w:pPr>
              <w:spacing w:after="0"/>
              <w:rPr>
                <w:sz w:val="20"/>
                <w:szCs w:val="20"/>
                <w:color w:val="auto"/>
              </w:rPr>
            </w:pPr>
          </w:p>
        </w:tc>
      </w:tr>
      <w:tr>
        <w:trPr>
          <w:trHeight w:val="175"/>
        </w:trPr>
        <w:tc>
          <w:tcPr>
            <w:tcW w:w="2740" w:type="dxa"/>
            <w:vAlign w:val="bottom"/>
            <w:shd w:val="clear" w:color="auto" w:fill="9DC3E6"/>
          </w:tcPr>
          <w:p>
            <w:pPr>
              <w:spacing w:after="0"/>
              <w:rPr>
                <w:sz w:val="15"/>
                <w:szCs w:val="15"/>
                <w:color w:val="auto"/>
              </w:rPr>
            </w:pPr>
          </w:p>
        </w:tc>
        <w:tc>
          <w:tcPr>
            <w:tcW w:w="2440" w:type="dxa"/>
            <w:vAlign w:val="bottom"/>
            <w:shd w:val="clear" w:color="auto" w:fill="9DC3E6"/>
          </w:tcPr>
          <w:p>
            <w:pPr>
              <w:spacing w:after="0"/>
              <w:rPr>
                <w:sz w:val="15"/>
                <w:szCs w:val="15"/>
                <w:color w:val="auto"/>
              </w:rPr>
            </w:pPr>
          </w:p>
        </w:tc>
        <w:tc>
          <w:tcPr>
            <w:tcW w:w="2840" w:type="dxa"/>
            <w:vAlign w:val="bottom"/>
            <w:shd w:val="clear" w:color="auto" w:fill="9DC3E6"/>
          </w:tcPr>
          <w:p>
            <w:pPr>
              <w:spacing w:after="0"/>
              <w:rPr>
                <w:sz w:val="15"/>
                <w:szCs w:val="15"/>
                <w:color w:val="auto"/>
              </w:rPr>
            </w:pPr>
          </w:p>
        </w:tc>
        <w:tc>
          <w:tcPr>
            <w:tcW w:w="880" w:type="dxa"/>
            <w:vAlign w:val="bottom"/>
            <w:shd w:val="clear" w:color="auto" w:fill="9DC3E6"/>
          </w:tcPr>
          <w:p>
            <w:pPr>
              <w:spacing w:after="0"/>
              <w:rPr>
                <w:sz w:val="15"/>
                <w:szCs w:val="15"/>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Large Scale Disposable</w:t>
            </w:r>
          </w:p>
        </w:tc>
        <w:tc>
          <w:tcPr>
            <w:tcW w:w="2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Australia, Canada, China, Europe,</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2028(2)</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Bioreactor/PCT/Il2008/000614</w:t>
            </w:r>
          </w:p>
        </w:tc>
        <w:tc>
          <w:tcPr>
            <w:tcW w:w="24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 India, Israel, Republic</w:t>
            </w:r>
          </w:p>
        </w:tc>
        <w:tc>
          <w:tcPr>
            <w:tcW w:w="8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Korea, Russian Federation,</w:t>
            </w:r>
          </w:p>
        </w:tc>
        <w:tc>
          <w:tcPr>
            <w:tcW w:w="88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Singapore, South Africa, USA,</w:t>
            </w:r>
          </w:p>
        </w:tc>
        <w:tc>
          <w:tcPr>
            <w:tcW w:w="88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880" w:type="dxa"/>
            <w:vAlign w:val="bottom"/>
          </w:tcPr>
          <w:p>
            <w:pPr>
              <w:spacing w:after="0"/>
              <w:rPr>
                <w:sz w:val="20"/>
                <w:szCs w:val="20"/>
                <w:color w:val="auto"/>
              </w:rPr>
            </w:pPr>
          </w:p>
        </w:tc>
      </w:tr>
      <w:tr>
        <w:trPr>
          <w:trHeight w:val="216"/>
        </w:trPr>
        <w:tc>
          <w:tcPr>
            <w:tcW w:w="2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8"/>
        </w:trPr>
        <w:tc>
          <w:tcPr>
            <w:tcW w:w="2740" w:type="dxa"/>
            <w:vAlign w:val="bottom"/>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Stabilized Alpha-galactosidase and</w:t>
            </w:r>
          </w:p>
        </w:tc>
        <w:tc>
          <w:tcPr>
            <w:tcW w:w="24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28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rPr>
              <w:t>Canada, South Africa, Russian</w:t>
            </w:r>
          </w:p>
        </w:tc>
        <w:tc>
          <w:tcPr>
            <w:tcW w:w="88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uses thereof/PCT/Il2011/ 000209</w:t>
            </w: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w w:val="99"/>
              </w:rPr>
              <w:t>Federation, Singapore, Israel, India,</w:t>
            </w:r>
          </w:p>
        </w:tc>
        <w:tc>
          <w:tcPr>
            <w:tcW w:w="880" w:type="dxa"/>
            <w:vAlign w:val="bottom"/>
            <w:shd w:val="clear" w:color="auto" w:fill="9DC3E6"/>
          </w:tcPr>
          <w:p>
            <w:pPr>
              <w:spacing w:after="0"/>
              <w:rPr>
                <w:sz w:val="18"/>
                <w:szCs w:val="18"/>
                <w:color w:val="auto"/>
              </w:rPr>
            </w:pPr>
          </w:p>
        </w:tc>
      </w:tr>
      <w:tr>
        <w:trPr>
          <w:trHeight w:val="216"/>
        </w:trPr>
        <w:tc>
          <w:tcPr>
            <w:tcW w:w="2740" w:type="dxa"/>
            <w:vAlign w:val="bottom"/>
            <w:shd w:val="clear" w:color="auto" w:fill="9DC3E6"/>
          </w:tcPr>
          <w:p>
            <w:pPr>
              <w:spacing w:after="0"/>
              <w:rPr>
                <w:sz w:val="18"/>
                <w:szCs w:val="18"/>
                <w:color w:val="auto"/>
              </w:rPr>
            </w:pP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w w:val="99"/>
              </w:rPr>
              <w:t>New Zealand, Republic of Korea,</w:t>
            </w:r>
          </w:p>
        </w:tc>
        <w:tc>
          <w:tcPr>
            <w:tcW w:w="880" w:type="dxa"/>
            <w:vAlign w:val="bottom"/>
            <w:shd w:val="clear" w:color="auto" w:fill="9DC3E6"/>
          </w:tcPr>
          <w:p>
            <w:pPr>
              <w:spacing w:after="0"/>
              <w:rPr>
                <w:sz w:val="18"/>
                <w:szCs w:val="18"/>
                <w:color w:val="auto"/>
              </w:rPr>
            </w:pPr>
          </w:p>
        </w:tc>
      </w:tr>
      <w:tr>
        <w:trPr>
          <w:trHeight w:val="216"/>
        </w:trPr>
        <w:tc>
          <w:tcPr>
            <w:tcW w:w="2740" w:type="dxa"/>
            <w:vAlign w:val="bottom"/>
            <w:shd w:val="clear" w:color="auto" w:fill="9DC3E6"/>
          </w:tcPr>
          <w:p>
            <w:pPr>
              <w:spacing w:after="0"/>
              <w:rPr>
                <w:sz w:val="18"/>
                <w:szCs w:val="18"/>
                <w:color w:val="auto"/>
              </w:rPr>
            </w:pP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rPr>
              <w:t>Australia, China, Japan, USA,</w:t>
            </w:r>
          </w:p>
        </w:tc>
        <w:tc>
          <w:tcPr>
            <w:tcW w:w="880" w:type="dxa"/>
            <w:vAlign w:val="bottom"/>
            <w:shd w:val="clear" w:color="auto" w:fill="9DC3E6"/>
          </w:tcPr>
          <w:p>
            <w:pPr>
              <w:spacing w:after="0"/>
              <w:rPr>
                <w:sz w:val="18"/>
                <w:szCs w:val="18"/>
                <w:color w:val="auto"/>
              </w:rPr>
            </w:pPr>
          </w:p>
        </w:tc>
      </w:tr>
      <w:tr>
        <w:trPr>
          <w:trHeight w:val="234"/>
        </w:trPr>
        <w:tc>
          <w:tcPr>
            <w:tcW w:w="2740" w:type="dxa"/>
            <w:vAlign w:val="bottom"/>
            <w:shd w:val="clear" w:color="auto" w:fill="9DC3E6"/>
          </w:tcPr>
          <w:p>
            <w:pPr>
              <w:spacing w:after="0"/>
              <w:rPr>
                <w:sz w:val="20"/>
                <w:szCs w:val="20"/>
                <w:color w:val="auto"/>
              </w:rPr>
            </w:pPr>
          </w:p>
        </w:tc>
        <w:tc>
          <w:tcPr>
            <w:tcW w:w="2440" w:type="dxa"/>
            <w:vAlign w:val="bottom"/>
            <w:shd w:val="clear" w:color="auto" w:fill="9DC3E6"/>
          </w:tcPr>
          <w:p>
            <w:pPr>
              <w:spacing w:after="0"/>
              <w:rPr>
                <w:sz w:val="20"/>
                <w:szCs w:val="20"/>
                <w:color w:val="auto"/>
              </w:rPr>
            </w:pPr>
          </w:p>
        </w:tc>
        <w:tc>
          <w:tcPr>
            <w:tcW w:w="28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rPr>
              <w:t>Europe, Hong Kong, India</w:t>
            </w:r>
          </w:p>
        </w:tc>
        <w:tc>
          <w:tcPr>
            <w:tcW w:w="880" w:type="dxa"/>
            <w:vAlign w:val="bottom"/>
            <w:shd w:val="clear" w:color="auto" w:fill="9DC3E6"/>
          </w:tcPr>
          <w:p>
            <w:pPr>
              <w:spacing w:after="0"/>
              <w:rPr>
                <w:sz w:val="20"/>
                <w:szCs w:val="20"/>
                <w:color w:val="auto"/>
              </w:rPr>
            </w:pPr>
          </w:p>
        </w:tc>
      </w:tr>
      <w:tr>
        <w:trPr>
          <w:trHeight w:val="216"/>
        </w:trPr>
        <w:tc>
          <w:tcPr>
            <w:tcW w:w="2740" w:type="dxa"/>
            <w:vAlign w:val="bottom"/>
            <w:shd w:val="clear" w:color="auto" w:fill="9DC3E6"/>
          </w:tcPr>
          <w:p>
            <w:pPr>
              <w:spacing w:after="0"/>
              <w:rPr>
                <w:sz w:val="18"/>
                <w:szCs w:val="18"/>
                <w:color w:val="auto"/>
              </w:rPr>
            </w:pP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Nucleic Acid Construct for</w:t>
            </w:r>
          </w:p>
        </w:tc>
        <w:tc>
          <w:tcPr>
            <w:tcW w:w="2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2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India, China, Republic of Korea,</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2024(2)</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Expression of Alpha-galactosidase</w:t>
            </w:r>
          </w:p>
        </w:tc>
        <w:tc>
          <w:tcPr>
            <w:tcW w:w="24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Japan, Israel, Europe, Hong Kong,</w:t>
            </w:r>
          </w:p>
        </w:tc>
        <w:tc>
          <w:tcPr>
            <w:tcW w:w="880" w:type="dxa"/>
            <w:vAlign w:val="bottom"/>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Plants and Plant Cells/PCT/</w:t>
            </w:r>
          </w:p>
        </w:tc>
        <w:tc>
          <w:tcPr>
            <w:tcW w:w="24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880" w:type="dxa"/>
            <w:vAlign w:val="bottom"/>
          </w:tcPr>
          <w:p>
            <w:pPr>
              <w:spacing w:after="0"/>
              <w:rPr>
                <w:sz w:val="18"/>
                <w:szCs w:val="18"/>
                <w:color w:val="auto"/>
              </w:rPr>
            </w:pP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Il2011/000719</w:t>
            </w:r>
          </w:p>
        </w:tc>
        <w:tc>
          <w:tcPr>
            <w:tcW w:w="2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75"/>
        </w:trPr>
        <w:tc>
          <w:tcPr>
            <w:tcW w:w="2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2740" w:type="dxa"/>
            <w:vAlign w:val="bottom"/>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Therapeutic Regimen For The</w:t>
            </w:r>
          </w:p>
        </w:tc>
        <w:tc>
          <w:tcPr>
            <w:tcW w:w="24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 Europe, Brazil, Japan,</w:t>
            </w:r>
          </w:p>
        </w:tc>
        <w:tc>
          <w:tcPr>
            <w:tcW w:w="28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shd w:val="clear" w:color="auto" w:fill="9DC3E6"/>
          </w:tcPr>
          <w:p>
            <w:pPr>
              <w:ind w:left="28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Treatment of Fabry Using</w:t>
            </w:r>
          </w:p>
        </w:tc>
        <w:tc>
          <w:tcPr>
            <w:tcW w:w="24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w w:val="99"/>
              </w:rPr>
              <w:t>Canada, Australia, Chile,</w:t>
            </w: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Stabilized Alpha-galactosidase/</w:t>
            </w:r>
          </w:p>
        </w:tc>
        <w:tc>
          <w:tcPr>
            <w:tcW w:w="24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rPr>
              <w:t>Israel, South Africa, Republic</w:t>
            </w: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PCT/Il2018/050018</w:t>
            </w:r>
          </w:p>
        </w:tc>
        <w:tc>
          <w:tcPr>
            <w:tcW w:w="24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rPr>
              <w:t>of Korea, China, New</w:t>
            </w: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16"/>
        </w:trPr>
        <w:tc>
          <w:tcPr>
            <w:tcW w:w="2740" w:type="dxa"/>
            <w:vAlign w:val="bottom"/>
            <w:shd w:val="clear" w:color="auto" w:fill="9DC3E6"/>
          </w:tcPr>
          <w:p>
            <w:pPr>
              <w:spacing w:after="0"/>
              <w:rPr>
                <w:sz w:val="18"/>
                <w:szCs w:val="18"/>
                <w:color w:val="auto"/>
              </w:rPr>
            </w:pPr>
          </w:p>
        </w:tc>
        <w:tc>
          <w:tcPr>
            <w:tcW w:w="24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w w:val="99"/>
              </w:rPr>
              <w:t>Zealand, Russian Federation,</w:t>
            </w: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34"/>
        </w:trPr>
        <w:tc>
          <w:tcPr>
            <w:tcW w:w="2740" w:type="dxa"/>
            <w:vAlign w:val="bottom"/>
            <w:shd w:val="clear" w:color="auto" w:fill="9DC3E6"/>
          </w:tcPr>
          <w:p>
            <w:pPr>
              <w:spacing w:after="0"/>
              <w:rPr>
                <w:sz w:val="20"/>
                <w:szCs w:val="20"/>
                <w:color w:val="auto"/>
              </w:rPr>
            </w:pPr>
          </w:p>
        </w:tc>
        <w:tc>
          <w:tcPr>
            <w:tcW w:w="24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w w:val="99"/>
              </w:rPr>
              <w:t>Mexico, Hong Kong</w:t>
            </w:r>
          </w:p>
        </w:tc>
        <w:tc>
          <w:tcPr>
            <w:tcW w:w="2840" w:type="dxa"/>
            <w:vAlign w:val="bottom"/>
            <w:shd w:val="clear" w:color="auto" w:fill="9DC3E6"/>
          </w:tcPr>
          <w:p>
            <w:pPr>
              <w:spacing w:after="0"/>
              <w:rPr>
                <w:sz w:val="20"/>
                <w:szCs w:val="20"/>
                <w:color w:val="auto"/>
              </w:rPr>
            </w:pPr>
          </w:p>
        </w:tc>
        <w:tc>
          <w:tcPr>
            <w:tcW w:w="880" w:type="dxa"/>
            <w:vAlign w:val="bottom"/>
            <w:shd w:val="clear" w:color="auto" w:fill="9DC3E6"/>
          </w:tcPr>
          <w:p>
            <w:pPr>
              <w:spacing w:after="0"/>
              <w:rPr>
                <w:sz w:val="20"/>
                <w:szCs w:val="20"/>
                <w:color w:val="auto"/>
              </w:rPr>
            </w:pPr>
          </w:p>
        </w:tc>
      </w:tr>
      <w:tr>
        <w:trPr>
          <w:trHeight w:val="175"/>
        </w:trPr>
        <w:tc>
          <w:tcPr>
            <w:tcW w:w="2740" w:type="dxa"/>
            <w:vAlign w:val="bottom"/>
            <w:shd w:val="clear" w:color="auto" w:fill="9DC3E6"/>
          </w:tcPr>
          <w:p>
            <w:pPr>
              <w:spacing w:after="0"/>
              <w:rPr>
                <w:sz w:val="15"/>
                <w:szCs w:val="15"/>
                <w:color w:val="auto"/>
              </w:rPr>
            </w:pPr>
          </w:p>
        </w:tc>
        <w:tc>
          <w:tcPr>
            <w:tcW w:w="2440" w:type="dxa"/>
            <w:vAlign w:val="bottom"/>
            <w:shd w:val="clear" w:color="auto" w:fill="9DC3E6"/>
          </w:tcPr>
          <w:p>
            <w:pPr>
              <w:spacing w:after="0"/>
              <w:rPr>
                <w:sz w:val="15"/>
                <w:szCs w:val="15"/>
                <w:color w:val="auto"/>
              </w:rPr>
            </w:pPr>
          </w:p>
        </w:tc>
        <w:tc>
          <w:tcPr>
            <w:tcW w:w="2840" w:type="dxa"/>
            <w:vAlign w:val="bottom"/>
            <w:shd w:val="clear" w:color="auto" w:fill="9DC3E6"/>
          </w:tcPr>
          <w:p>
            <w:pPr>
              <w:spacing w:after="0"/>
              <w:rPr>
                <w:sz w:val="15"/>
                <w:szCs w:val="15"/>
                <w:color w:val="auto"/>
              </w:rPr>
            </w:pPr>
          </w:p>
        </w:tc>
        <w:tc>
          <w:tcPr>
            <w:tcW w:w="880" w:type="dxa"/>
            <w:vAlign w:val="bottom"/>
            <w:shd w:val="clear" w:color="auto" w:fill="9DC3E6"/>
          </w:tcPr>
          <w:p>
            <w:pPr>
              <w:spacing w:after="0"/>
              <w:rPr>
                <w:sz w:val="15"/>
                <w:szCs w:val="15"/>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Dry Powder Formulations of</w:t>
            </w:r>
          </w:p>
        </w:tc>
        <w:tc>
          <w:tcPr>
            <w:tcW w:w="2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Israel, USA</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DNase 1/PCT/Il2013/050094</w:t>
            </w:r>
          </w:p>
        </w:tc>
        <w:tc>
          <w:tcPr>
            <w:tcW w:w="2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75"/>
        </w:trPr>
        <w:tc>
          <w:tcPr>
            <w:tcW w:w="2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2740" w:type="dxa"/>
            <w:vAlign w:val="bottom"/>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DNase I Polypeptides,</w:t>
            </w:r>
          </w:p>
        </w:tc>
        <w:tc>
          <w:tcPr>
            <w:tcW w:w="24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Brazil</w:t>
            </w:r>
          </w:p>
        </w:tc>
        <w:tc>
          <w:tcPr>
            <w:tcW w:w="28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Europe, Israel</w:t>
            </w:r>
          </w:p>
        </w:tc>
        <w:tc>
          <w:tcPr>
            <w:tcW w:w="88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Polynucleotides Encoding Same,</w:t>
            </w: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Methods of Producing DNase I</w:t>
            </w: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and uses thereof in Therapy/PCT/</w:t>
            </w: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34"/>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Il2013/050097</w:t>
            </w:r>
          </w:p>
        </w:tc>
        <w:tc>
          <w:tcPr>
            <w:tcW w:w="2440" w:type="dxa"/>
            <w:vAlign w:val="bottom"/>
            <w:shd w:val="clear" w:color="auto" w:fill="9DC3E6"/>
          </w:tcPr>
          <w:p>
            <w:pPr>
              <w:spacing w:after="0"/>
              <w:rPr>
                <w:sz w:val="20"/>
                <w:szCs w:val="20"/>
                <w:color w:val="auto"/>
              </w:rPr>
            </w:pPr>
          </w:p>
        </w:tc>
        <w:tc>
          <w:tcPr>
            <w:tcW w:w="2840" w:type="dxa"/>
            <w:vAlign w:val="bottom"/>
            <w:shd w:val="clear" w:color="auto" w:fill="9DC3E6"/>
          </w:tcPr>
          <w:p>
            <w:pPr>
              <w:spacing w:after="0"/>
              <w:rPr>
                <w:sz w:val="20"/>
                <w:szCs w:val="20"/>
                <w:color w:val="auto"/>
              </w:rPr>
            </w:pPr>
          </w:p>
        </w:tc>
        <w:tc>
          <w:tcPr>
            <w:tcW w:w="880" w:type="dxa"/>
            <w:vAlign w:val="bottom"/>
            <w:shd w:val="clear" w:color="auto" w:fill="9DC3E6"/>
          </w:tcPr>
          <w:p>
            <w:pPr>
              <w:spacing w:after="0"/>
              <w:rPr>
                <w:sz w:val="20"/>
                <w:szCs w:val="20"/>
                <w:color w:val="auto"/>
              </w:rPr>
            </w:pPr>
          </w:p>
        </w:tc>
      </w:tr>
      <w:tr>
        <w:trPr>
          <w:trHeight w:val="175"/>
        </w:trPr>
        <w:tc>
          <w:tcPr>
            <w:tcW w:w="2740" w:type="dxa"/>
            <w:vAlign w:val="bottom"/>
            <w:shd w:val="clear" w:color="auto" w:fill="9DC3E6"/>
          </w:tcPr>
          <w:p>
            <w:pPr>
              <w:spacing w:after="0"/>
              <w:rPr>
                <w:sz w:val="15"/>
                <w:szCs w:val="15"/>
                <w:color w:val="auto"/>
              </w:rPr>
            </w:pPr>
          </w:p>
        </w:tc>
        <w:tc>
          <w:tcPr>
            <w:tcW w:w="2440" w:type="dxa"/>
            <w:vAlign w:val="bottom"/>
            <w:shd w:val="clear" w:color="auto" w:fill="9DC3E6"/>
          </w:tcPr>
          <w:p>
            <w:pPr>
              <w:spacing w:after="0"/>
              <w:rPr>
                <w:sz w:val="15"/>
                <w:szCs w:val="15"/>
                <w:color w:val="auto"/>
              </w:rPr>
            </w:pPr>
          </w:p>
        </w:tc>
        <w:tc>
          <w:tcPr>
            <w:tcW w:w="2840" w:type="dxa"/>
            <w:vAlign w:val="bottom"/>
            <w:shd w:val="clear" w:color="auto" w:fill="9DC3E6"/>
          </w:tcPr>
          <w:p>
            <w:pPr>
              <w:spacing w:after="0"/>
              <w:rPr>
                <w:sz w:val="15"/>
                <w:szCs w:val="15"/>
                <w:color w:val="auto"/>
              </w:rPr>
            </w:pPr>
          </w:p>
        </w:tc>
        <w:tc>
          <w:tcPr>
            <w:tcW w:w="880" w:type="dxa"/>
            <w:vAlign w:val="bottom"/>
            <w:shd w:val="clear" w:color="auto" w:fill="9DC3E6"/>
          </w:tcPr>
          <w:p>
            <w:pPr>
              <w:spacing w:after="0"/>
              <w:rPr>
                <w:sz w:val="15"/>
                <w:szCs w:val="15"/>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Inhalable Liquid Formulations of</w:t>
            </w:r>
          </w:p>
        </w:tc>
        <w:tc>
          <w:tcPr>
            <w:tcW w:w="2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Israel, USA</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2033</w:t>
            </w: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DNase I/PCT/Il2013/050096</w:t>
            </w:r>
          </w:p>
        </w:tc>
        <w:tc>
          <w:tcPr>
            <w:tcW w:w="2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75"/>
        </w:trPr>
        <w:tc>
          <w:tcPr>
            <w:tcW w:w="2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2740" w:type="dxa"/>
            <w:vAlign w:val="bottom"/>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DNase and uses thereof/</w:t>
            </w:r>
          </w:p>
        </w:tc>
        <w:tc>
          <w:tcPr>
            <w:tcW w:w="24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Europe, Canada, China, New</w:t>
            </w:r>
          </w:p>
        </w:tc>
        <w:tc>
          <w:tcPr>
            <w:tcW w:w="28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 Australia, South Africa</w:t>
            </w:r>
          </w:p>
        </w:tc>
        <w:tc>
          <w:tcPr>
            <w:tcW w:w="88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2036</w:t>
            </w: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PCT/Il2016/050003</w:t>
            </w:r>
          </w:p>
        </w:tc>
        <w:tc>
          <w:tcPr>
            <w:tcW w:w="24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rPr>
              <w:t>Zealand, Israel, Mexico, Hong</w:t>
            </w: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34"/>
        </w:trPr>
        <w:tc>
          <w:tcPr>
            <w:tcW w:w="2740" w:type="dxa"/>
            <w:vAlign w:val="bottom"/>
            <w:shd w:val="clear" w:color="auto" w:fill="9DC3E6"/>
          </w:tcPr>
          <w:p>
            <w:pPr>
              <w:spacing w:after="0"/>
              <w:rPr>
                <w:sz w:val="20"/>
                <w:szCs w:val="20"/>
                <w:color w:val="auto"/>
              </w:rPr>
            </w:pPr>
          </w:p>
        </w:tc>
        <w:tc>
          <w:tcPr>
            <w:tcW w:w="2440" w:type="dxa"/>
            <w:vAlign w:val="bottom"/>
            <w:shd w:val="clear" w:color="auto" w:fill="9DC3E6"/>
          </w:tcPr>
          <w:p>
            <w:pPr>
              <w:jc w:val="center"/>
              <w:spacing w:after="0"/>
              <w:rPr>
                <w:sz w:val="20"/>
                <w:szCs w:val="20"/>
                <w:color w:val="auto"/>
              </w:rPr>
            </w:pPr>
            <w:r>
              <w:rPr>
                <w:rFonts w:ascii="Times New Roman" w:cs="Times New Roman" w:eastAsia="Times New Roman" w:hAnsi="Times New Roman"/>
                <w:sz w:val="18"/>
                <w:szCs w:val="18"/>
                <w:color w:val="auto"/>
                <w:w w:val="99"/>
              </w:rPr>
              <w:t>Kong</w:t>
            </w:r>
          </w:p>
        </w:tc>
        <w:tc>
          <w:tcPr>
            <w:tcW w:w="2840" w:type="dxa"/>
            <w:vAlign w:val="bottom"/>
            <w:shd w:val="clear" w:color="auto" w:fill="9DC3E6"/>
          </w:tcPr>
          <w:p>
            <w:pPr>
              <w:spacing w:after="0"/>
              <w:rPr>
                <w:sz w:val="20"/>
                <w:szCs w:val="20"/>
                <w:color w:val="auto"/>
              </w:rPr>
            </w:pPr>
          </w:p>
        </w:tc>
        <w:tc>
          <w:tcPr>
            <w:tcW w:w="880" w:type="dxa"/>
            <w:vAlign w:val="bottom"/>
            <w:shd w:val="clear" w:color="auto" w:fill="9DC3E6"/>
          </w:tcPr>
          <w:p>
            <w:pPr>
              <w:spacing w:after="0"/>
              <w:rPr>
                <w:sz w:val="20"/>
                <w:szCs w:val="20"/>
                <w:color w:val="auto"/>
              </w:rPr>
            </w:pPr>
          </w:p>
        </w:tc>
      </w:tr>
      <w:tr>
        <w:trPr>
          <w:trHeight w:val="175"/>
        </w:trPr>
        <w:tc>
          <w:tcPr>
            <w:tcW w:w="2740" w:type="dxa"/>
            <w:vAlign w:val="bottom"/>
            <w:shd w:val="clear" w:color="auto" w:fill="9DC3E6"/>
          </w:tcPr>
          <w:p>
            <w:pPr>
              <w:spacing w:after="0"/>
              <w:rPr>
                <w:sz w:val="15"/>
                <w:szCs w:val="15"/>
                <w:color w:val="auto"/>
              </w:rPr>
            </w:pPr>
          </w:p>
        </w:tc>
        <w:tc>
          <w:tcPr>
            <w:tcW w:w="2440" w:type="dxa"/>
            <w:vAlign w:val="bottom"/>
            <w:shd w:val="clear" w:color="auto" w:fill="9DC3E6"/>
          </w:tcPr>
          <w:p>
            <w:pPr>
              <w:spacing w:after="0"/>
              <w:rPr>
                <w:sz w:val="15"/>
                <w:szCs w:val="15"/>
                <w:color w:val="auto"/>
              </w:rPr>
            </w:pPr>
          </w:p>
        </w:tc>
        <w:tc>
          <w:tcPr>
            <w:tcW w:w="2840" w:type="dxa"/>
            <w:vAlign w:val="bottom"/>
            <w:shd w:val="clear" w:color="auto" w:fill="9DC3E6"/>
          </w:tcPr>
          <w:p>
            <w:pPr>
              <w:spacing w:after="0"/>
              <w:rPr>
                <w:sz w:val="15"/>
                <w:szCs w:val="15"/>
                <w:color w:val="auto"/>
              </w:rPr>
            </w:pPr>
          </w:p>
        </w:tc>
        <w:tc>
          <w:tcPr>
            <w:tcW w:w="880" w:type="dxa"/>
            <w:vAlign w:val="bottom"/>
            <w:shd w:val="clear" w:color="auto" w:fill="9DC3E6"/>
          </w:tcPr>
          <w:p>
            <w:pPr>
              <w:spacing w:after="0"/>
              <w:rPr>
                <w:sz w:val="15"/>
                <w:szCs w:val="15"/>
                <w:color w:val="auto"/>
              </w:rPr>
            </w:pPr>
          </w:p>
        </w:tc>
      </w:tr>
      <w:tr>
        <w:trPr>
          <w:trHeight w:val="198"/>
        </w:trPr>
        <w:tc>
          <w:tcPr>
            <w:tcW w:w="2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Use of Plant Cells Expressing a</w:t>
            </w:r>
          </w:p>
        </w:tc>
        <w:tc>
          <w:tcPr>
            <w:tcW w:w="2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Israel, Japan, USA, Europe,</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2034</w:t>
            </w:r>
          </w:p>
        </w:tc>
      </w:tr>
      <w:tr>
        <w:trPr>
          <w:trHeight w:val="216"/>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TNF Alpha Polypeptide Inhibitor</w:t>
            </w:r>
          </w:p>
        </w:tc>
        <w:tc>
          <w:tcPr>
            <w:tcW w:w="244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 Canada</w:t>
            </w:r>
          </w:p>
        </w:tc>
        <w:tc>
          <w:tcPr>
            <w:tcW w:w="880" w:type="dxa"/>
            <w:vAlign w:val="bottom"/>
          </w:tcPr>
          <w:p>
            <w:pPr>
              <w:spacing w:after="0"/>
              <w:rPr>
                <w:sz w:val="18"/>
                <w:szCs w:val="18"/>
                <w:color w:val="auto"/>
              </w:rPr>
            </w:pPr>
          </w:p>
        </w:tc>
      </w:tr>
      <w:tr>
        <w:trPr>
          <w:trHeight w:val="234"/>
        </w:trPr>
        <w:tc>
          <w:tcPr>
            <w:tcW w:w="2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Therapy/PCT/IL2014/050231</w:t>
            </w:r>
          </w:p>
        </w:tc>
        <w:tc>
          <w:tcPr>
            <w:tcW w:w="2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76"/>
        </w:trPr>
        <w:tc>
          <w:tcPr>
            <w:tcW w:w="2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2740" w:type="dxa"/>
            <w:vAlign w:val="bottom"/>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Chimeric Polypeptides,</w:t>
            </w:r>
          </w:p>
        </w:tc>
        <w:tc>
          <w:tcPr>
            <w:tcW w:w="24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84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USA</w:t>
            </w:r>
          </w:p>
        </w:tc>
        <w:tc>
          <w:tcPr>
            <w:tcW w:w="880" w:type="dxa"/>
            <w:vAlign w:val="bottom"/>
            <w:shd w:val="clear" w:color="auto" w:fill="9DC3E6"/>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2035</w:t>
            </w: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Polynucleotides Encoding Same,</w:t>
            </w: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16"/>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Cells Expressing Same and</w:t>
            </w:r>
          </w:p>
        </w:tc>
        <w:tc>
          <w:tcPr>
            <w:tcW w:w="2440" w:type="dxa"/>
            <w:vAlign w:val="bottom"/>
            <w:shd w:val="clear" w:color="auto" w:fill="9DC3E6"/>
          </w:tcPr>
          <w:p>
            <w:pPr>
              <w:spacing w:after="0"/>
              <w:rPr>
                <w:sz w:val="18"/>
                <w:szCs w:val="18"/>
                <w:color w:val="auto"/>
              </w:rPr>
            </w:pPr>
          </w:p>
        </w:tc>
        <w:tc>
          <w:tcPr>
            <w:tcW w:w="2840" w:type="dxa"/>
            <w:vAlign w:val="bottom"/>
            <w:shd w:val="clear" w:color="auto" w:fill="9DC3E6"/>
          </w:tcPr>
          <w:p>
            <w:pPr>
              <w:spacing w:after="0"/>
              <w:rPr>
                <w:sz w:val="18"/>
                <w:szCs w:val="18"/>
                <w:color w:val="auto"/>
              </w:rPr>
            </w:pPr>
          </w:p>
        </w:tc>
        <w:tc>
          <w:tcPr>
            <w:tcW w:w="880" w:type="dxa"/>
            <w:vAlign w:val="bottom"/>
            <w:shd w:val="clear" w:color="auto" w:fill="9DC3E6"/>
          </w:tcPr>
          <w:p>
            <w:pPr>
              <w:spacing w:after="0"/>
              <w:rPr>
                <w:sz w:val="18"/>
                <w:szCs w:val="18"/>
                <w:color w:val="auto"/>
              </w:rPr>
            </w:pPr>
          </w:p>
        </w:tc>
      </w:tr>
      <w:tr>
        <w:trPr>
          <w:trHeight w:val="234"/>
        </w:trPr>
        <w:tc>
          <w:tcPr>
            <w:tcW w:w="274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Methods of Producing Same</w:t>
            </w:r>
          </w:p>
        </w:tc>
        <w:tc>
          <w:tcPr>
            <w:tcW w:w="2440" w:type="dxa"/>
            <w:vAlign w:val="bottom"/>
            <w:shd w:val="clear" w:color="auto" w:fill="9DC3E6"/>
          </w:tcPr>
          <w:p>
            <w:pPr>
              <w:spacing w:after="0"/>
              <w:rPr>
                <w:sz w:val="20"/>
                <w:szCs w:val="20"/>
                <w:color w:val="auto"/>
              </w:rPr>
            </w:pPr>
          </w:p>
        </w:tc>
        <w:tc>
          <w:tcPr>
            <w:tcW w:w="2840" w:type="dxa"/>
            <w:vAlign w:val="bottom"/>
            <w:shd w:val="clear" w:color="auto" w:fill="9DC3E6"/>
          </w:tcPr>
          <w:p>
            <w:pPr>
              <w:spacing w:after="0"/>
              <w:rPr>
                <w:sz w:val="20"/>
                <w:szCs w:val="20"/>
                <w:color w:val="auto"/>
              </w:rPr>
            </w:pPr>
          </w:p>
        </w:tc>
        <w:tc>
          <w:tcPr>
            <w:tcW w:w="880" w:type="dxa"/>
            <w:vAlign w:val="bottom"/>
            <w:shd w:val="clear" w:color="auto" w:fill="9DC3E6"/>
          </w:tcPr>
          <w:p>
            <w:pPr>
              <w:spacing w:after="0"/>
              <w:rPr>
                <w:sz w:val="20"/>
                <w:szCs w:val="20"/>
                <w:color w:val="auto"/>
              </w:rPr>
            </w:pPr>
          </w:p>
        </w:tc>
      </w:tr>
      <w:tr>
        <w:trPr>
          <w:trHeight w:val="175"/>
        </w:trPr>
        <w:tc>
          <w:tcPr>
            <w:tcW w:w="2740" w:type="dxa"/>
            <w:vAlign w:val="bottom"/>
            <w:shd w:val="clear" w:color="auto" w:fill="9DC3E6"/>
          </w:tcPr>
          <w:p>
            <w:pPr>
              <w:spacing w:after="0"/>
              <w:rPr>
                <w:sz w:val="15"/>
                <w:szCs w:val="15"/>
                <w:color w:val="auto"/>
              </w:rPr>
            </w:pPr>
          </w:p>
        </w:tc>
        <w:tc>
          <w:tcPr>
            <w:tcW w:w="2440" w:type="dxa"/>
            <w:vAlign w:val="bottom"/>
            <w:shd w:val="clear" w:color="auto" w:fill="9DC3E6"/>
          </w:tcPr>
          <w:p>
            <w:pPr>
              <w:spacing w:after="0"/>
              <w:rPr>
                <w:sz w:val="15"/>
                <w:szCs w:val="15"/>
                <w:color w:val="auto"/>
              </w:rPr>
            </w:pPr>
          </w:p>
        </w:tc>
        <w:tc>
          <w:tcPr>
            <w:tcW w:w="2840" w:type="dxa"/>
            <w:vAlign w:val="bottom"/>
            <w:shd w:val="clear" w:color="auto" w:fill="9DC3E6"/>
          </w:tcPr>
          <w:p>
            <w:pPr>
              <w:spacing w:after="0"/>
              <w:rPr>
                <w:sz w:val="15"/>
                <w:szCs w:val="15"/>
                <w:color w:val="auto"/>
              </w:rPr>
            </w:pPr>
          </w:p>
        </w:tc>
        <w:tc>
          <w:tcPr>
            <w:tcW w:w="880" w:type="dxa"/>
            <w:vAlign w:val="bottom"/>
            <w:shd w:val="clear" w:color="auto" w:fill="9DC3E6"/>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of Constructs from</w:t>
            </w:r>
          </w:p>
        </w:tc>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22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Transformed Cells</w:t>
            </w:r>
          </w:p>
        </w:tc>
        <w:tc>
          <w:tcPr>
            <w:tcW w:w="20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/PCT/IL2019/051266</w:t>
            </w:r>
          </w:p>
        </w:tc>
        <w:tc>
          <w:tcPr>
            <w:tcW w:w="2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75"/>
        </w:trPr>
        <w:tc>
          <w:tcPr>
            <w:tcW w:w="3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8"/>
        </w:trPr>
        <w:tc>
          <w:tcPr>
            <w:tcW w:w="3220" w:type="dxa"/>
            <w:vAlign w:val="bottom"/>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Long-Acting</w:t>
            </w:r>
          </w:p>
        </w:tc>
        <w:tc>
          <w:tcPr>
            <w:tcW w:w="2060" w:type="dxa"/>
            <w:vAlign w:val="bottom"/>
            <w:shd w:val="clear" w:color="auto" w:fill="9DC3E6"/>
          </w:tcPr>
          <w:p>
            <w:pPr>
              <w:ind w:left="58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240" w:type="dxa"/>
            <w:vAlign w:val="bottom"/>
            <w:shd w:val="clear" w:color="auto" w:fill="9DC3E6"/>
          </w:tcPr>
          <w:p>
            <w:pPr>
              <w:ind w:left="116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380" w:type="dxa"/>
            <w:vAlign w:val="bottom"/>
            <w:shd w:val="clear" w:color="auto" w:fill="9DC3E6"/>
          </w:tcPr>
          <w:p>
            <w:pPr>
              <w:ind w:left="78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322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DNase/PCT/IL2021/051207</w:t>
            </w:r>
          </w:p>
        </w:tc>
        <w:tc>
          <w:tcPr>
            <w:tcW w:w="2060" w:type="dxa"/>
            <w:vAlign w:val="bottom"/>
            <w:shd w:val="clear" w:color="auto" w:fill="9DC3E6"/>
          </w:tcPr>
          <w:p>
            <w:pPr>
              <w:spacing w:after="0"/>
              <w:rPr>
                <w:sz w:val="20"/>
                <w:szCs w:val="20"/>
                <w:color w:val="auto"/>
              </w:rPr>
            </w:pPr>
          </w:p>
        </w:tc>
        <w:tc>
          <w:tcPr>
            <w:tcW w:w="2240" w:type="dxa"/>
            <w:vAlign w:val="bottom"/>
            <w:shd w:val="clear" w:color="auto" w:fill="9DC3E6"/>
          </w:tcPr>
          <w:p>
            <w:pPr>
              <w:spacing w:after="0"/>
              <w:rPr>
                <w:sz w:val="20"/>
                <w:szCs w:val="20"/>
                <w:color w:val="auto"/>
              </w:rPr>
            </w:pPr>
          </w:p>
        </w:tc>
        <w:tc>
          <w:tcPr>
            <w:tcW w:w="1380" w:type="dxa"/>
            <w:vAlign w:val="bottom"/>
            <w:shd w:val="clear" w:color="auto" w:fill="9DC3E6"/>
          </w:tcPr>
          <w:p>
            <w:pPr>
              <w:spacing w:after="0"/>
              <w:rPr>
                <w:sz w:val="20"/>
                <w:szCs w:val="20"/>
                <w:color w:val="auto"/>
              </w:rPr>
            </w:pPr>
          </w:p>
        </w:tc>
      </w:tr>
      <w:tr>
        <w:trPr>
          <w:trHeight w:val="175"/>
        </w:trPr>
        <w:tc>
          <w:tcPr>
            <w:tcW w:w="3220" w:type="dxa"/>
            <w:vAlign w:val="bottom"/>
            <w:shd w:val="clear" w:color="auto" w:fill="9DC3E6"/>
          </w:tcPr>
          <w:p>
            <w:pPr>
              <w:spacing w:after="0"/>
              <w:rPr>
                <w:sz w:val="15"/>
                <w:szCs w:val="15"/>
                <w:color w:val="auto"/>
              </w:rPr>
            </w:pPr>
          </w:p>
        </w:tc>
        <w:tc>
          <w:tcPr>
            <w:tcW w:w="2060" w:type="dxa"/>
            <w:vAlign w:val="bottom"/>
            <w:shd w:val="clear" w:color="auto" w:fill="9DC3E6"/>
          </w:tcPr>
          <w:p>
            <w:pPr>
              <w:spacing w:after="0"/>
              <w:rPr>
                <w:sz w:val="15"/>
                <w:szCs w:val="15"/>
                <w:color w:val="auto"/>
              </w:rPr>
            </w:pPr>
          </w:p>
        </w:tc>
        <w:tc>
          <w:tcPr>
            <w:tcW w:w="2240" w:type="dxa"/>
            <w:vAlign w:val="bottom"/>
            <w:shd w:val="clear" w:color="auto" w:fill="9DC3E6"/>
          </w:tcPr>
          <w:p>
            <w:pPr>
              <w:spacing w:after="0"/>
              <w:rPr>
                <w:sz w:val="15"/>
                <w:szCs w:val="15"/>
                <w:color w:val="auto"/>
              </w:rPr>
            </w:pPr>
          </w:p>
        </w:tc>
        <w:tc>
          <w:tcPr>
            <w:tcW w:w="1380" w:type="dxa"/>
            <w:vAlign w:val="bottom"/>
            <w:shd w:val="clear" w:color="auto" w:fill="9DC3E6"/>
          </w:tcPr>
          <w:p>
            <w:pPr>
              <w:spacing w:after="0"/>
              <w:rPr>
                <w:sz w:val="15"/>
                <w:szCs w:val="15"/>
                <w:color w:val="auto"/>
              </w:rPr>
            </w:pPr>
          </w:p>
        </w:tc>
      </w:tr>
      <w:tr>
        <w:trPr>
          <w:trHeight w:val="198"/>
        </w:trPr>
        <w:tc>
          <w:tcPr>
            <w:tcW w:w="32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Dicer-Like Knock-Out Plant Cells/</w:t>
            </w:r>
          </w:p>
        </w:tc>
        <w:tc>
          <w:tcPr>
            <w:tcW w:w="20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240" w:type="dxa"/>
            <w:vAlign w:val="bottom"/>
          </w:tcPr>
          <w:p>
            <w:pPr>
              <w:ind w:left="116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380" w:type="dxa"/>
            <w:vAlign w:val="bottom"/>
          </w:tcPr>
          <w:p>
            <w:pPr>
              <w:ind w:left="78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PCT/IL2021/051194</w:t>
            </w:r>
          </w:p>
        </w:tc>
        <w:tc>
          <w:tcPr>
            <w:tcW w:w="2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75"/>
        </w:trPr>
        <w:tc>
          <w:tcPr>
            <w:tcW w:w="3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8"/>
        </w:trPr>
        <w:tc>
          <w:tcPr>
            <w:tcW w:w="3220" w:type="dxa"/>
            <w:vAlign w:val="bottom"/>
            <w:shd w:val="clear" w:color="auto" w:fill="9DC3E6"/>
          </w:tcPr>
          <w:p>
            <w:pPr>
              <w:ind w:left="100"/>
              <w:spacing w:after="0" w:line="198" w:lineRule="exact"/>
              <w:rPr>
                <w:sz w:val="20"/>
                <w:szCs w:val="20"/>
                <w:color w:val="auto"/>
              </w:rPr>
            </w:pPr>
            <w:r>
              <w:rPr>
                <w:rFonts w:ascii="Times New Roman" w:cs="Times New Roman" w:eastAsia="Times New Roman" w:hAnsi="Times New Roman"/>
                <w:sz w:val="18"/>
                <w:szCs w:val="18"/>
                <w:color w:val="auto"/>
              </w:rPr>
              <w:t>Modified Uricase and Uses</w:t>
            </w:r>
          </w:p>
        </w:tc>
        <w:tc>
          <w:tcPr>
            <w:tcW w:w="2060" w:type="dxa"/>
            <w:vAlign w:val="bottom"/>
            <w:shd w:val="clear" w:color="auto" w:fill="9DC3E6"/>
          </w:tcPr>
          <w:p>
            <w:pPr>
              <w:ind w:left="58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240" w:type="dxa"/>
            <w:vAlign w:val="bottom"/>
            <w:shd w:val="clear" w:color="auto" w:fill="9DC3E6"/>
          </w:tcPr>
          <w:p>
            <w:pPr>
              <w:ind w:left="116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1380" w:type="dxa"/>
            <w:vAlign w:val="bottom"/>
            <w:shd w:val="clear" w:color="auto" w:fill="9DC3E6"/>
          </w:tcPr>
          <w:p>
            <w:pPr>
              <w:ind w:left="78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3220" w:type="dxa"/>
            <w:vAlign w:val="bottom"/>
            <w:shd w:val="clear" w:color="auto" w:fill="9DC3E6"/>
          </w:tcPr>
          <w:p>
            <w:pPr>
              <w:ind w:left="100"/>
              <w:spacing w:after="0"/>
              <w:rPr>
                <w:sz w:val="20"/>
                <w:szCs w:val="20"/>
                <w:color w:val="auto"/>
              </w:rPr>
            </w:pPr>
            <w:r>
              <w:rPr>
                <w:rFonts w:ascii="Times New Roman" w:cs="Times New Roman" w:eastAsia="Times New Roman" w:hAnsi="Times New Roman"/>
                <w:sz w:val="18"/>
                <w:szCs w:val="18"/>
                <w:color w:val="auto"/>
              </w:rPr>
              <w:t>Thereof/PCT/IL2021/051305</w:t>
            </w:r>
          </w:p>
        </w:tc>
        <w:tc>
          <w:tcPr>
            <w:tcW w:w="2060" w:type="dxa"/>
            <w:vAlign w:val="bottom"/>
            <w:shd w:val="clear" w:color="auto" w:fill="9DC3E6"/>
          </w:tcPr>
          <w:p>
            <w:pPr>
              <w:spacing w:after="0"/>
              <w:rPr>
                <w:sz w:val="20"/>
                <w:szCs w:val="20"/>
                <w:color w:val="auto"/>
              </w:rPr>
            </w:pPr>
          </w:p>
        </w:tc>
        <w:tc>
          <w:tcPr>
            <w:tcW w:w="2240" w:type="dxa"/>
            <w:vAlign w:val="bottom"/>
            <w:shd w:val="clear" w:color="auto" w:fill="9DC3E6"/>
          </w:tcPr>
          <w:p>
            <w:pPr>
              <w:spacing w:after="0"/>
              <w:rPr>
                <w:sz w:val="20"/>
                <w:szCs w:val="20"/>
                <w:color w:val="auto"/>
              </w:rPr>
            </w:pPr>
          </w:p>
        </w:tc>
        <w:tc>
          <w:tcPr>
            <w:tcW w:w="1380" w:type="dxa"/>
            <w:vAlign w:val="bottom"/>
            <w:shd w:val="clear" w:color="auto" w:fill="9DC3E6"/>
          </w:tcPr>
          <w:p>
            <w:pPr>
              <w:spacing w:after="0"/>
              <w:rPr>
                <w:sz w:val="20"/>
                <w:szCs w:val="20"/>
                <w:color w:val="auto"/>
              </w:rPr>
            </w:pPr>
          </w:p>
        </w:tc>
      </w:tr>
      <w:tr>
        <w:trPr>
          <w:trHeight w:val="175"/>
        </w:trPr>
        <w:tc>
          <w:tcPr>
            <w:tcW w:w="3220" w:type="dxa"/>
            <w:vAlign w:val="bottom"/>
            <w:shd w:val="clear" w:color="auto" w:fill="9DC3E6"/>
          </w:tcPr>
          <w:p>
            <w:pPr>
              <w:spacing w:after="0"/>
              <w:rPr>
                <w:sz w:val="15"/>
                <w:szCs w:val="15"/>
                <w:color w:val="auto"/>
              </w:rPr>
            </w:pPr>
          </w:p>
        </w:tc>
        <w:tc>
          <w:tcPr>
            <w:tcW w:w="2060" w:type="dxa"/>
            <w:vAlign w:val="bottom"/>
            <w:shd w:val="clear" w:color="auto" w:fill="9DC3E6"/>
          </w:tcPr>
          <w:p>
            <w:pPr>
              <w:spacing w:after="0"/>
              <w:rPr>
                <w:sz w:val="15"/>
                <w:szCs w:val="15"/>
                <w:color w:val="auto"/>
              </w:rPr>
            </w:pPr>
          </w:p>
        </w:tc>
        <w:tc>
          <w:tcPr>
            <w:tcW w:w="2240" w:type="dxa"/>
            <w:vAlign w:val="bottom"/>
            <w:shd w:val="clear" w:color="auto" w:fill="9DC3E6"/>
          </w:tcPr>
          <w:p>
            <w:pPr>
              <w:spacing w:after="0"/>
              <w:rPr>
                <w:sz w:val="15"/>
                <w:szCs w:val="15"/>
                <w:color w:val="auto"/>
              </w:rPr>
            </w:pPr>
          </w:p>
        </w:tc>
        <w:tc>
          <w:tcPr>
            <w:tcW w:w="1380" w:type="dxa"/>
            <w:vAlign w:val="bottom"/>
            <w:shd w:val="clear" w:color="auto" w:fill="9DC3E6"/>
          </w:tcPr>
          <w:p>
            <w:pPr>
              <w:spacing w:after="0"/>
              <w:rPr>
                <w:sz w:val="15"/>
                <w:szCs w:val="15"/>
                <w:color w:val="auto"/>
              </w:rPr>
            </w:pPr>
          </w:p>
        </w:tc>
      </w:tr>
    </w:tbl>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Australia expires in 2029.</w:t>
      </w:r>
    </w:p>
    <w:p>
      <w:pPr>
        <w:spacing w:after="0" w:line="17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granted in the United States expires in 2032.</w:t>
      </w:r>
    </w:p>
    <w:p>
      <w:pPr>
        <w:spacing w:after="0" w:line="185"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We are aware of U.S. patents, and corresponding international counterparts of such patents, owned by third parties that contain claims covering methods of producing glucocerebrosidase. We do not believe that, if any claim of infringement were to be asserted against us based upon such patents, taliglucerase alfa would be found to infringe any valid claim under such patents. However, there can be no assurance that a court would find in our favor or that, if we choose or are required to seek a license to any one or more of such patents, a license would be available to us on acceptable terms or at all.</w:t>
      </w:r>
    </w:p>
    <w:p>
      <w:pPr>
        <w:spacing w:after="0" w:line="1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April 2005, Protalix Ltd. entered into a license agreement with Icon Genetics AG, or Icon, pursuant to which we received an exclusive worldwide license to develop, test, use and commercialize Icon’s technology to express certain proteins in our ProCellEx protein expression system. We are also entitled to a non-exclusive worldwide license to make and have made other proteins expressed by using Icon’s technology in our technology. As consideration for the license, we are obligated to make royalty payments equal to varying low, single-digit percentages of net sales of products by us, our affiliates, or any sublicensees under the agreement. In addition, we are obligated to make milestone payments equal to $350,000, in the aggregate, for each product developed under the license, upon the achievement of certain milestones.</w:t>
      </w:r>
    </w:p>
    <w:p>
      <w:pPr>
        <w:spacing w:after="0" w:line="162"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Our license agreement with Icon remains in effect until the earlier of the expiration of the last patent under the agreement or, if all of the patents under the agreement expire, 20 years after the first commercial sale of any product under the agreement. Icon may terminate the agreement upon written notice to us that we are in material breach of our obligations under the agreement and we are unable to remedy such material breach within 30 days after we receive such notice. Further, Icon may terminate the agreement in connection with certain events relating to a wind up or bankruptcy, if we make a general assignment for the benefit of our creditors, or if we cease to conduct operations for a certain period. Icon may also terminate the exclusivity granted to us by written notice if we fail to reach certain milestones within a designated period of time. Notwithstanding the termination date of the agreement, our obligation to pay royalties to Icon under the agreement may expire prior to the termination of the agreement, subject to certain conditions.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evolving technology and significant competition. Competition from numerous existing companies and others entering the fields in which we operate is intense and expected to increase. Most of these companies have substantially greater research and development, manufacturing, marketing, financial, technological personnel and managerial resources than we do. In addition, many specialized biotechnology companies have formed collaborations with large, established companies to support research, development and commercialization of products that may be competitive with our current and future product candidates and technologies. Acquisitions of competing companies by large pharmaceutical or biotechnology companies could further enhance such competitors’ financial, marketing and other resources. Academic institutions, governmental agencies and other public and private research organizations are also conducting research activities and seeking patent protection and may commercialize competitive products or technologies on their own through collaborations with pharmaceutical and biotechnology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18"/>
          <w:szCs w:val="18"/>
          <w:color w:val="auto"/>
        </w:rPr>
        <w:t>With respect to Gaucher disease, we face competition from two ERTs, Sanofi Genzyme’s Cerezyme and Takeda’s (Shire) Vpriv. In addition, Actelion markets a small molecule drug for the treatment of mild to moderate Type 1 Gaucher disease (Zavesca or miglustat), an oral treatment approved by the FDA only for patients for whom ERT is not a therapeutic option. In addition, Sanofi Genzyme markets a small molecule oral drug, Cerdelga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for Gaucher patients with certain CYP2D6 metabolizer status.</w:t>
      </w:r>
    </w:p>
    <w:p>
      <w:pPr>
        <w:spacing w:after="0" w:line="175" w:lineRule="exact"/>
        <w:rPr>
          <w:sz w:val="20"/>
          <w:szCs w:val="20"/>
          <w:color w:val="auto"/>
        </w:rPr>
      </w:pPr>
    </w:p>
    <w:p>
      <w:pPr>
        <w:ind w:left="60" w:right="339"/>
        <w:spacing w:after="0" w:line="233" w:lineRule="auto"/>
        <w:rPr>
          <w:sz w:val="20"/>
          <w:szCs w:val="20"/>
          <w:color w:val="auto"/>
        </w:rPr>
      </w:pPr>
      <w:r>
        <w:rPr>
          <w:rFonts w:ascii="Times New Roman" w:cs="Times New Roman" w:eastAsia="Times New Roman" w:hAnsi="Times New Roman"/>
          <w:sz w:val="18"/>
          <w:szCs w:val="18"/>
          <w:color w:val="auto"/>
        </w:rPr>
        <w:t>With respect to Fabry disease, we face competition from Sanofi Genzyme (Fabrazyme), Takeda Shire (Replagal) and Amicus (Galafold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we are aware of other late clinical stage, early clinical stage and experimental drugs which are being developed for the treatment of Fabry disease by other companies. For example, eleva GmbH (formerly, Greenovation Biotech GmbH), or eleva, is developing an ERT for Fabry disease which has completed a phase I clinical trial.</w:t>
      </w:r>
    </w:p>
    <w:p>
      <w:pPr>
        <w:spacing w:after="0" w:line="161"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With respect to refractory gout, we face competition from Horizon Therapeutics Public Limited Company (Krsytexxa), which is indicated for treatment of chronic gout in adult patients refractory to conventional therapy. In addition, we are aware of other clinical stage, early clinical stage and experimental refractory or chronic gout treatments. For example, we are aware of a product candidate that is the subject of a phase III clinical trial for chronic refractory gout and another product candidate that is the subject of a phase II clinical trial for hyperuricemia in gout patients with advanced CKD.</w:t>
      </w:r>
    </w:p>
    <w:p>
      <w:pPr>
        <w:spacing w:after="0" w:line="14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also face potential competition to our ProCellEx system from companies that are developing other platforms for the expression of recombinant therapeutic pharmaceuticals. We are aware of companies that are developing alternative technologies to develop and produce therapeutic proteins in anticipation of the expiration of certain patent claims covering marketed proteins. A number of companies have developed or are developing alternative expression technologies. Examples include Crucell N.V. (acquired by Johnson &amp; Johnson) has an expression system based on human-cell technology, Dyadic International Inc.’s expression system based on a fungus, Pfenex Inc.’s (acquired by Ligand Pharmaceuticals Incorporated) bacteria-based expression system, and others. Companies developing alternate plant-based technologies include iBio, Inc., Medicago, Inc., and eleva. Unlike ProCellEx, these alternate technologies are not cell-based. These companies base their product development on transgenic plants or whole plants.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Agreements and Partnerships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 – Pfizer</w:t>
      </w:r>
    </w:p>
    <w:p>
      <w:pPr>
        <w:spacing w:after="0" w:line="18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have licensed to Pfizer the global rights to Elelyso in all markets, excluding Brazil, pursuant to an Amended and Restated Exclusive License and Supply Agreement, or the Amended Pfizer Agreement, which we entered into with Pfizer in October 2015 to amend and restate our initial Exclusive License and Supply Agreement with Pfizer, or the Pfizer Agreement. Pursuant to the Amended Pfizer Agreement, Pfizer retains 100% of revenue and reimburses 100% of direct costs. For the first 10-year period after the execution of the Amended Pfizer Agreement, we have agreed to sell drug substance to Pfizer for the production of Elelyso, subject to certain terms and conditions, and Pfizer maintains the right to extend the supply period for up to two additional 30-month periods, subject to certain terms and conditions. In a subsequent amendment, we agreed that after the completion of the first 10-year supply period, the supply term would automatically extend for a five-year period.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maintain distribution rights to taliglucerase alfa in Brazil.</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Elelyso – Fundação Oswaldo Cruz (Fiocruz)</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state that BioManguinhos alfataliglicerase is the therapy of choice for newly diagnosed patients. BioManguinhos alfataliglicerase is currently estimated to be used by approximately 25% of Gaucher patients in Brazil.</w:t>
      </w:r>
    </w:p>
    <w:p>
      <w:pPr>
        <w:spacing w:after="0" w:line="143"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which is intended to transfer to Fiocruz the capacity and skills required for the Brazilian government to construct its own manufacturing facility, at its sole expense, and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produce a sustainable, high-quality, and cost-effective supply of BioManguinhos alfataliglicerase. Fiocruz has not satisfied certain purchase commitments under the Brazil Agreement. Accordingly, we and Fiocruz discuss on a continuous basis, potential steps to maximize sales of BioManguinhos alfataliglicerase sales to the Brazilian MoH.</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PRX-102 – Chiesi Farmaceutici</w:t>
      </w:r>
    </w:p>
    <w:p>
      <w:pPr>
        <w:spacing w:after="0" w:line="187"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We have entered into two exclusive global licensing and supply agreements for PRX-102 for the treatment of Fabry disease with Chiesi. The agreements have significant revenue potential for Protalix. Under the agreements, Protalix Ltd. has received $50.0 million in upfront payments and was entitled to development cost reimbursements of up to $45 million, up to more than $1.0 billion in potential milestone payments and tiered royalties of 15% - 35% (ex-US) and 15% - 40% (US).</w:t>
      </w:r>
    </w:p>
    <w:p>
      <w:pPr>
        <w:spacing w:after="0" w:line="12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October 19, 2017, Protalix Ltd. and Chiesi entered into the Chiesi Ex-US Agreement pursuant to which Chiesi was granted an exclusive license for all markets outside of the United States to commercialize PRX-102. Under the Chiesi Ex-US Agreement, Chiesi made an upfront payment to Protalix Ltd. of $25.0 million in connection with the execution of the agreement, and Protalix Ltd. was entitled to additional payments of up to $25.0 million in development costs in the aggregate, capped at $10.0 million per year. Protalix Ltd. is also eligible to receive additional payments of up to a maximum of $320.0 million in regulatory and commercial milestone payments. Protalix Ltd. agreed to manufacture all of the PRX-102 needed for all purposes under the agreement, subject to certain exceptions, and Chiesi will purchase PRX-102 from Protalix Ltd., subject to certain terms and conditions. Chiesi is required to make tiered payments of 15% to 35% of its net sales, depending on the amount of annual sales, as consideration for the supply of PRX-102.</w:t>
      </w:r>
    </w:p>
    <w:p>
      <w:pPr>
        <w:spacing w:after="0" w:line="161"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On July 23, 2018, Protalix Ltd. entered into the Chiesi US Agreement with respect to the development and commercialization of PRX-102 in the United States. Protalix Ltd. received an upfront, non-refundable, non-creditable payment of $25.0 million from Chiesi and was entitled to additional payments of up to a maximum of $20.0 million to cover development costs for PRX-102, subject to a maximum of $7.5 million per year. Protalix Ltd. is also eligible to receive additional payments of up to a maximum of $760.0 million, in the aggregate, in regulatory and commercial milestone payments. Chiesi will also make tiered payments of 15% to 40% of its net sales under the Chiesi US Agreement to Protalix Ltd., depending on the amount of annual sales, subject to certain terms and conditions, as consideration for product supply.</w:t>
      </w:r>
    </w:p>
    <w:p>
      <w:pPr>
        <w:spacing w:after="0" w:line="151"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On May 13, 2021, we signed a binding term sheet with Chiesi pursuant to which we and Chiesi amended the Chiesi Agreements in order to provide our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We Company received the payment in June 2021. We also agreed to negotiate certain manufacturing related matters.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02" w:lineRule="exact"/>
        <w:rPr>
          <w:sz w:val="20"/>
          <w:szCs w:val="20"/>
          <w:color w:val="auto"/>
        </w:rPr>
      </w:pPr>
    </w:p>
    <w:p>
      <w:pPr>
        <w:ind w:left="60" w:right="259"/>
        <w:spacing w:after="0" w:line="271" w:lineRule="auto"/>
        <w:rPr>
          <w:sz w:val="20"/>
          <w:szCs w:val="20"/>
          <w:color w:val="auto"/>
        </w:rPr>
      </w:pPr>
      <w:r>
        <w:rPr>
          <w:rFonts w:ascii="Times New Roman" w:cs="Times New Roman" w:eastAsia="Times New Roman" w:hAnsi="Times New Roman"/>
          <w:sz w:val="17"/>
          <w:szCs w:val="17"/>
          <w:color w:val="auto"/>
        </w:rPr>
        <w:t>We use our current manufacturing facility in Carmiel, Israel, which has approximately 14,700 sq/ft of clean rooms built according to industry standards, to manufacture drug substance for Elelyso, pegunigalsidase alfa and other recombinant proteins for commercial use and phase III clinical trials. We maintain an approximately 3,400 sq/ft pilot plant for protein development and to manufacture supplies for clinical trials (phase I and phase II). Elelyso, pegunigalsidase alfa and our other drug product candidates must be manufactured in a sterile environment and in compliance with cGMPs set by the FDA and other relevant foreign regulatory authorities. We are currently producing PRX-102 drug substance for our phase III and other clinical trials, as well as the manufacture of the Elelyso we need in the near future, including the Elelyso to be purchased by Pfizer under the Amended Pfizer Agreement. In addition, we intend to use our manufacturing space to produce all of the drug substance needed in connection with the clinical trials for our product candidates.</w:t>
      </w:r>
    </w:p>
    <w:p>
      <w:pPr>
        <w:spacing w:after="0" w:line="13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In 2017, the FDA approved the supplemental New Drug Application, sNDA, we submitted to allow us to convert our manufacturing facility from a single dedicated product facility to a multi-product facility. This conversion allows us to realize potentially significant operational savings. Our facility’s current capacity can serve all of our current and expected commercial and clinical needs, and we believe it will be sufficient to serve our production needs for the anticipated commercialization of pegunigalsidase alfa.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Our manufacturing facilities have undergone successful inspections by the FDA, the Irish Medicines Board (under the EMA’s centralized marketing authorization procedure), ANVISA, the Israeli Ministry of Health, the Turkish Ministry of Health, the Australian TGA and Health Canada.</w:t>
      </w:r>
    </w:p>
    <w:p>
      <w:pPr>
        <w:spacing w:after="0" w:line="14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current facility in Israel has been granted “Approved Enterprise” status, and we have elected to participate in the alternative benefits program. Our facility is located in a top priority location, or “Zone A,” location, and, therefore, our income from the Approved Enterprise will be tax exempt in Israel for a 10-year period, commencing with the year in which we first generate taxable income from the relevant Approved Enterprise and after we use our net operating loss carryforwards, or NOLs. We expect to be entitled to similar tax benefits for a number of years thereafter. To remain eligible for these tax benefits, we must continue to meet certain conditions, and if we increase our activities outside of Israel, for example, by future acquisitions, such increased activities generally may not be eligible for inclusion in Israeli tax benefit programs. In addition, our technology is subject to certain restrictions with respect to the transfer of technology and manufacturing rights.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8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believe that the raw materials that we require throughout the manufacturing process of Elelyso and our other current and potential drug product candidates are widely available from numerous suppliers and are generally considered to be generic industrial biological supplies. We rely on a single, approved supplier for certain materials relating to the current expression of our proprietary biotherapeutic proteins through ProCellEx. We have identified additional suppliers for most of the materials required for the production of our product candidates.</w:t>
      </w:r>
    </w:p>
    <w:p>
      <w:pPr>
        <w:spacing w:after="0" w:line="15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Development and regulatory approval of our pharmaceutical products are dependent upon our ability to procure active ingredients and certain packaging materials from sources approved by the FDA and other regulatory authorities. The FDA and other regulatory approval processes require manufacturers to specify their proposed suppliers of active ingredients and certain packaging materials in their applications. From time to time, we intend to continue to identify alternative approved suppliers to ensure the continued supply of necessary raw materials.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Drug Development Process</w:t>
      </w:r>
    </w:p>
    <w:p>
      <w:pPr>
        <w:spacing w:after="0" w:line="200"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FDA regulates drugs under the Federal Food, Drug, and Cosmetic Act, or FDCA, and implementing regulations. Drugs are also subject to other federal, state and local statutes and regulations. Biologics are subject to regulation by the FDA under the FDCA, the Public Health Service Act, and related regulations and other federal, state and local laws and regulations. Biological products include a wide variety of products including vaccines, blood and blood components, gene therapies, tissue and proteins. Unlike most prescription products made through chemical processes, biological products generally are made from human and/or animal materials. To be lawfully marketed in interstate commerce, a biologic product must be the subject of a BLA issued by the FDA on the basis of a demonstration that the product is safe, pure and potent, and that the facility in which the product is manufactured meets standards to assure that it continues to be safe, pure and potent. The FDA has developed and is continuously updating the requirements with respect to cell and gene therapy products and has issued documents concerning the regulation of cellular and tissue-based products. Manufacturers of cell and tissue-based products must comply with the FDA’s current good tissue practices, or cGTP, which are FDA regulations that govern the methods used in, and the facilities and controls used for, the manufacture of such products. The primary intent of the cGTP requirements is to ensure that cell and tissue-based products are manufactured in a manner designed to prevent the introduction, transmission and spread of communicable disease.</w:t>
      </w:r>
    </w:p>
    <w:p>
      <w:pPr>
        <w:spacing w:after="0" w:line="157" w:lineRule="exact"/>
        <w:rPr>
          <w:sz w:val="20"/>
          <w:szCs w:val="20"/>
          <w:color w:val="auto"/>
        </w:rPr>
      </w:pPr>
    </w:p>
    <w:p>
      <w:pPr>
        <w:ind w:left="60" w:right="259"/>
        <w:spacing w:after="0" w:line="273" w:lineRule="auto"/>
        <w:rPr>
          <w:sz w:val="20"/>
          <w:szCs w:val="20"/>
          <w:color w:val="auto"/>
        </w:rPr>
      </w:pPr>
      <w:r>
        <w:rPr>
          <w:rFonts w:ascii="Times New Roman" w:cs="Times New Roman" w:eastAsia="Times New Roman" w:hAnsi="Times New Roman"/>
          <w:sz w:val="17"/>
          <w:szCs w:val="17"/>
          <w:color w:val="auto"/>
        </w:rPr>
        <w:t>The process of obtaining regulatory approvals and ensuring compliance with appropriate federal, state and local statutes and regulations in the United States, and foreign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product detention, total or partial suspension of production or distribution, injunctions, fines, refusals of government contracts, restitution, disgorgement or civil or criminal penalties.</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a biological product or drug may be marketed in the United States generally involves the following:</w:t>
      </w:r>
    </w:p>
    <w:p>
      <w:pPr>
        <w:spacing w:after="0" w:line="135" w:lineRule="exact"/>
        <w:rPr>
          <w:sz w:val="20"/>
          <w:szCs w:val="20"/>
          <w:color w:val="auto"/>
        </w:rPr>
      </w:pPr>
    </w:p>
    <w:p>
      <w:pPr>
        <w:ind w:left="720" w:right="1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Good Laboratory Practices or other regulations;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121"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according to Good Clinical Practices, or GCP, to establish the safety and efficacy of the proposed biological product or drug for its intended use;</w:t>
      </w:r>
    </w:p>
    <w:p>
      <w:pPr>
        <w:spacing w:after="0" w:line="134"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a new biological product or a new drug application, or NDA, for a new drug;</w:t>
      </w:r>
    </w:p>
    <w:p>
      <w:pPr>
        <w:spacing w:after="0" w:line="121" w:lineRule="exact"/>
        <w:rPr>
          <w:rFonts w:ascii="Times New Roman" w:cs="Times New Roman" w:eastAsia="Times New Roman" w:hAnsi="Times New Roman"/>
          <w:sz w:val="18"/>
          <w:szCs w:val="18"/>
          <w:color w:val="auto"/>
        </w:rPr>
      </w:pPr>
    </w:p>
    <w:p>
      <w:pPr>
        <w:jc w:val="both"/>
        <w:ind w:left="720" w:right="51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cGMP to assure that the facilities, methods and controls are adequate to preserve the drug’s or biologic’s identity, strength, quality and purity; and</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w:t>
      </w:r>
    </w:p>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 regulations. These regulations include the requirement that all subjects participating in the clinical trial provide their informed consent regarding the trial. Further, an institutional review board, or IRB, must review and approve the plan for any clinical trial before it commences at any institution. An IRB considers, among other things, whether the risks to individuals participating in the trials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Once an IND is in effect, each new clinical protocol and any amendments to the protocol must be submitted to the FDA for review, and to the IRBs for approval.</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83" w:lineRule="exact"/>
        <w:rPr>
          <w:sz w:val="20"/>
          <w:szCs w:val="20"/>
          <w:color w:val="auto"/>
        </w:rPr>
      </w:pPr>
    </w:p>
    <w:p>
      <w:pPr>
        <w:ind w:left="720" w:right="31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 </w:t>
      </w:r>
      <w:r>
        <w:rPr>
          <w:rFonts w:ascii="Times New Roman" w:cs="Times New Roman" w:eastAsia="Times New Roman" w:hAnsi="Times New Roman"/>
          <w:sz w:val="18"/>
          <w:szCs w:val="18"/>
          <w:color w:val="auto"/>
        </w:rPr>
        <w:t>The product is initially introduced into healthy human subjects and tested for safety, dosage tolerance,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absorption, metabolism, distribution and excretion. In the case of some products for severe or life-threatening diseases, especially when the product may be too inherently toxic to ethically administer to healthy volunteers, the initial human testing may be conducted in patients having the specific disease.</w:t>
      </w:r>
    </w:p>
    <w:p>
      <w:pPr>
        <w:spacing w:after="0" w:line="152" w:lineRule="exact"/>
        <w:rPr>
          <w:rFonts w:ascii="Times New Roman" w:cs="Times New Roman" w:eastAsia="Times New Roman" w:hAnsi="Times New Roman"/>
          <w:sz w:val="18"/>
          <w:szCs w:val="18"/>
          <w:color w:val="auto"/>
        </w:rPr>
      </w:pPr>
    </w:p>
    <w:p>
      <w:pPr>
        <w:ind w:left="720" w:right="17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 </w:t>
      </w:r>
      <w:r>
        <w:rPr>
          <w:rFonts w:ascii="Times New Roman" w:cs="Times New Roman" w:eastAsia="Times New Roman" w:hAnsi="Times New Roman"/>
          <w:sz w:val="18"/>
          <w:szCs w:val="18"/>
          <w:color w:val="auto"/>
        </w:rPr>
        <w:t>Phase II clinical trials involve investigations in a limited patient population to identify possible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and safety risks, to preliminarily evaluate the efficacy of the product for specific targeted diseases and to determine dosage tolerance and the optimal dosage and schedule.</w:t>
      </w:r>
    </w:p>
    <w:p>
      <w:pPr>
        <w:spacing w:after="0" w:line="132"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III. </w:t>
      </w:r>
      <w:r>
        <w:rPr>
          <w:rFonts w:ascii="Times New Roman" w:cs="Times New Roman" w:eastAsia="Times New Roman" w:hAnsi="Times New Roman"/>
          <w:sz w:val="18"/>
          <w:szCs w:val="18"/>
          <w:color w:val="auto"/>
        </w:rPr>
        <w:t>Phase III clinical trials are undertaken to further evaluate dosage, clinical efficacy and safety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patient population at geographically dispersed clinical trial sites. These trials are intended to establish the overall risk/benefit ratio of the product and provide an adequate basis for regulatory approval and product labeling.</w:t>
      </w:r>
    </w:p>
    <w:p>
      <w:pPr>
        <w:spacing w:after="0" w:line="141"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Post-approval studies, also called Phase IV trials, may be conducted after initial marketing approvals. These studies are used to obtain additional experience from the treatment of patients in the intended therapeutic indication and may be required by the FDA as part of the approval process.</w:t>
      </w:r>
    </w:p>
    <w:p>
      <w:pPr>
        <w:spacing w:after="0" w:line="149"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safety reports must be submitted to the FDA and the investigators for serious and unexpected side effects. Phase I, Phase II and Phase III testing may not be completed successfully within any specified period, if at all. The FDA or the trial sponsor may suspend or terminate a clinical trial at any time on various grounds, including a finding that the study subjects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patients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4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applicable product candidate does not undergo unacceptable deterioration over its shelf life.</w:t>
      </w:r>
    </w:p>
    <w:p>
      <w:pPr>
        <w:spacing w:after="0" w:line="14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product candidate, proposed labeling and other relevant information, are submitted to the FDA as part of an NDA or BLA, requesting approval to market the product. The submission of an NDA or BLA is subject to the payment of substantial user fees which may be waived under certain limited circumstances.</w:t>
      </w:r>
    </w:p>
    <w:p>
      <w:pPr>
        <w:spacing w:after="0" w:line="13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and effort, and may not result in an approval on a timely basis, if at all. The FDA may refuse to approve a BLA or NDA if the applicable regulatory criteria are not satisfied or may require additional clinical data or other data and information. Generally, it takes one to three years to obtain approval. If questions arise during the FDA review process, approval may take a significantly longer period of time.</w:t>
      </w:r>
    </w:p>
    <w:p>
      <w:pPr>
        <w:spacing w:after="0" w:line="15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IV testing which involves clinical trials designed to further assess a drug’s or biologic’s safety and effectiveness after BLA or NDA approval and may require testing and surveillance programs to monitor the safety of approved products that have been commercialized.</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87"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drug designation to drugs and biological products intended to treat a rare disease or condition, which is generally a disease or condition that affects fewer than 200,000 individuals in the United States or that affects more than 200,000 persons in the United States but that sales in the United States are not expected to recover the costs of developing and marketing a treatment drug. Orphan product designation does not convey any advantage in or shorten the duration of the regulatory review and approval process. Among the benefits of orphan drug designation are possible funding and tax savings to support clinical trials and for other financial incentives and a waiver of the marketing application user fee.</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treatment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Competitors, however, may receive approval of different products for the indication for which the orphan product has exclusivity or obtain approval for the same product but for a different indication for which the orphan product has exclusivity. Orphan drug status in the European Union has similar but not identical benefits in the European Union.</w:t>
      </w:r>
    </w:p>
    <w:p>
      <w:pPr>
        <w:spacing w:after="0" w:line="15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In December 2017, the European Commission granted Orphan Drug Designation to PRX-102 for the treatment of Fabry disease. In addition, On July 21, 2020, the FDA granted Orphan Drug Designation for alidornase alfa for the treatment of sarcoidosis.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Patent Term Restoration and Marketing Exclusivity</w:t>
      </w:r>
    </w:p>
    <w:p>
      <w:pPr>
        <w:spacing w:after="0" w:line="200"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Depending upon the timing, duration and specifics of FDA marketing approval of our product candidate,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(a) the effective date of an IND and the submission date of a BLA or an NDA plus (b) the time between the submission date of a BLA or an NDA and the approval of that application. Only one patent applicable to an approved drug is eligible for the extension and the extension must be requested prior to expiration of the patent. The U.S. Patent and Trademark Office, or USPTO, in consultation with the FDA, reviews and approves the application for any patent term extension or restoration. We anticipate that we will apply for restorations of the patent term for certain of patents covering our product candidates.</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87"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The FDA has a fast track program that is designed to facilitate the development and expedite the review of drugs to treat serious conditions and fill an unmet medical need, the purpose being to make important new drugs available to patients earlier. A drug candidate that receives Fast Track designation from the FDA is eligible for some or all of the following: more frequent meetings with the FDA to discuss the drug’s development plan and ensure collection of appropriate data needed to support drug approval; more frequent written communication from the FDA about such things as the design of the proposed clinical trials; eligibility for the FDA’s Accelerated Approval and Priority Review, if relevant criteria are met; and eligibility for Rolling Review, which allows a drug company to submit completed sections of its BLA or NDA for review by the FDA, rather than waiting until every section of the BLA or NDA is completed before the entire application can be reviewed. BLA or NDA review usually does not begin until the drug company has submitted the entire application to the FDA. We used the Rolling Review option for our taliglucerase alfa NDA, which we completed in April 2010.</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January 2018, the FDA granted Fast Track designation to PRX-102.</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Section 901 of the U.S. Food and Drug Administration Safety Innovations Act amends the FDCA to allow the FDA to base Accelerated Approval for drugs for serious conditions that fill an unmet medical need on whether the drug has an effect on a surrogate or an intermediate clinical endpoint. A surrogate endpoint used for Accelerated Approval is a marker; that is, a laboratory measurement, radiographic image, physical sign or other measure, that is thought to predict clinical benefit, but is not itself a measure of clinical benefit. An intermediate clinical endpoint is a measure of a therapeutic effect that is considered reasonably likely to predict the clinical benefit of a drug, such as an effect on irreversible morbidity and mortality. The FDA bases its decision on whether to accept the proposed surrogate or intermediate clinical endpoint on the scientific support for that endpoint. Studies that demonstrate a drug’s effect on a surrogate or intermediate clinical endpoint must be “adequate and well controlled” as required by the FDCA.</w:t>
      </w:r>
    </w:p>
    <w:p>
      <w:pPr>
        <w:spacing w:after="0" w:line="16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Under subpart H of the Accelerated Approval pathway,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IV or post-approval clinical trials to confirm the effect on the clinical endpoint. Failure to conduct required post-approval studies, or confirm a clinical benefit during post-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312" w:lineRule="auto"/>
        <w:rPr>
          <w:sz w:val="20"/>
          <w:szCs w:val="20"/>
          <w:color w:val="auto"/>
        </w:rPr>
      </w:pPr>
      <w:r>
        <w:rPr>
          <w:rFonts w:ascii="Times New Roman" w:cs="Times New Roman" w:eastAsia="Times New Roman" w:hAnsi="Times New Roman"/>
          <w:sz w:val="17"/>
          <w:szCs w:val="17"/>
          <w:color w:val="auto"/>
        </w:rPr>
        <w:t>marketing studies, would allow the FDA to withdraw the drug from the market on an expedited basis. All promotional materials for drug candidates approved under accelerated regulations are subject to prior review by the FDA.</w:t>
      </w:r>
    </w:p>
    <w:p>
      <w:pPr>
        <w:spacing w:after="0" w:line="1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Any drugs for which we receive FDA approval are subject to continuing regulation by the FDA, including, among other things, record-keeping requirements, reporting of adverse effects with the product, reporting of changes in distributed products which would require field alert reports (FARs), drugs and biological product deviation reports (BPDRs) providing the FDA with updated safety and efficacy information, product sampling and distribution requirements, complying with certain electronic records and signature requirements and complying with FDA promotion and advertising requirements. In September 2007, the Food and Drug Administration Amendments Act of 2007 was enacted, giving the FDA enhanced post-marketing authority, including the authority to require post marketing studies and clinical trials (PMRs and PMCs), labeling changes based on new safety information, and compliance with risk evaluations and mitigation strategies (REMS), approved by the FDA. The FDA strictly regulates labeling, advertising, promotion and other types of information on products that are placed on the market. Drugs and biologics may be promoted only for the approved indications and in accordance with the provisions of the approved label. Further, manufacturers of drugs and biologics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56"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Drug and biologic manufacturers and other entities involved in the manufacturing and distribution of approved drugs and biologics are required to register their establishments with the FDA and certain state agencies, and are subject to periodic unannounced inspections by the FDA and certain state agencies for compliance with cGMP, GTP applicable to biologics, and other laws. The cGMP requirements apply to all stages of the manufacturing process, including the production, processing, sterilization, packaging, labeling, storage and shipment of the drug. Manufacturers must establish validated systems to ensure that products meet specifications and regulatory standards, and test each product batch or lot prior to its release.</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FDA may withdraw a product approval if compliance with regulatory standards is not maintained or if problems occur after the product reaches the market. Discovery of previously unknown problems with a product subsequent to its approval may result in restrictions on the product or even complete withdrawal of the product from the market. Further, the failure to maintain compliance with regulatory requirements may result in administrative or judicial actions, such as fines, warning letters, holds on clinical trials, product recalls or seizures, product detention or refusal to permit the import or export of products, refusal to approve pending applications or supplements, restrictions on marketing or manufacturing, injunctions or civil or criminal penalties.</w:t>
      </w:r>
    </w:p>
    <w:p>
      <w:pPr>
        <w:spacing w:after="0" w:line="14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the FDA regulations and policies are often revised or reinterpreted by the agency in ways that may significantly affect our business and our development efforts. It is impossible to predict whether further legislative or FDA regulation or policy changes will be enacted or implemented and what the impact of such changes, if any, may be.</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00"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We are subject to regulations and product registration requirements in many foreign countries in which we may sell our products, including in the areas of product standards, packaging requirements, labeling requirements, import and export restrictions and tariff regulations, duties and tax requirements. The time required to obtain clearance required by foreign countries may be longer or shorter than that required for FDA clearance, and requirements for licensing a product in a foreign country may differ significantly from FDA requirements.</w:t>
      </w:r>
    </w:p>
    <w:p>
      <w:pPr>
        <w:spacing w:after="0" w:line="143"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Pharmaceutical products may not be imported into, or manufactured or marketed in, the State of Israel absent drug registration. The three basic criteria for the registration of pharmaceuticals in Israel is quality, safety and efficacy of the pharmaceutical product and the Israeli Ministry of Health requires pharmaceutical companies to conform to international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developments and standards. Regulatory requirements are constantly changing in accordance with scientific advances as well as social and ethical values.</w:t>
      </w:r>
    </w:p>
    <w:p>
      <w:pPr>
        <w:spacing w:after="0" w:line="135"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relevant legislation of the European Union requires that medicinal products, including generic versions of previously approved products, and new strengths, dosage forms and formulations, of previously approved products, shall have a marketing authorization before they are placed on the market in the European Union. Authorizations are granted after the assessment of quality, safety and efficacy by the respective health authorities. In order to obtain an authorization, an application must be made to the competent authority of the member state concerned or in a centralized procedure to the EMA. Besides various formal requirements, the application must contain the results of pharmaceutical (physico-chemical, biological or microbiological) tests, of preclinical (toxicological and pharmacological) tests as well as of clinical trials. All of these tests must have been conducted in accordance with relevant EU regulations and must allow the reviewer to evaluate the quality, safety and efficacy of the medicinal product. Orphan drug designation in the European Union is granted to medicinal products intended for the diagnosis, prevention and treatment of life-threatening diseases and very serious conditions that affect not more than five in 10,000 people in the European Union. Orphan drug designation is generally given to medicinal products that treat conditions for which no current therapy exists or are expected to bring a significant benefit to patients over existing therapies.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Third Party Payor Coverage and Reimbursement</w:t>
      </w:r>
    </w:p>
    <w:p>
      <w:pPr>
        <w:spacing w:after="0" w:line="18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Coverage and reimbursement status of any approved therapy carries uncertainty and risk. In both the United States and foreign markets, our ability to commercialize our product and product candidates successfully, and to attract commercialization partners, depends in significant part on the availability of adequate financial coverage and reimbursement from third party payors, including, in the United States, governmental payors such as Medicare, Medicaid and the Veterans Affairs Health programs, and private health insurers. Medicare is a federally funded program managed by the Centers for Medicare and Medicaid Services, or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Each payor has its own process and standards for determining whether it will cover and reimburse a procedure or particular product. Private payors often rely on the lead of the governmental payors in rendering coverage and reimbursement determinations. Therefore, achieving favorable CMS coverage and reimbursement is usually a significant gating issue for successful introduction of a new product. The competitive position of some of our products will depend, in part, upon the extent of coverage and adequate reimbursement for such products and for the procedures in which such products are used. Prices at which we or our customers seek reimbursement for our product candidates can be subject to challenge, reduction or denial by the government and other payors.</w:t>
      </w:r>
    </w:p>
    <w:p>
      <w:pPr>
        <w:spacing w:after="0" w:line="16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Possible legislation at the federal and state levels in the United States focused on cost containment and price transparency may impact our ability to sell our product and product candidates for maximum profitably. It appears likely that the pressure on pharmaceutical pricing will continue, especially under the Medicare program, which may also increase our regulatory burdens and operating costs. Moreover, additional changes could be made to governmental healthcare programs that could significantly impact the success of our product and product candidates.</w:t>
      </w:r>
    </w:p>
    <w:p>
      <w:pPr>
        <w:spacing w:after="0" w:line="14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Some third party payors also require pre-approval of coverage for new or innovative devices, biologics or drug therapies before they will reimburse healthcare providers that use such therapies.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4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allow companies to fix their own prices for medicines, but monitor and control company profits. The downward pressure on health care costs in general, particularly prescription drugs and biologics,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Healthcare Laws and Compliance Requirements</w:t>
      </w:r>
    </w:p>
    <w:p>
      <w:pPr>
        <w:spacing w:after="0" w:line="187"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and Medicaid Services, other divisions of the U.S. Department of Health and Human Services (e.g., the Office of Inspector General), the U.S. Department of Justice and individual</w:t>
      </w:r>
    </w:p>
    <w:p>
      <w:pPr>
        <w:spacing w:after="0" w:line="1" w:lineRule="exact"/>
        <w:rPr>
          <w:sz w:val="20"/>
          <w:szCs w:val="20"/>
          <w:color w:val="auto"/>
        </w:rPr>
      </w:pPr>
    </w:p>
    <w:p>
      <w:pPr>
        <w:ind w:left="60" w:right="679"/>
        <w:spacing w:after="0" w:line="260" w:lineRule="auto"/>
        <w:rPr>
          <w:sz w:val="20"/>
          <w:szCs w:val="20"/>
          <w:color w:val="auto"/>
        </w:rPr>
      </w:pPr>
      <w:r>
        <w:rPr>
          <w:rFonts w:ascii="Times New Roman" w:cs="Times New Roman" w:eastAsia="Times New Roman" w:hAnsi="Times New Roman"/>
          <w:sz w:val="18"/>
          <w:szCs w:val="18"/>
          <w:color w:val="auto"/>
        </w:rPr>
        <w:t>U.S. Attorney General offices within the Department of Justice, and state and local governments. These regulations include:</w:t>
      </w:r>
    </w:p>
    <w:p>
      <w:pPr>
        <w:spacing w:after="0" w:line="141" w:lineRule="exact"/>
        <w:rPr>
          <w:sz w:val="20"/>
          <w:szCs w:val="20"/>
          <w:color w:val="auto"/>
        </w:rPr>
      </w:pPr>
    </w:p>
    <w:p>
      <w:pPr>
        <w:ind w:left="1040" w:right="199" w:hanging="315"/>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w:t>
      </w:r>
    </w:p>
    <w:p>
      <w:pPr>
        <w:spacing w:after="0" w:line="152"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government reimbursement programs that are false or fraudulent;</w:t>
      </w:r>
    </w:p>
    <w:p>
      <w:pPr>
        <w:spacing w:after="0" w:line="135" w:lineRule="exact"/>
        <w:rPr>
          <w:rFonts w:ascii="Times New Roman" w:cs="Times New Roman" w:eastAsia="Times New Roman" w:hAnsi="Times New Roman"/>
          <w:sz w:val="18"/>
          <w:szCs w:val="18"/>
          <w:color w:val="auto"/>
        </w:rPr>
      </w:pPr>
    </w:p>
    <w:p>
      <w:pPr>
        <w:jc w:val="both"/>
        <w:ind w:left="1040" w:right="739" w:hanging="315"/>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w:t>
      </w:r>
    </w:p>
    <w:p>
      <w:pPr>
        <w:spacing w:after="0" w:line="139" w:lineRule="exact"/>
        <w:rPr>
          <w:rFonts w:ascii="Times New Roman" w:cs="Times New Roman" w:eastAsia="Times New Roman" w:hAnsi="Times New Roman"/>
          <w:sz w:val="18"/>
          <w:szCs w:val="18"/>
          <w:color w:val="auto"/>
        </w:rPr>
      </w:pPr>
    </w:p>
    <w:p>
      <w:pPr>
        <w:ind w:left="1040" w:right="279" w:hanging="315"/>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52"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and biologic product marketing, prohibits manufacturers from marketing drug products for off-label use and regulates the distribution of drug samples; and</w:t>
      </w:r>
    </w:p>
    <w:p>
      <w:pPr>
        <w:spacing w:after="0" w:line="135" w:lineRule="exact"/>
        <w:rPr>
          <w:rFonts w:ascii="Times New Roman" w:cs="Times New Roman" w:eastAsia="Times New Roman" w:hAnsi="Times New Roman"/>
          <w:sz w:val="18"/>
          <w:szCs w:val="18"/>
          <w:color w:val="auto"/>
        </w:rPr>
      </w:pPr>
    </w:p>
    <w:p>
      <w:pPr>
        <w:ind w:left="1040" w:right="119" w:hanging="315"/>
        <w:spacing w:after="0" w:line="258"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often are not preempted by federal laws, thus complicating compliance efforts.</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Compliance with Environmental, Health and Safety Laws</w:t>
      </w:r>
    </w:p>
    <w:p>
      <w:pPr>
        <w:spacing w:after="0" w:line="200"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In addition to FDA regulations, we are also subject to evolving federal, state and local environmental, health and safety laws and regulations. In the past, compliance with environmental, health and safety laws and regulations has not had a material effect on our capital expenditures. Compliance with environmental, health and safety laws and regulations in the future may require additional capital expenditures.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Israeli Government Programs</w:t>
      </w:r>
    </w:p>
    <w:p>
      <w:pPr>
        <w:spacing w:after="0" w:line="189" w:lineRule="exact"/>
        <w:rPr>
          <w:sz w:val="20"/>
          <w:szCs w:val="20"/>
          <w:color w:val="auto"/>
        </w:rPr>
      </w:pPr>
    </w:p>
    <w:p>
      <w:pPr>
        <w:ind w:left="60" w:right="479"/>
        <w:spacing w:after="0" w:line="281" w:lineRule="auto"/>
        <w:rPr>
          <w:sz w:val="20"/>
          <w:szCs w:val="20"/>
          <w:color w:val="auto"/>
        </w:rPr>
      </w:pPr>
      <w:r>
        <w:rPr>
          <w:rFonts w:ascii="Times New Roman" w:cs="Times New Roman" w:eastAsia="Times New Roman" w:hAnsi="Times New Roman"/>
          <w:sz w:val="17"/>
          <w:szCs w:val="17"/>
          <w:color w:val="auto"/>
        </w:rPr>
        <w:t>The following is a brief summary of the current principal Israeli tax laws applicable to us and Protalix Ltd., and of the Israeli Government programs from which Protalix Ltd. benefits. Some parts of this discussion are based on new tax legislation that has not been subject to judicial or administrative interpretation. Therefore, the views expressed in the discussion may not be accepted by the tax authorities in question. This summary is based on laws and regulations in</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effect as of the date hereof, and should not be construed as legal or professional tax advice and does not cover all possible tax considerations.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Corporate Tax Structure in Israel</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income of Protalix Ltd., other than income from “Approved Enterprises,” is taxed in Israel at regular rates. Pursuant to the Economic Efficiency Law (Legislative Amendments for Implementing the Economic Policy for the 2017 and 2018 Budget Year), 2016, the corporate tax rate in 2018 and thereafter is 23%. Capital gains on the sale of assets are subject to capital gains tax according to the corporate tax rate in effect in the year which the assets are sold.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Capital Investments, 1959</w:t>
      </w:r>
    </w:p>
    <w:p>
      <w:pPr>
        <w:spacing w:after="0" w:line="20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Law for the Encouragement of Capital Investments, 1959, as amended, or the Investment Law, provides certain incentives for capital investments in a production facility (or other eligible assets). Generally, an investment program that is implemented in accordance with the provisions of the Investment Law, referred to as an “Approved Enterprise,” is entitled to benefits. These benefits may include cash grants from the Israeli government and tax benefits, based upon, among other things, the location within Israel of the facility in which the investment is made and specific elections made by the grantee. In order to qualify for these incentives, an Approved Enterprise is required to comply with the requirements of the Investment Law, and Letter of approval received by Protalix Ltd.</w:t>
      </w:r>
    </w:p>
    <w:p>
      <w:pPr>
        <w:spacing w:after="0" w:line="14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Protalix Ltd. will continue to enjoy the tax benefits under the pre-revision provisions of the Investment Law. If any new benefits are granted to Protalix Ltd. in the future, Protalix Ltd. will be subject to the provisions of the amended Investment Law with respect to these new benefits. Therefore, the following discussion is a summary of the Investment Law prior to its amendment as well as the relevant changes contained in the new legislation.</w:t>
      </w:r>
    </w:p>
    <w:p>
      <w:pPr>
        <w:spacing w:after="0" w:line="13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Under the Investment Law prior to its amendment, a company that wished to receive benefits had to receive approval from the Authority for the Investment and Development of the Industry and Economy, or the Investment Center. Each certificate of approval for an Approved Enterprise relates to a specific investment program in the Approved Enterprise, delineated both by the financial scope of the investment and by the physical characteristics of the facility or the asset, e.g., the equipment to be purchased and utilized pursuant to the program.</w:t>
      </w:r>
    </w:p>
    <w:p>
      <w:pPr>
        <w:spacing w:after="0" w:line="15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An Approved Enterprise may elect to forego any entitlement to the grants otherwise available under the Investment Law and, instead, participate in an alternative benefits program under which the undistributed income (after deductions and offsets) from the Approved Enterprise is exempt from corporate tax for a defined period of time. Under the alternative package of benefits, a company’s undistributed income derived from an Approved Enterprise will be exempt from corporate tax for a period of between two and 10 years from the first year of taxable income, depending upon the geographic location within Israel of the Approved Enterprise. Upon expiration of the exemption period, the Approved Enterprise is eligible for the reduced tax rates otherwise applicable under the Investment Law for any remainder of the otherwise applicable benefits period (up to an aggregate benefits period of either seven or 10 years, depending on the location of the company or its definition as a foreign investors’ company). If a company has more than one Approved Enterprise program or if only a portion of its capital investments are approved, its effective tax rate is the result of a weighted combination of the applicable rates. The tax benefits from any certificate of approval relate only to taxable profits attributable to the specific Approved Enterprise and are contingent upon meeting the criteria set out in the certificate of approval. Income derived from activity that is not integral to the activity of the Approved Enterprises (including capital gain) does not enjoy these tax benefits.</w:t>
      </w:r>
    </w:p>
    <w:p>
      <w:pPr>
        <w:spacing w:after="0" w:line="15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 company that has an Approved Enterprise program is eligible for further tax benefits, as an alternative to exemption, if it qualifies as a foreign investors’ company. A foreign investors’ company eligible for benefits is essentially a company in which more than 25% of the share capital (in terms of shares, rights to profit, voting and appointment of directors) is owned (measured by both share capital and combined share and loan capital) by non-Israeli residents. A company that qualifies as a foreign investors’ company and has an Approved Enterprise program is eligible for tax benefits for a 10-year benefit period and may enjoy a reduced corporate tax rate of 10% to 23%, depending on the amount of the company’s shares held by non-Israeli shareholders.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If a company that has an Approved Enterprise program is a wholly-owned subsidiary of another company, the percentage of foreign investments is determined based on the percentage of foreign investment in the parent company. The tax rates and related levels of foreign investments with respect to a foreign investor’s company that has an Approved Enterprise program are set forth in the following table:</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 Foreign Ownership</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 of Reduced Tax</w:t>
            </w:r>
          </w:p>
        </w:tc>
      </w:tr>
      <w:tr>
        <w:trPr>
          <w:trHeight w:val="209"/>
        </w:trPr>
        <w:tc>
          <w:tcPr>
            <w:tcW w:w="7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25% but less than 49%</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r>
      <w:tr>
        <w:trPr>
          <w:trHeight w:val="216"/>
        </w:trPr>
        <w:tc>
          <w:tcPr>
            <w:tcW w:w="7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49% or more but less than 74%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16"/>
        </w:trPr>
        <w:tc>
          <w:tcPr>
            <w:tcW w:w="7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74% or more but less than 90%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4"/>
        </w:trPr>
        <w:tc>
          <w:tcPr>
            <w:tcW w:w="7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90% or more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179"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color w:val="auto"/>
        </w:rPr>
        <w:t>Our original facility in Israel has been granted “Approved Enterprise” status, and it has elected to participate in the alternative benefits program. Under the terms of its Approved Enterprise program, the facility is located in a Zone A area and, therefore, the undistributed income from that Approved Enterprise will be tax exempt in Israel for a period of</w:t>
      </w:r>
    </w:p>
    <w:p>
      <w:pPr>
        <w:spacing w:after="0" w:line="1"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7"/>
          <w:szCs w:val="17"/>
          <w:color w:val="auto"/>
        </w:rPr>
        <w:t>10 years, commencing with the year in which taxable income is first generated from the relevant Approved Enterprise. The current benefits program may not continue to be available and Protalix Ltd. may not continue to qualify for its benefits.</w:t>
      </w:r>
    </w:p>
    <w:p>
      <w:pPr>
        <w:spacing w:after="0" w:line="11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 company that has elected to participate in the alternative benefits program and that subsequently pays a dividend out of the income derived from the portion of its facilities that have been granted Approved Enterprise status during the tax exemption period will be subject to corporate tax in respect of the amount of dividend distributed at the rate that would have been applicable had the company not elected the alternative benefits program (generally 10% to 23%, depending on the extent to which non-Israeli shareholders hold such company’s shares). If the dividend is distributed within 12 years after the end of the benefits period (or, in the case of a foreign investor’s company, without time limitation), the dividend recipient is taxed at the reduced withholding tax rate of 20% applicable to dividends from approved enterprises, or at the lower rate under an applicable tax treaty. After this period, the withholding tax rate is 25% to 30%, or at the lower rate under an applicable tax treaty. In the case of a company with a foreign investment level (as defined by the Investment Law) of 25% or more, the 12-year limitation on reduced withholding tax on dividends does not apply. The company must withhold this tax at its source, regardless of whether the dividend is converted into foreign currency.</w:t>
      </w:r>
    </w:p>
    <w:p>
      <w:pPr>
        <w:spacing w:after="0" w:line="15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Investment Law also provides that an Approved Enterprise is entitled to accelerated depreciation on its property and equipment that are included in an approved investment program. This benefit is an incentive granted by the Israeli government regardless of whether the alternative benefits program is elected.</w:t>
      </w:r>
    </w:p>
    <w:p>
      <w:pPr>
        <w:spacing w:after="0" w:line="149" w:lineRule="exact"/>
        <w:rPr>
          <w:sz w:val="20"/>
          <w:szCs w:val="20"/>
          <w:color w:val="auto"/>
        </w:rPr>
      </w:pPr>
    </w:p>
    <w:p>
      <w:pPr>
        <w:ind w:left="60" w:right="499"/>
        <w:spacing w:after="0" w:line="258" w:lineRule="auto"/>
        <w:rPr>
          <w:sz w:val="20"/>
          <w:szCs w:val="20"/>
          <w:color w:val="auto"/>
        </w:rPr>
      </w:pPr>
      <w:r>
        <w:rPr>
          <w:rFonts w:ascii="Times New Roman" w:cs="Times New Roman" w:eastAsia="Times New Roman" w:hAnsi="Times New Roman"/>
          <w:sz w:val="18"/>
          <w:szCs w:val="18"/>
          <w:color w:val="auto"/>
        </w:rPr>
        <w:t>The benefits available to an Approved Enterprise are conditioned upon terms stipulated in the Investment Law and its regulations and the criteria set forth in the applicable certificate of approval. If Protalix Ltd. does not fulfill these conditions in whole or in part, the benefits can be canceled and Protalix Ltd. may be required to refund the benefits received, linked to the Israeli consumer price index with interest. We believe that Protalix Ltd. currently operates in compliance with all applicable conditions and criteria.</w:t>
      </w:r>
    </w:p>
    <w:p>
      <w:pPr>
        <w:spacing w:after="0" w:line="143"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Amendment No. 60 to the Investment Law introduced a tax benefits regime referred to as “Benefitted Enterprises.” Under the Investment Law, the approval of the Investment Center is required only for Benefitted Enterprises that receive cash grants. Benefitted Enterprises that do not receive benefits in the form of governmental cash grants, but only tax benefits, are no longer required to obtain this approval. Instead, these Benefitted Enterprises are required to make certain investments as specified in the Investment Law.</w:t>
      </w:r>
    </w:p>
    <w:p>
      <w:pPr>
        <w:spacing w:after="0" w:line="143"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amended Investment Law specifies certain conditions for a Benefitted Enterprise to be entitled to benefits. These conditions include, inter alia, the following:</w:t>
      </w:r>
    </w:p>
    <w:p>
      <w:pPr>
        <w:spacing w:after="0" w:line="135" w:lineRule="exact"/>
        <w:rPr>
          <w:sz w:val="20"/>
          <w:szCs w:val="20"/>
          <w:color w:val="auto"/>
        </w:rPr>
      </w:pPr>
    </w:p>
    <w:p>
      <w:pPr>
        <w:ind w:left="720" w:right="1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Benefitted Enterprise’s revenues from any single country or a separate customs territory may not exceed 75% of the Benefitted Enterprise’s total revenues; or</w:t>
      </w:r>
    </w:p>
    <w:p>
      <w:pPr>
        <w:spacing w:after="0" w:line="121"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25% of the Benefitted Enterprise’s revenues during the benefits period must be derived from sales into a single country or a separate customs territory with a population of at least 14 million people (starting from January 1, 2012, 1.4% must be added for each year).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can be no assurance that Protalix Ltd. will comply with the above conditions in the future or that Protalix Ltd. will be entitled to any additional benefits under the Investment Law. In addition, it is possible that Protalix Ltd. may not be able to operate in a manner that maximizes utilization of the potential benefits available under the Investment Law.</w:t>
      </w:r>
    </w:p>
    <w:p>
      <w:pPr>
        <w:spacing w:after="0" w:line="14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In the future there may be changes in the law, subject to the preservation of benefits, which may affect the benefits available to companies under the Investment Law. The termination or substantial reduction of any of the benefits available under the Investment Law could impact our tax expenses.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recent years, several amendments have been made to the Investments Law which have enabled new alternative benefit tracks, subject to certain conditions. The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Investments Law. On December 29, 2016, Amendment 73 to the Investments Law, or the Investments Law Amendment, was published. This amendment sets new benefit tracks, inter alia, “Preferred Technological Enterprise” and “Special Preferred Technological Enterprise.” To date, we have elected not to have the Investments Law Amendment apply to our company.</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Encouragement of Industrial Research, Development and Technology Innovation Law, 1984</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date, Protalix Ltd. has received grants from the Office of the Chief Scientist of the Israeli Department of Labor, or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OCS under the Israeli Law for the Encouragement of Industrial Research, Development and Technology Innovation, 1984,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related regulations, or the Research Law. On January 1, 2016, the Israeli government established the National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Authority for Technological Innovation, or NATI, which replaced many of the functions of the OCS. For purposes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clarity, references to NATI will include the OCS. NATI grants are made available to finance of a portion of Protalix Ltd.’s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expenditures in Israel. As of December 31, 2021, NATI approved grants in respect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Protalix Ltd.’s continuing operations totaling approximately $53.2 million (before interest, as described below), measured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inception. Protalix Ltd. is required to repay up to 100% of grants actually received (plus interest at the LIBOR rate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applied to the grants received on or after January 1, 1999) to NATI through payments of royalties at a rate of 3% to 6%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revenues generated from NATI-funded project, depending on the period in which revenues were generated.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2021, Protalix Ltd. either paid or accrued royalties payable of $14.6 million, and Protalix Ltd.’s contingent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liability to NATI with respect to grants received was approximately $38.6 million.</w:t>
      </w:r>
    </w:p>
    <w:p>
      <w:pPr>
        <w:spacing w:after="0" w:line="16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Under the Research Law, recipients of grants from NATI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If Protalix Ltd. receives approval to manufacture the products developed with government grants outside of Israel, it will be required to pay an increased total amount of royalties (possibly up to 300% of the grant amounts plus interest), depending on the manufacturing volume that is performed outside of Israel, as well as at a possibly increased royalty rate.</w:t>
      </w:r>
    </w:p>
    <w:p>
      <w:pPr>
        <w:spacing w:after="0" w:line="16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Under the Research Law and the regulations promulgated thereunder, NATI Council may allow the transfer outside of Israel of know-how derived from an approved program and the related manufacturing rights in limited circumstances which are currently as follows:</w:t>
      </w:r>
    </w:p>
    <w:p>
      <w:pPr>
        <w:spacing w:after="0" w:line="149" w:lineRule="exact"/>
        <w:rPr>
          <w:sz w:val="20"/>
          <w:szCs w:val="20"/>
          <w:color w:val="auto"/>
        </w:rPr>
      </w:pPr>
    </w:p>
    <w:p>
      <w:pPr>
        <w:ind w:left="720" w:right="179" w:hanging="319"/>
        <w:spacing w:after="0" w:line="25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know-how itself to a non-affiliated third party, provided that upon such sale the owner of the know-how pays to NATI an amount, in cash, as set forth in the Research Law (and the regulations promulgated thereunder). In addition, the amendment provides that if the purchaser of the know-how gives the selling Israeli company the right to exploit the know-how by way of an exclusive, irrevocable and unlimited license, the research committee may approve such transfer in special cases without requiring a cash payment.</w:t>
      </w:r>
    </w:p>
    <w:p>
      <w:pPr>
        <w:spacing w:after="0" w:line="142"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of a company which is the owner of know-how, pursuant to which the company ceases to be an Israeli company, provided that upon such sale, the owner of the know-how makes a cash payment to NATI as set forth in the Research Law (and the regulations promulgated thereunder).</w:t>
      </w:r>
    </w:p>
    <w:p>
      <w:pPr>
        <w:spacing w:after="0" w:line="135"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exchange of know-how such that in exchange for the transfer of know-how outside of Israel, the recipient of the know-how transfers other know-how to the company in Israel in a manner in which NATI is convinced that the Israeli economy realizes a greater, overall benefit from the exchange of know-how.</w:t>
      </w:r>
    </w:p>
    <w:p>
      <w:pPr>
        <w:spacing w:after="0" w:line="14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Research Committee may, in special cases, approve the transfer of manufacture or of manufacturing rights of a product developed within the framework of the approved program or which results therefrom, outside of Israel.</w:t>
      </w:r>
    </w:p>
    <w:p>
      <w:pPr>
        <w:spacing w:after="0" w:line="12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State of Israel does not own intellectual property rights in technology developed with NATI funding and there is no restriction on the export of products manufactured using technology developed with NATI funding. The technology is, however, subject to transfer of technology and manufacturing rights restrictions as described above. For a description of such restrictions, please see “Risk Factors—Risks Relating to Our Operations in Israel.” NATI approval is not required for the export of any products resulting from the research or development or for the licensing of any technology in the ordinary course of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Law for the Encouragement of Industry (Taxes), 1969</w:t>
      </w:r>
    </w:p>
    <w:p>
      <w:pPr>
        <w:spacing w:after="0" w:line="20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believe that Protalix Ltd. currently qualifies as an “Industrial Company” within the meaning of the Law for the Encouragement of Industry (Taxes), 1969, or the Industry Encouragement Law. The Industry Encouragement Law defines “Industrial Company” as a company resident in Israel and incorporated in Israel, that derives 90% or more of its income in any tax year (other than specified kinds of passive income such as capital gains, interest and dividends) from an “Industrial Enterprise” operating in Israel (including Judea &amp; Samaria territories and the Gaza strip), that it owns. An “Industrial Enterprise” is defined as an enterprise whose major activity in a given tax year is industrial production.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corporate tax benefits, among others, are available to Industrial Companies:</w:t>
      </w:r>
    </w:p>
    <w:p>
      <w:pPr>
        <w:spacing w:after="0" w:line="185"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purchased know-how and patents over an eight-year period for tax purposes;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rates on equipment and buildings;</w:t>
      </w:r>
    </w:p>
    <w:p>
      <w:pPr>
        <w:spacing w:after="0" w:line="184"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conditions, an election to file consolidated tax returns with other related Israeli Industrial Companies;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public offering are deductible in equal amounts over three years.</w:t>
      </w:r>
    </w:p>
    <w:p>
      <w:pPr>
        <w:spacing w:after="0" w:line="19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Eligibility for the benefits under the Industry Encouragement Law is not subject to receipt of prior approval from any governmental authority. It is possible that Protalix Ltd. may fail to qualify or may not continue to qualify as an “Industrial Company” or that the benefits described above will not be available in the future.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Benefits for Research and Development</w:t>
      </w:r>
    </w:p>
    <w:p>
      <w:pPr>
        <w:spacing w:after="0" w:line="189" w:lineRule="exact"/>
        <w:rPr>
          <w:sz w:val="20"/>
          <w:szCs w:val="20"/>
          <w:color w:val="auto"/>
        </w:rPr>
      </w:pPr>
    </w:p>
    <w:p>
      <w:pPr>
        <w:ind w:left="60" w:right="479"/>
        <w:spacing w:after="0" w:line="312" w:lineRule="auto"/>
        <w:rPr>
          <w:sz w:val="20"/>
          <w:szCs w:val="20"/>
          <w:color w:val="auto"/>
        </w:rPr>
      </w:pPr>
      <w:r>
        <w:rPr>
          <w:rFonts w:ascii="Times New Roman" w:cs="Times New Roman" w:eastAsia="Times New Roman" w:hAnsi="Times New Roman"/>
          <w:sz w:val="17"/>
          <w:szCs w:val="17"/>
          <w:color w:val="auto"/>
        </w:rPr>
        <w:t>Under specified conditions, Israeli tax laws allow a tax deduction by a company for research and development expenditures, including capital expenditures, for the year in which such expenditures are incurred. These expenditures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must relate to scientific research and development projects and must be approved by NATI. Furthermore, the research and development projects must be for the promotion of the company and carried out by or on behalf of the company seeking such tax deduction. However, the amount of such deductible expenditures is reduced by the sum of any funds received through government grants for the finance of such scientific research and development projects. Research and development expenses which were not approved shall be deductible over a period of three years.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of December 31, 2021, we had 206 employees of whom 202 are full time employees and 20 have a Ph.D. or an M.D. in their respective scientific fields. We believe that our relations with these employees are good. We believe that our success will greatly depend on our ability to identify, attract and retain capable employees. The Israeli Ministry of Labor and Welfare is authorized to make certain industry-wide collective bargaining agreements, or Expansion Orders, that apply to types of industries or employees including ours. These agreements affect matters such as cost of living adjustments to salaries, length of working hours and week, recuperation, travel expenses, and pension rights. Otherwise, our employees are not represented by a labor union or represented under a collective bargaining agreement. See “Risk Factors—We depend upon key employees and consultants in a competitive market for skilled personnel. If we are unable to attract and retain key personnel, it could adversely affect our ability to develop and market our products.”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20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We were originally incorporated in the State of Florida in April 1992, and reincorporated in the State of Delaware in March 2016. Protalix Ltd., our wholly-owned subsidiary and sole operating unit, is an Israeli company and was originally incorporated in Israel in 1993.</w:t>
      </w:r>
    </w:p>
    <w:p>
      <w:pPr>
        <w:spacing w:after="0" w:line="127" w:lineRule="exact"/>
        <w:rPr>
          <w:sz w:val="20"/>
          <w:szCs w:val="20"/>
          <w:color w:val="auto"/>
        </w:rPr>
      </w:pPr>
    </w:p>
    <w:p>
      <w:pPr>
        <w:ind w:left="60" w:right="539"/>
        <w:spacing w:after="0" w:line="217" w:lineRule="auto"/>
        <w:rPr>
          <w:sz w:val="20"/>
          <w:szCs w:val="20"/>
          <w:color w:val="auto"/>
        </w:rPr>
      </w:pPr>
      <w:r>
        <w:rPr>
          <w:rFonts w:ascii="Times New Roman" w:cs="Times New Roman" w:eastAsia="Times New Roman" w:hAnsi="Times New Roman"/>
          <w:sz w:val="18"/>
          <w:szCs w:val="18"/>
          <w:color w:val="auto"/>
        </w:rPr>
        <w:t>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our registered trademark. Each of the other trademarks, trade names or service marks appearing in this Annual Report on Form 10-K belongs to its respective holder.</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Our main corporate website address is http://www.protalix.com. We make available on our website, free of charge, our Commission filings, including our Annual Reports on Form 10-K, Quarterly Reports on Form 10-Q, Current Reports on Form 8-K and any amendments to these reports, as soon as reasonably practicable after we electronically file these documents with, or furnish them to, the Commission. The Commission maintains an Internet site that contains reports, proxy and information statements and other information regarding issuers that file electronically with the Commission at www.sec.gov. Additionally, from time to time, we provide notifications of material news including press releases and conferences on our website. Webcasts of presentations made by our company at certain conferences may also be available from time to time on our website, to the extent the webcasts are available. The content of our website is not intended to be incorporated by reference into this report or in any other report or document we file and any references to these websites are intended to be inactive textual references only. Interested persons may sign up on our website to automatically receive e-mail alerts when we post financial information and issue press releases, and to receive information about upcoming events.</w:t>
      </w:r>
    </w:p>
    <w:p>
      <w:pPr>
        <w:spacing w:after="0" w:line="14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are also listed on the Tel Aviv Stock Exchange, or the TASE, and, accordingly, we submit copies of all our filings with the Commission to the Israeli Securities Authority and the TASE. Such copies can be retrieved electronically through the TASE’s internet messaging system (www.maya.tase.co.il) and through the MAGNA distribution site of the Israeli Securities Authority (www.magna.isa.gov.il).</w:t>
      </w:r>
    </w:p>
    <w:p>
      <w:pPr>
        <w:spacing w:after="0" w:line="13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website also includes printable versions of our Code of Business Conduct and Ethics and the charters for each of the Audit, Compensation and Nominating Committees of our Board of Directors. Each of these documents is also available in print, free of charge, to any stockholder who requests a copy by addressing a request to: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University Plaza, Suite 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Hackensack, NJ 07601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Mr. Eyal Rubin, Sr. Vice President and Chief Financial Officer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the other information included in this Annual Report on Form 10-K. Our business, financial condition or results of operations could be adversely affected by any of these risks. If any of these risks occur, the value of our common stock could decline. For a summary of the risk factors included in this Item 1A and for further details on our forward-looking statements, see “Forward-Looking Statements and Summary of Risk Factors” on page 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18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or any other pandemic, epidemic or outbreak of an infectious disease, may adversely affect our business, results of operations and financial condition.</w:t>
      </w:r>
    </w:p>
    <w:p>
      <w:pPr>
        <w:spacing w:after="0" w:line="118"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In December 2019, a novel strain of coronavirus, COVID-19, was identified in Wuhan, China. The virus has spread globally. To date, our clinical trials have not been adversely affected by COVID-19, although certain practices we have adopted in our offices and facilities in an effort to promote social distancing have resulted in minor delays in the performance of administrative activities outside of the clinical programs. The spread of an infectious disease, including COVID-19, may result in the inability of our suppliers to deliver components or raw materials on a timely basis. In addition, hospitals may reduce staffing and reduce or postpone certain treatments in response to the spread of an infectious disease, including the diversion of hospitals serving as our clinical trial sites and hospital staff supporting the conduct of clinical trials. Such events may result in a period of business and manufacturing disruption, and in reduced operations, any of which could materially affect our business, financial condition and results of operations. While the extent of the impact of the current COVID-19 pandemic on our business and financial results depends on future developments that are highly uncertain and cannot be predicted, including new information which may emerge concerning the severity of the coronavirus and the actions to contain the coronavirus or treat its impact, among others, a continued and prolonged public health crisis such as the COVID-19 pandemic may adversely affect our business, results of operations and financial condition.</w:t>
      </w:r>
    </w:p>
    <w:p>
      <w:pPr>
        <w:spacing w:after="0" w:line="166"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Travel restrictions related to the COVID-19 pandemic have delayed FDA and other regulatory authority inspections of our facilities required for marketing approvals and there is no certainty with respect to the timing of such inspections.</w:t>
      </w:r>
    </w:p>
    <w:p>
      <w:pPr>
        <w:spacing w:after="0" w:line="13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are subject to inspection by the FDA and comparable foreign regulatory authorities to determine our compliance with applicable regulatory requirements, as are our suppliers, contract manufacturers, and contract testing laboratories. The FDA had advised us that it requires an inspection of our manufacturing facility and the facility of a third party in Europe that performs fill and finish processes for PRX-102 as part of the FDA’s review of the BLA application, after resubmission. Due to the FDA’s travel restrictions resulting from the pandemic, the FDA was unable to conduct the required inspection during the review cycle for the initial BLA. Also, with respect to the third-party facility in Europe at which fill and finish processes are performed for PRX-102, the FDA reviewed records under Section 704(a)(4) of the Federal Food, Drug and Cosmetic Act in lieu of a pre-licensing meeting. The FDA explained in the letter that it will continue to monitor the public health situation as well as travel restrictions and is actively working to define an approach for scheduling outstanding inspections. We cannot predict when such inspections will take place. Once such inspections are able to be conducted, if the facilities are not in substantial compliance with cGMP, there may be adverse consequences to the approval process. Delays in the approval process or our inability to obtain approval for any reason for any drug candidate may have a material adverse effect upon our business, results of operations and financial condition.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Clinical Trials and Regulatory Matters</w:t>
      </w:r>
    </w:p>
    <w:p>
      <w:pPr>
        <w:spacing w:after="0" w:line="198"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We may not obtain the necessary U.S., EMA or other worldwide regulatory approvals to commercialize our drug candidates in a timely manner, if at all, which would have a material adverse effect on our business, results of operations and financial condition.</w:t>
      </w:r>
    </w:p>
    <w:p>
      <w:pPr>
        <w:spacing w:after="0" w:line="134"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To commercialize our drug candidates worldwide, we need FDA Approval, EMA approval and approvals from other foreign regulators to commercialize our drug candidates elsewhere, as applicable. In order to obtain FDA approval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any of our drug candidates, we must submit to the FDA a BLA or an NDA demonstrating that the drug candidate is safe and effective for its intended use. This demonstration requires significant research and animal tests, which are referred to as preclinical studies, as well as human tests, which are referred to as clinical trials. In the European Union, we must submit an MAA to the EMA. Satisfaction of the regulatory requirements of the FDA, EMA and other foreign regulatory authorities typically takes many years, depends upon the type, complexity and novelty of the drug candidate and requires substantial resources for research, development and testing.</w:t>
      </w:r>
    </w:p>
    <w:p>
      <w:pPr>
        <w:spacing w:after="0" w:line="1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Companies in the pharmaceutical and biotechnology industries have suffered significant setbacks in advanced or late-stage clinical trials, even after obtaining promising earlier trial results or in preliminary findings or other comparable authorities for such clinical trials. Further, even if favorable testing data is generated by the clinical trials of a drug candidate, the applicable regulatory authority may not accept or approve a marketing application we file for the drug candidate or may require us to conduct additional clinical testing or perform post-marketing studies which would cause us to incur additional costs.</w:t>
      </w:r>
    </w:p>
    <w:p>
      <w:pPr>
        <w:spacing w:after="0" w:line="145"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We also cannot assure you that the results of our ongoing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will demonstrate that our product candidates are safe and effective for their intended uses.</w:t>
      </w:r>
    </w:p>
    <w:p>
      <w:pPr>
        <w:spacing w:after="0" w:line="120"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Failure to obtain approval of the FDA, EMA or comparable foreign authorities of any of our drug candidates in a timely manner, if at all, will severely undermine our business, financial condition and results of operation by reducing our potential marketable products and our ability to generate corresponding product revenues.</w:t>
      </w:r>
    </w:p>
    <w:p>
      <w:pPr>
        <w:spacing w:after="0" w:line="14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color w:val="auto"/>
        </w:rPr>
        <w:t>In light of our receipt of a CRL from the FDA regarding our BLA for PRX-102, the U.S. regulatory requirements and timing for PRX-102 approval are uncertain; we are substantially dependent on receipt of regulatory approvals for PRX-102, our most advanced product candidate.</w:t>
      </w:r>
    </w:p>
    <w:p>
      <w:pPr>
        <w:spacing w:after="0" w:line="13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CRL issued by the FDA in response to the PRX-102 BLA did not report any concerns relating to the potential safety or efficacy of PRX-102 in the submitted data package. However, in the CRL, the FDA noted that agalsidase beta (Fabrazyme), a therapy used to treat Fabry patients, was recently converted to full approval which must be addressed in the context of any potential resubmission seeking accelerated approval of PRX-102. Although the FDA, at the Type A meeting held on September 9, 2021, in principle, agreed that the data package proposed for the BLA resubmission has the potential to support a traditional approval of PRX-102 for the treatment of Fabry disease thereby confirming a potential pathway for resubmission of a BLA for PRX-102, we can not guarantee when, or if, we will be successful in receiving regulatory approval for PRX-102. The regulatory requirements and timing for approval are uncertain at this time. If we do not obtain approval for PRX-102 or are delayed in obtaining such approval, it would have a material and adverse effect on our operations and financial condition.</w:t>
      </w:r>
    </w:p>
    <w:p>
      <w:pPr>
        <w:spacing w:after="0" w:line="15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FDA may request additional data or impose other conditions in connection with a resubmission or approval. We cannot assure you that the FDA will eventually approve PRX-102 on a resubmission.</w:t>
      </w:r>
    </w:p>
    <w:p>
      <w:pPr>
        <w:spacing w:after="0" w:line="13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addition, we may incur significant additional expenditures in order to obtain or maintain FDA approval. Any approval of the resubmitted BLA may also be subject to post-marketing commitments or requirements, and we may need to develop and/or improve certain antibody or additional assays as post-marketing requirements or commitments. Even if we comply with all the requests of regulatory authorities, the FDA and other authorities may ultimately reject the BLA or any other marketing application that we file for a product candidate in the future, if any, or we might not obtain regulatory clearance in a timely manner.</w:t>
      </w:r>
    </w:p>
    <w:p>
      <w:pPr>
        <w:spacing w:after="0" w:line="143" w:lineRule="exact"/>
        <w:rPr>
          <w:sz w:val="20"/>
          <w:szCs w:val="20"/>
          <w:color w:val="auto"/>
        </w:rPr>
      </w:pPr>
    </w:p>
    <w:p>
      <w:pPr>
        <w:jc w:val="both"/>
        <w:ind w:left="60" w:right="499"/>
        <w:spacing w:after="0" w:line="268" w:lineRule="auto"/>
        <w:rPr>
          <w:sz w:val="20"/>
          <w:szCs w:val="20"/>
          <w:color w:val="auto"/>
        </w:rPr>
      </w:pPr>
      <w:r>
        <w:rPr>
          <w:rFonts w:ascii="Times New Roman" w:cs="Times New Roman" w:eastAsia="Times New Roman" w:hAnsi="Times New Roman"/>
          <w:sz w:val="18"/>
          <w:szCs w:val="18"/>
          <w:b w:val="1"/>
          <w:bCs w:val="1"/>
          <w:color w:val="auto"/>
        </w:rPr>
        <w:t>The Fast Track designation for pegunigalsidase alfa for the treatment of Fabry disease may not lead to a faster development or regulatory review or approval process or increase the likelihood that pegunigalsidase alfa will receive regulatory approval for the treatment of Fabry disease.</w:t>
      </w:r>
    </w:p>
    <w:p>
      <w:pPr>
        <w:spacing w:after="0" w:line="13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FDA has granted Fast Track designation to pegunigalsidase alfa for the treatment of Fabry disease. As noted above, there can be no assurance that pegunigalsidase alfa will receive regulatory approval for the treatment of Fabry disease and following the receipt of the CRL timing for resubmission and the regulatory review process is uncertain. Despite the designation, we may not experience a faster development process, review or approval compared to applications considered for approval under conventional FDA procedures. In addition, the FDA is entitled to withdraw the Fast Track</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designation of a drug candidate at any time. Any failure to realize the benefits of Fast Track designation may have a material adverse effect on our business, results of operations and financial condition.</w:t>
      </w:r>
    </w:p>
    <w:p>
      <w:pPr>
        <w:spacing w:after="0" w:line="131"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extensive governmental regulation including the requirements of the FDA and other comparable regulatory authorities before our drug candidates may be marketed.</w:t>
      </w:r>
    </w:p>
    <w:p>
      <w:pPr>
        <w:spacing w:after="0" w:line="11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Both before and after marketing approval of our drug candidates, if at all, we, our drug candidates, our suppliers, our contract manufacturers and our contract testing laboratories are subject to extensive regulation by the FDA and comparable foreign regulatory authorities. Failure to comply with applicable requirements of the FDA or comparable foreign regulatory authorities could result in, among other things, any of the following actions:</w:t>
      </w:r>
    </w:p>
    <w:p>
      <w:pPr>
        <w:spacing w:after="0" w:line="139"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monetary penalties;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w:t>
      </w:r>
    </w:p>
    <w:p>
      <w:pPr>
        <w:spacing w:after="0" w:line="184"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FDA’s or other foreign regulatory authorities’ approving, or the refusal of any regulatory authority to approve, any drug candidate;</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manufacturing or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prosecutions.</w:t>
      </w:r>
    </w:p>
    <w:p>
      <w:pPr>
        <w:spacing w:after="0" w:line="185"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In addition to the approval requirements, other numerous and pervasive regulatory requirements apply, both before and after approval, to us, our drug candidates, our suppliers, contract manufacturers, and contract testing laboratories. These include requirements related to:</w:t>
      </w:r>
    </w:p>
    <w:p>
      <w:pPr>
        <w:spacing w:after="0" w:line="149"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FDA certain adverse experiences associated with use of the drug candidate;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additional approvals for certain modifications to the drug candidate or its labeling or claims.</w:t>
      </w:r>
    </w:p>
    <w:p>
      <w:pPr>
        <w:spacing w:after="0" w:line="18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We also are subject to inspection by the FDA and comparable foreign regulatory authorities, to determine our compliance with regulatory requirements, as are our suppliers, contract manufacturers, and contract testing laboratories,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58" w:lineRule="auto"/>
        <w:rPr>
          <w:sz w:val="20"/>
          <w:szCs w:val="20"/>
          <w:color w:val="auto"/>
        </w:rPr>
      </w:pPr>
      <w:r>
        <w:rPr>
          <w:rFonts w:ascii="Times New Roman" w:cs="Times New Roman" w:eastAsia="Times New Roman" w:hAnsi="Times New Roman"/>
          <w:sz w:val="18"/>
          <w:szCs w:val="18"/>
          <w:color w:val="auto"/>
        </w:rPr>
        <w:t>and there can be no assurance that the FDA, or any other comparable foreign regulatory authority, will not identify compliance issues that may disrupt production or distribution, or require substantial resources to correct. We may be required to make modifications to our manufacturing operations in response to these inspections which may require significant resources and may have a material adverse effect upon our business, results of operations and financial condition.</w:t>
      </w:r>
    </w:p>
    <w:p>
      <w:pPr>
        <w:spacing w:after="0" w:line="15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The approval process for any drug candidate may also be delayed by changes in government regulation, future legislation or administrative action or changes in policy of the FDA and comparable foreign authorities that occur prior to or during their respective regulatory reviews of such drug candidate.</w:t>
      </w:r>
    </w:p>
    <w:p>
      <w:pPr>
        <w:spacing w:after="0" w:line="131"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Delays in obtaining regulatory approvals with respect to any drug candidate will materially and adversely affect our prospects, business, results of operations and financial condition.</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Delays in obtaining regulatory approvals with respect to any drug candidate may:</w:t>
      </w:r>
    </w:p>
    <w:p>
      <w:pPr>
        <w:spacing w:after="0" w:line="198"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such drug candidate;</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any regulatory-related milestone payments payable under outstanding collaboration agreements;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perform costly procedures with respect to such drug candidate; or</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diminish any competitive advantages that we may have with respect to such drug candidate.</w:t>
      </w:r>
    </w:p>
    <w:p>
      <w:pPr>
        <w:spacing w:after="0" w:line="185"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Delays in the approval process for any drug candidate will have a material adverse effect upon our prospects, business, results of operations and financial condition.</w:t>
      </w:r>
    </w:p>
    <w:p>
      <w:pPr>
        <w:spacing w:after="0" w:line="117" w:lineRule="exact"/>
        <w:rPr>
          <w:sz w:val="20"/>
          <w:szCs w:val="20"/>
          <w:color w:val="auto"/>
        </w:rPr>
      </w:pPr>
    </w:p>
    <w:p>
      <w:pPr>
        <w:ind w:left="60" w:right="519"/>
        <w:spacing w:after="0" w:line="268" w:lineRule="auto"/>
        <w:rPr>
          <w:sz w:val="20"/>
          <w:szCs w:val="20"/>
          <w:color w:val="auto"/>
        </w:rPr>
      </w:pPr>
      <w:r>
        <w:rPr>
          <w:rFonts w:ascii="Times New Roman" w:cs="Times New Roman" w:eastAsia="Times New Roman" w:hAnsi="Times New Roman"/>
          <w:sz w:val="18"/>
          <w:szCs w:val="18"/>
          <w:b w:val="1"/>
          <w:bCs w:val="1"/>
          <w:color w:val="auto"/>
        </w:rPr>
        <w:t>Clinical trials are very expensive, time-consuming and difficult to design and implement and may result in unforeseen costs, which may have a material adverse effect on our business, results of operations and financial condition.</w:t>
      </w:r>
    </w:p>
    <w:p>
      <w:pPr>
        <w:spacing w:after="0" w:line="14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Human clinical trials are very expensive and difficult to design and implement, in part because they are subject to rigorous regulatory requirements. Preliminary and initial results from a clinical trial do not necessarily predict final results, and failure can occur at any stage of the trial. We may encounter problems that cause us to abandon or repeat preclinical studies or clinical trials. The clinical trial process is also time-consuming. Failure or delay in the commencement or completion of our clinical trials may be caused by several factors, including:</w:t>
      </w:r>
    </w:p>
    <w:p>
      <w:pPr>
        <w:spacing w:after="0" w:line="143" w:lineRule="exact"/>
        <w:rPr>
          <w:sz w:val="20"/>
          <w:szCs w:val="20"/>
          <w:color w:val="auto"/>
        </w:rPr>
      </w:pPr>
    </w:p>
    <w:p>
      <w:pPr>
        <w:ind w:left="1040" w:right="31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particularly with respect to trials of rare diseases such as Fabry disease;</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84"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applicable regulatory bodies over our trial protocols, the interpretation of data from preclinical studies or clinical trials or conduct and control of clinical trials;</w:t>
      </w:r>
    </w:p>
    <w:p>
      <w:pPr>
        <w:spacing w:after="0" w:line="134"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the patient population participating in a clinical trial may not be sufficiently broad or representative to assess efficacy and safety for our target population;</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w:t>
      </w:r>
    </w:p>
    <w:p>
      <w:pPr>
        <w:spacing w:after="0" w:line="184"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and institutional review boards to follow our clinical protocols;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funding to finance the clinical trials.</w:t>
      </w:r>
    </w:p>
    <w:p>
      <w:pPr>
        <w:spacing w:after="0" w:line="19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Any failure or delay in commencement or completion of any clinical trials of pegunigalsidase alfa or our other product candidates will have a material adverse effect on our business, results of operations and financial condition. In addition, we or the FDA or other regulatory authorities may suspend any clinical trial at any time if it appears that we are exposing participants in the trial to unacceptable safety or health risks or if the FDA or such other regulatory authorities, as applicable, find deficiencies in our IND submissions or the conduct of the trial. Any suspension of a clinical trial may have a material adverse effect on our business, results of operations and financial condition.</w:t>
      </w:r>
    </w:p>
    <w:p>
      <w:pPr>
        <w:spacing w:after="0" w:line="14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If the results of our clinical trials do not support our claims relating to a drug candidate, or if serious side effects are identified, the completion of development of such drug candidate may be significantly delayed or we may be forced to abandon development altogether, which will significantly impair our ability to generate product revenues.</w:t>
      </w:r>
    </w:p>
    <w:p>
      <w:pPr>
        <w:spacing w:after="0" w:line="13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results of our clinical trials with respect to any drug candidate might not support our claims of safety or efficacy, the results of our clinical trials may fail to conclusively show superiority over other commercially available treatments for the same or similar indications, the effects of our drug candidates may not be the desired effects or may include undesirable side effects or the drug candidates may have other unexpected characteristics. Data obtained from tests are susceptible to varying interpretations which may delay, limit or prevent regulatory approval. The clinical trial process may fail to demonstrate that our drug candidates are safe for humans and effective for indicated uses. In addition, our clinical trials, may involve specific and small patient populations. Results of early clinical trials conducted on a small patient population may not be indicative of future results. Adverse or inconclusive results may cause us to abandon a drug candidate and may delay development of other drug candidates. Any delay in, or termination of, our clinical trials will delay the filing of BLAs and NDAs with the FDA, or other filings with other foreign regulatory authorities, and, ultimately, significantly impair our ability to commercialize our drug candidates and generate product revenues which would have a material adverse effect on our business, results of operations and financial condition.</w:t>
      </w:r>
    </w:p>
    <w:p>
      <w:pPr>
        <w:spacing w:after="0" w:line="159"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color w:val="auto"/>
        </w:rPr>
        <w:t>Interim, topline or preliminary data from clinical trials that we announce or publish may change as more patient data becomes available and are subject to audit and verification procedures that could result in material changes in the final data.</w:t>
      </w:r>
    </w:p>
    <w:p>
      <w:pPr>
        <w:spacing w:after="0" w:line="134"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may publicly disclose interim, topline or preliminary data from our clinical trials, which is based on a preliminary analysis of then-available data. The results and related findings and conclusions are subject to change following a full analysis of all data related to the particular trial. We also may make assumptions, estimations, calculations and conclusions as part of our analyses of data, and we may not have received or had the opportunity to fully and carefully evaluate all data. As a result, any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than the preliminary data we previously publish. As a result, any topline data should be viewed with caution until final data are available. Interim data from clinical trials that we may complete are subject to the risk that one or more of the clinical outcomes may materially change as patient enrollment continues and more data becomes available. Further, regulatory agencies may not accept or agree with our assumptions, estimates, calculations, conclusions or analyses, or may interpret or ascribe different weight to the data, which may impact the value of the clinical trial and may affect the particular clinical program and the approvability or commercialization of the particular product candidate and our business in general. If regulatory authorities disagree with the conclusions we reach, we may not be able to obtain approval for and commercialize our product candidates, which will have a material adverse effect on our business, results of operations and financial condition.</w:t>
      </w:r>
    </w:p>
    <w:p>
      <w:pPr>
        <w:spacing w:after="0" w:line="150"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We may find it difficult to enroll patients in our clinical trials, or patients may discontinue their participation in our clinical trials, which could cause significant delays in the completion of such trials or may negatively impact the results of these studies and extend the timeline for completion of our development programs or cause us to abandon one or more clinical trials.</w:t>
      </w:r>
    </w:p>
    <w:p>
      <w:pPr>
        <w:spacing w:after="0" w:line="153" w:lineRule="exact"/>
        <w:rPr>
          <w:sz w:val="20"/>
          <w:szCs w:val="20"/>
          <w:color w:val="auto"/>
        </w:rPr>
      </w:pPr>
    </w:p>
    <w:p>
      <w:pPr>
        <w:ind w:left="60" w:right="379"/>
        <w:spacing w:after="0" w:line="312" w:lineRule="auto"/>
        <w:rPr>
          <w:sz w:val="20"/>
          <w:szCs w:val="20"/>
          <w:color w:val="auto"/>
        </w:rPr>
      </w:pPr>
      <w:r>
        <w:rPr>
          <w:rFonts w:ascii="Times New Roman" w:cs="Times New Roman" w:eastAsia="Times New Roman" w:hAnsi="Times New Roman"/>
          <w:sz w:val="17"/>
          <w:szCs w:val="17"/>
          <w:color w:val="auto"/>
        </w:rPr>
        <w:t>Some of the diseases or disorders that our drug candidates are intended to treat are relatively rare and we expect only a subset of the patients with these diseases to be eligible for our clinical trials. Our clinical trials generally mandate that a</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patient cannot be involved in another clinical trial for the same indication. Therefore, subjects that participate in ongoing clinical trials for products that are competitive with our drug candidates are not available for our clinical trials. An inability to enroll a sufficient number of patients for any of our clinical trials would result in significant delays or may require us to abandon one or more clinical trials altogether. In addition, patients that enroll in our clinical trials may discontinue their participation at any time during the study as a result of a number of factors, including withdrawing their consent, experiencing adverse clinical events, which may or may not be judged related to our drug candidates under evaluation, or due to planned or actual pregnancies. The discontinuation of patients in any one of our studies may delay the completion of the study or cause the results from the study not to be positive or to not support a filing for regulatory approval of the applicable drug candidate. Any failure to enroll a sufficient number of patients in our clinical trials in a timely manner, if at all, may have a material adverse effect on our business, results of operations and financial condition.</w:t>
      </w:r>
    </w:p>
    <w:p>
      <w:pPr>
        <w:spacing w:after="0" w:line="16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Because our clinical trials depend upon third-party researchers, the results of our clinical trials and such research activities are subject to delays and other risks which are, to a certain extent, beyond our control, which could impair our clinical development programs and our competitive position.</w:t>
      </w:r>
    </w:p>
    <w:p>
      <w:pPr>
        <w:spacing w:after="0" w:line="13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depend upon independent investigators and collaborators, such as universities and medical institutions, to conduct our preclinical and clinical trials. These collaborators are not our employees, and we cannot control the amount or timing of resources that they devote to our clinical development programs. The investigators may not assign as great a priority to our clinical development programs or pursue them as diligently as we would if we were undertaking such programs directly. If outside collaborators fail to devote sufficient time and resources to our clinical development programs, or if their performance is substandard, the approval of anticipated NDAs, BLAs and other marketing applications, and our introduction of new drugs, if any, may be delayed which could impair our clinical development programs and would have a material adverse effect on our business, results of operations and financial condition. Our collaborators may also have relationships with other commercial entities, some of whom may compete with us. If our collaborators also assist our competitors, our competitive position could be harmed.</w:t>
      </w:r>
    </w:p>
    <w:p>
      <w:pPr>
        <w:spacing w:after="0" w:line="150" w:lineRule="exact"/>
        <w:rPr>
          <w:sz w:val="20"/>
          <w:szCs w:val="20"/>
          <w:color w:val="auto"/>
        </w:rPr>
      </w:pPr>
    </w:p>
    <w:p>
      <w:pPr>
        <w:ind w:left="60" w:right="259"/>
        <w:spacing w:after="0" w:line="317" w:lineRule="auto"/>
        <w:rPr>
          <w:sz w:val="20"/>
          <w:szCs w:val="20"/>
          <w:color w:val="auto"/>
        </w:rPr>
      </w:pPr>
      <w:r>
        <w:rPr>
          <w:rFonts w:ascii="Times New Roman" w:cs="Times New Roman" w:eastAsia="Times New Roman" w:hAnsi="Times New Roman"/>
          <w:sz w:val="17"/>
          <w:szCs w:val="17"/>
          <w:b w:val="1"/>
          <w:bCs w:val="1"/>
          <w:color w:val="auto"/>
        </w:rPr>
        <w:t>We have only limited experience in regulatory affairs, and some of our drug candidates may be based on new technologies. These factors may affect our ability or the time we require to obtain necessary regulatory approvals.</w:t>
      </w:r>
    </w:p>
    <w:p>
      <w:pPr>
        <w:spacing w:after="0" w:line="109"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We have only limited experience in filing and prosecuting the applications necessary to gain regulatory approvals for medical devices and drug candidates. Moreover, some of the drug candidates that are likely to result from our development programs may be based on new technologies that have not been extensively tested in humans. The regulatory requirements governing these types of drug candidates may be less well defined or more rigorous than for conventional products. As a result, we may experience a longer regulatory process in connection with obtaining regulatory approvals of any products that we develop, which may have a material adverse effect on our business, results of operations and financial condition.</w:t>
      </w:r>
    </w:p>
    <w:p>
      <w:pPr>
        <w:spacing w:after="0" w:line="128" w:lineRule="exact"/>
        <w:rPr>
          <w:sz w:val="20"/>
          <w:szCs w:val="20"/>
          <w:color w:val="auto"/>
        </w:rPr>
      </w:pPr>
    </w:p>
    <w:p>
      <w:pPr>
        <w:ind w:left="60" w:right="439"/>
        <w:spacing w:after="0" w:line="262" w:lineRule="auto"/>
        <w:rPr>
          <w:sz w:val="20"/>
          <w:szCs w:val="20"/>
          <w:color w:val="auto"/>
        </w:rPr>
      </w:pPr>
      <w:r>
        <w:rPr>
          <w:rFonts w:ascii="Times New Roman" w:cs="Times New Roman" w:eastAsia="Times New Roman" w:hAnsi="Times New Roman"/>
          <w:sz w:val="18"/>
          <w:szCs w:val="18"/>
          <w:b w:val="1"/>
          <w:bCs w:val="1"/>
          <w:color w:val="auto"/>
        </w:rPr>
        <w:t>Orphan drug designation may not ensure that we will enjoy market exclusivity in any jurisdiction. If any of our other competitors are able to obtain orphan drug exclusivity for any products that are competitive with our products, we may be precluded from selling or obtaining approval of our competing products by the applicable regulatory authorities for a significant period of time.</w:t>
      </w:r>
    </w:p>
    <w:p>
      <w:pPr>
        <w:spacing w:after="0" w:line="14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the United States, the European Union and other countries, a drug may be designated as having orphan drug status, subject to certain conditions. There can be no assurance that a drug candidate that receives orphan drug designation will receive orphan drug marketing exclusivity and more than one drug can have orphan designation for the same indication. In addition, the orphan drug designation granted to pegunigalsidase alfa by the EMA does not affect Fabry disease treatments that preexist the approval of pegunigalsidase alfa, if at all.</w:t>
      </w:r>
    </w:p>
    <w:p>
      <w:pPr>
        <w:spacing w:after="0" w:line="15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From time to time, we may apply to the FDA or any comparable foreign regulatory authority for orphan drug designation for any one or more of our drug candidates. Other than pegunigalsidase alfa which was granted orphan drug designation by the EMA, none of our drug candidates have been designated as an orphan drug and there is no guarantee that the FDA or any other regulatory authority will grant such designation in the future. In addition, neither orphan drug designation nor orphan drug exclusivity prevents competitors from developing or marketing different drugs for the relevant indication. Even if we obtain orphan drug exclusivity for one or more indications for one of our drug candidates, we may not be able to maintain the exclusivity. For example, if a competitive product that is the same drug or biologic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one of our drug candidates is shown to be clinically superior to the drug candidate, any orphan drug exclusivity granted to the drug candidate will not block the approval of the competitive product.</w:t>
      </w:r>
    </w:p>
    <w:p>
      <w:pPr>
        <w:spacing w:after="0" w:line="135"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If any drug receives orphan drug exclusivity in any jurisdiction for the same indication of any of our drug candidates, we may be prevented from attaining a similar designation with respect to our drug candidate or from marketing the drug candidate in the jurisdiction during the applicable exclusivity period, which will have a material adverse effect on our business, results of operations and financial condition.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We have a limited operating history which may limit the ability of investors to make an informed investment decision.</w:t>
      </w:r>
    </w:p>
    <w:p>
      <w:pPr>
        <w:spacing w:after="0" w:line="13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Taliglucerase alfa is our only commercial product. The successful commercialization of our other drug candidates will require us to perform a variety of functions, including:</w:t>
      </w:r>
    </w:p>
    <w:p>
      <w:pPr>
        <w:spacing w:after="0" w:line="121"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perform preclinical development and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85"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technology and undertaking, through third parties, preclinical trials and clinical trials of our principal drug candidates. These operations provide a limited basis for investors to assess our ability to commercialize our drug candidates and whether to invest in our company.</w:t>
      </w:r>
    </w:p>
    <w:p>
      <w:pPr>
        <w:spacing w:after="0" w:line="149"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depend heavily on the success of pegunigalsidase alfa. Any failure to commercialize pegunigalsidase alfa, or the experience of significant delays in doing so, will have a material adverse effect on our business, results of operations and financial condition.</w:t>
      </w:r>
    </w:p>
    <w:p>
      <w:pPr>
        <w:spacing w:after="0" w:line="134"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are investing a significant portion of our efforts and financial resources in the development of pegunigalsidase alfa and our ability to generate significant product revenues in the future, will depend heavily on the successful development and commercialization of pegunigalsidase alfa. The successful commercialization of pegunigalsidase alfa will depend on several factors, including the following:</w:t>
      </w:r>
    </w:p>
    <w:p>
      <w:pPr>
        <w:spacing w:after="0" w:line="139"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efforts under the Chiesi Agreements;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from the FDA, EMA and other foreign regulatory authorities;</w:t>
      </w:r>
    </w:p>
    <w:p>
      <w:pPr>
        <w:spacing w:after="0" w:line="184"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cGMP compliance of our manufacturing facility or establishing manufacturing arrangements with third parties;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inspection of our facilities by the FDA and other foreign regulatory authorities;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development of successful sales and marketing organizations for pegunigalsidase alfa;</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or reimbursement to patients from healthcare payors for pegunigalsidase alfa, if approved;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efficacy profile of pegunigalsidase alfa following approval;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these Risk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Any failure to commercialize pegunigalsidase alfa or the experience of significant delays in doing so will have a material adverse effect on our business, results of operations and financial condition.</w:t>
      </w:r>
    </w:p>
    <w:p>
      <w:pPr>
        <w:spacing w:after="0" w:line="131"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Any failure by us to supply drug substance to Pfizer may have a material adverse effect on our business, results of operations and financial condition.</w:t>
      </w:r>
    </w:p>
    <w:p>
      <w:pPr>
        <w:spacing w:after="0" w:line="11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Under the Amended Pfizer Agreement, we have agreed, for the first 10-year period after the execution of the agreement, to sell drug substance to Pfizer for the production of Elelyso, and Pfizer maintains the right to extend the supply period for up to two additional 30-month periods subject to certain terms and conditions. As part of that obligation, we agreed to substantial financial penalties if we fail to comply with the supply commitments, or are delayed in doing so. The amounts of the penalties depend on when any such failure occurs and for how long it persists, if at all, and other considerations. Any failure to comply with the supply commitments under the Amended Pfizer Agreement may have a material adverse effect on our business, results of operations and financial condition.</w:t>
      </w:r>
    </w:p>
    <w:p>
      <w:pPr>
        <w:spacing w:after="0" w:line="144"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color w:val="auto"/>
        </w:rPr>
        <w:t>Our strategy, in certain cases, is to enter into collaboration agreements with third parties to leverage our ProCellEx system to develop product candidates. Failure to enter into such agreements, or non-compliance by us or our collaborators with such agreements, may have a material adverse effect on our business, results of operations and financial condition.</w:t>
      </w:r>
    </w:p>
    <w:p>
      <w:pPr>
        <w:spacing w:after="0" w:line="153"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strategy, in certain cases, is to enter into arrangements with pharmaceutical companies to leverage our ProCellEx system to develop additional product candidates. Under these arrangements, we may grant to our partners rights to license and commercialize pharmaceutical products developed under the applicable agreements, as we have done with Elelyso and pegunigalsidase alfa. Our partners may control key decisions relating to the development of the products and we may depend on our partners’ expertise and dedication of sufficient resources to develop and commercialize our product candidates. The rights of our partners limit our flexibility in considering alternatives for the commercialization of our product candidates. If we or any of our current or future partners breach or terminate the agreements that make up such arrangements, our partners otherwise fail to conduct their obligations under such arrangements in a timely manner, there is a dispute about their obligations or if either party terminates the applicable agreement or elects not to continue the arrangement, we may not enjoy the benefits of the agreements or receive a sufficient amount of royalty or milestone payments from them, if any, which may have a material adverse effect on our business, results of operations and financial condition.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If we are unable to develop and commercialize our product candidates, our business will be adversely affected.</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develop and commercialize a portfolio of new products in addition to taliglucerase alfa. We seek to do so through our internal research programs and strategic collaborations for the development of new products. Research programs to identify new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160"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is not capable of being produced in commercial quantities at an acceptable cost, or at all;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by patients, the medical community or third-party payors;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 or</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approval.</w:t>
      </w:r>
    </w:p>
    <w:p>
      <w:pPr>
        <w:spacing w:after="0" w:line="121"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Any failure to develop or commercialize any of our other product candidates may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79"/>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our products is an exacting and complex process, and any manufacturing problems encountered by us or certain of our suppliers may have a material adverse effect on our business, results of operations and financial condition.</w:t>
      </w:r>
    </w:p>
    <w:p>
      <w:pPr>
        <w:spacing w:after="0" w:line="14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FDA and foreign regulators require manufacturers to register manufacturing facilities. The FDA and foreign regulators also inspect these facilities to confirm compliance with cGMP or similar requirements that the FDA or foreign regulators establish. We or certain of our materials suppliers may face manufacturing or quality control problems causing product production and shipment delays or a situation where we or the supplier may not be able to maintain compliance with the FDA’s cGMP requirements, or those of foreign regulators, necessary to continue manufacturing. To date, our current facility has passed audits by the FDA and a number of other regulatory authorities but remains subject to audit by other foreign regulatory authorities. There can be no assurance that we will be able to comply with FDA or foreign regulatory manufacturing requirements for our current facility or any facility we may establish in the future, and the failure to so comply will have a material adverse effect on our business, results of operations and financial condition.</w:t>
      </w:r>
    </w:p>
    <w:p>
      <w:pPr>
        <w:spacing w:after="0" w:line="144" w:lineRule="exact"/>
        <w:rPr>
          <w:sz w:val="20"/>
          <w:szCs w:val="20"/>
          <w:color w:val="auto"/>
        </w:rPr>
      </w:pPr>
    </w:p>
    <w:p>
      <w:pPr>
        <w:ind w:left="60" w:right="679"/>
        <w:spacing w:after="0" w:line="291" w:lineRule="auto"/>
        <w:rPr>
          <w:sz w:val="20"/>
          <w:szCs w:val="20"/>
          <w:color w:val="auto"/>
        </w:rPr>
      </w:pPr>
      <w:r>
        <w:rPr>
          <w:rFonts w:ascii="Times New Roman" w:cs="Times New Roman" w:eastAsia="Times New Roman" w:hAnsi="Times New Roman"/>
          <w:sz w:val="17"/>
          <w:szCs w:val="17"/>
          <w:b w:val="1"/>
          <w:bCs w:val="1"/>
          <w:color w:val="auto"/>
        </w:rPr>
        <w:t>We rely on third parties for final processing of taliglucerase alfa, pegunigalsidase alfa and our other product candidates, which exposes us to a number of risks that may delay development, regulatory approval and commercialization of taliglucerase alfa and our other product candidates or result in higher product costs.</w:t>
      </w:r>
    </w:p>
    <w:p>
      <w:pPr>
        <w:spacing w:after="0" w:line="11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have no experience in the final filling and freeze drying steps of the drug manufacturing process. We rely on third parties in the United States and Europe to perform fill and finish activities for taliglucerase alfa and pegunigalsidase alfa, and have engaged other parties for our other product candidates. We may be unable to identify manufacturers and/or replacement manufacturers on acceptable terms or at all because the number of potential manufacturers is limited and the FDA and other regulatory authorities, as applicable, must approve any manufacturer and/or replacement manufacturer, including us, and we or any such third party manufacturer might be unable to formulate and manufacture our drug products in the volume and of the quality required to meet our clinical and commercial needs. If we engage any contract manufacturers, such manufacturers may not perform as agreed or may not remain in the contract manufacturing business for the time required to supply our clinical or commercial needs. In addition, contract manufacturers are subject to the rules and regulations of the FDA and comparable foreign regulatory authorities and face the risk that any of those authorities may find that they are not in compliance with applicable regulations. Each of these risks, if realized, could delay our clinical trials, the approval, if any, of our potential drug candidates by the FDA and other regulatory authorities, or the commercialization of our drug candidates or could result in higher product costs or otherwise deprive us of potential product revenues.</w:t>
      </w:r>
    </w:p>
    <w:p>
      <w:pPr>
        <w:spacing w:after="0" w:line="166"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Developments by competitors may render our products or technologies obsolete or non-competitive which would have a material adverse effect on our business, results of operations and financial condition.</w:t>
      </w:r>
    </w:p>
    <w:p>
      <w:pPr>
        <w:spacing w:after="0" w:line="118"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Our drug candidates will have to compete with existing therapies and therapies under development by our competitors. Our commercial opportunities may be reduced or eliminated if our competitors develop and market products that are less expensive, more effective or safer than our drug products. Other companies have drug candidates in various stages of preclinical or clinical development to treat diseases for which we are also seeking to develop drug products. Some of these potential competing drugs are further advanced in development than our drug candidates and may be commercialized earlier. See Business – Competition.</w:t>
      </w:r>
    </w:p>
    <w:p>
      <w:pPr>
        <w:spacing w:after="0" w:line="151"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operate larger research and development programs, staff and facilities and have substantially greater financial resources than we do, as well as significantly greater experience in:</w:t>
      </w:r>
    </w:p>
    <w:p>
      <w:pPr>
        <w:spacing w:after="0" w:line="149"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approvals from the FDA and other regulatory authorities;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w:t>
      </w:r>
    </w:p>
    <w:p>
      <w:pPr>
        <w:spacing w:after="0" w:line="18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These organizations also compete with us to attract qualified personnel, acquisitions and joint ventures candidates and for other collaborations. Activities of our competitors may impose unanticipated costs on our business or adversely affect the market for our drug products which would have a material adverse effect on our business, results of operations and financial condition.</w:t>
      </w:r>
    </w:p>
    <w:p>
      <w:pPr>
        <w:spacing w:after="0" w:line="13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If we in-license drug candidates, we may delay or otherwise adversely affect the development of our existing drug candidates, which may negatively impact our business, results of operations and financial condition.</w:t>
      </w:r>
    </w:p>
    <w:p>
      <w:pPr>
        <w:spacing w:after="0" w:line="13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addition to our own internally developed drug candidates, we proactively seek opportunities to in-license and advance other drug candidates that are strategic and have value-creating potential to take advantage of our development know-how and technology. In-licensing additional drug candidates may significantly increase our capital requirements, and place a strain on the time of our existing personnel, which may delay or otherwise adversely affect the development of our existing drug candidates or cause us to re-prioritize our drug pipeline if we do not have the necessary capital resources to develop all of our drug candidates, which may have a material adverse impact on our business, results of operations and financial condition.</w:t>
      </w:r>
    </w:p>
    <w:p>
      <w:pPr>
        <w:spacing w:after="0" w:line="144"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manage future growth successfully there could be a material adverse impact on our business, results of operations and financial condition.</w:t>
      </w:r>
    </w:p>
    <w:p>
      <w:pPr>
        <w:spacing w:after="0" w:line="118"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To manage our anticipated future growth, we must continue to implement and improve our managerial, operational and financial systems, expand our facilities and continue to recruit and train additional qualified personnel. The expansion of our operations may lead to significant costs and may divert our management and business development resources. Any inability on the part of our management to manage growth could delay the execution of our business plans or disrupt our operations. If we are unable to manage our growth effectively, we may not use our resources in an efficient manner, which may delay the development of our drug candidates and materially and adversely impact our business, results of operations and financial condition.</w:t>
      </w:r>
    </w:p>
    <w:p>
      <w:pPr>
        <w:spacing w:after="0" w:line="15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If we acquire companies, products or technologies, we may face integration risks and costs associated with those acquisitions that could negatively impact our business, results of operations and financial condition.</w:t>
      </w:r>
    </w:p>
    <w:p>
      <w:pPr>
        <w:spacing w:after="0" w:line="118"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If we are presented with appropriate opportunities, we may acquire or make investments in complementary companies, products or technologies. If we acquire companies or technologies, we will face risks, uncertainties and disruptions associated with the integration process, including difficulties in the integration of the operations of an acquired company, integration of acquired technology with our products, diversion of our management’s attention from other business concerns, the potential loss of key employees or customers of the acquired business and impairment charges if future acquisitions are not as successful as we originally anticipate. In addition, our operating results may suffer because of acquisition-related costs or amortization expenses or charges relating to acquired intangible assets. Any failure to successfully integrate other companies, products or technologies that we may acquire may have a material adverse effect on our business and results of operations. Furthermore, we may have to incur debt or issue equity securities to pay for any additional future acquisitions or investments, the issuance of which could be dilutive to our existing stockholders.</w:t>
      </w:r>
    </w:p>
    <w:p>
      <w:pPr>
        <w:spacing w:after="0" w:line="150"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We depend upon key employees and consultants in a competitive market for skilled personnel. If we are unable to attract and retain key personnel, it could adversely affect our ability to develop and market our products.</w:t>
      </w:r>
    </w:p>
    <w:p>
      <w:pPr>
        <w:spacing w:after="0" w:line="13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especially our President and Chief Executive Officer, Dror Bashan, as well as the Chairman of our Board of Directors, Zeev Bronfeld, our other directors, consultants and collaborating scientists. Many of these people have been involved with us for many years and have played integral roles in our progress, and we believe that they will continue to provide value to us. A loss of any of these personnel may have a material adverse effect on aspects of our business, clinical development and regulatory programs. We have employment agreements with Mr. Bashan and our other executive officers that may be terminated by us or the applicable officer at any time with varying notice periods of 60 to 180 days. The loss of any of these persons’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may adversely affect our ability to develop and market our products and obtain necessary regulatory approvals. Further, we do not maintain key-man life insurance.</w:t>
      </w:r>
    </w:p>
    <w:p>
      <w:pPr>
        <w:spacing w:after="0" w:line="135"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also depend in part on the continued service of our key scientific personnel and our ability to identify, hire and retain additional personnel. We experience intense competition for qualified personnel, and the existence of non-competition agreements between prospective employees and their former employers may prevent us from hiring those individuals or subject us to suit from their former employers. While we attempt to provide competitive compensation packages to attract and retain key personnel, many of our competitors are likely to have greater resources and more experience than we have, making it difficult for us to compete successfully for key personnel.</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collaborations with outside scientists and consultants may be subject to restriction and change.</w:t>
      </w:r>
    </w:p>
    <w:p>
      <w:pPr>
        <w:spacing w:after="0" w:line="18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work with medical experts, biologists, chemists and other scientists at academic and other institutions, and consultants who assist us in our research, development, regulatory and commercial efforts, including the members of our scientific advisory board. These scientists and consultants have provided, and we expect that they will continue to provide, valuable advice regarding our programs. These scientists and consultants are not our employees, may have other commitments that would limit their future availability to us and typically will not enter into non-compete agreements with us. If a conflict of interest arises between their work for us and their work for another entity, we may lose their services. In addition, we will be unable to prevent them from establishing competing businesses or developing competing products. For example, if a key scientist acting as a principal investigator in any of our clinical trials identifies a potential product or compound that is more scientifically interesting to his or her professional or academic interests, his or her availability to remain involved in our clinical trials could be restricted or eliminated, which may have a material adverse effect on our business, results of operations and financial condition.</w:t>
      </w:r>
    </w:p>
    <w:p>
      <w:pPr>
        <w:spacing w:after="0" w:line="161" w:lineRule="exact"/>
        <w:rPr>
          <w:sz w:val="20"/>
          <w:szCs w:val="20"/>
          <w:color w:val="auto"/>
        </w:rPr>
      </w:pPr>
    </w:p>
    <w:p>
      <w:pPr>
        <w:ind w:left="60" w:right="599"/>
        <w:spacing w:after="0" w:line="268" w:lineRule="auto"/>
        <w:rPr>
          <w:sz w:val="20"/>
          <w:szCs w:val="20"/>
          <w:color w:val="auto"/>
        </w:rPr>
      </w:pPr>
      <w:r>
        <w:rPr>
          <w:rFonts w:ascii="Times New Roman" w:cs="Times New Roman" w:eastAsia="Times New Roman" w:hAnsi="Times New Roman"/>
          <w:sz w:val="18"/>
          <w:szCs w:val="18"/>
          <w:b w:val="1"/>
          <w:bCs w:val="1"/>
          <w:color w:val="auto"/>
        </w:rPr>
        <w:t>Under current U.S. and Israeli law, we may not be able to enforce employees’ covenants not to compete and therefore may be unable to prevent our competitors from benefiting from the expertise of some of our former employees.</w:t>
      </w:r>
    </w:p>
    <w:p>
      <w:pPr>
        <w:spacing w:after="0" w:line="134"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We have entered into non-competition agreements with substantially all of our employees. These agreements prohibit our employees, if they cease working for us, from competing directly with us or working for our competitors for a limited period. Under current U.S. and Israeli law, we may be unable to enforce these agreements against most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 which may have a material adverse effect on our business, results of operations and financial condition.</w:t>
      </w:r>
    </w:p>
    <w:p>
      <w:pPr>
        <w:spacing w:after="0" w:line="144" w:lineRule="exact"/>
        <w:rPr>
          <w:sz w:val="20"/>
          <w:szCs w:val="20"/>
          <w:color w:val="auto"/>
        </w:rPr>
      </w:pPr>
    </w:p>
    <w:p>
      <w:pPr>
        <w:ind w:left="60" w:right="319"/>
        <w:spacing w:after="0" w:line="291" w:lineRule="auto"/>
        <w:rPr>
          <w:sz w:val="20"/>
          <w:szCs w:val="20"/>
          <w:color w:val="auto"/>
        </w:rPr>
      </w:pPr>
      <w:r>
        <w:rPr>
          <w:rFonts w:ascii="Times New Roman" w:cs="Times New Roman" w:eastAsia="Times New Roman" w:hAnsi="Times New Roman"/>
          <w:sz w:val="17"/>
          <w:szCs w:val="17"/>
          <w:b w:val="1"/>
          <w:b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30"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Any failure to implement required new or improved controls, or difficulties encountered in their implementation could cause us to fail to meet our reporting obligations. While our assessment of our internal control over financial reporting resulted in our conclusion that as of December 31, 2021, our internal control over financial reporting was effective, we cannot predict the outcome of our testing or any subsequent testing by our auditor in future periods. Any testing by us conducted in connection with Section 404 of the Sarbanes-Oxley Act, or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and affect our reputation, which could have an adverse effect on the trading price of our common stock.</w:t>
      </w:r>
    </w:p>
    <w:p>
      <w:pPr>
        <w:spacing w:after="0" w:line="151"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Our management is required to assess the effectiveness of our internal controls and procedures and disclose changes in these controls on an annual basis. However, for as long as we are a non accelerated filer, our independent registered public accounting firm will not be required to attest to the effectiveness of our internal controls over financial reporting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89" w:lineRule="auto"/>
        <w:rPr>
          <w:sz w:val="20"/>
          <w:szCs w:val="20"/>
          <w:color w:val="auto"/>
        </w:rPr>
      </w:pPr>
      <w:r>
        <w:rPr>
          <w:rFonts w:ascii="Times New Roman" w:cs="Times New Roman" w:eastAsia="Times New Roman" w:hAnsi="Times New Roman"/>
          <w:sz w:val="17"/>
          <w:szCs w:val="17"/>
          <w:color w:val="auto"/>
        </w:rPr>
        <w:t>pursuant to Section 404. An independent assessment of the effectiveness of our internal controls could identify deficiencies in internal controls over financial reporting that our management’s assessment might not. Undetected material weaknesses in our internal controls could lead to financial statement restatements and require us to incur the expense of remediation.</w:t>
      </w:r>
    </w:p>
    <w:p>
      <w:pPr>
        <w:spacing w:after="0" w:line="127"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used by our third-party contractors or consultants, may fail or suffer security breaches.</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present and future contractors and consultants are vulnerable to damage from computer viruses and unauthorized access. Although to our knowledge we have not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We have a cybersecurity insurance policy to protect us from such risks. However, to the extent that any disruption or security breach were to result in a loss of, or damage to, our data or applications, or inappropriate disclosure of confidential or proprietary information, we could incur liability despite our insurance policy, and the further development and commercialization of our product candidates could be delayed.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could be subject to securities class action litigation.</w:t>
      </w:r>
    </w:p>
    <w:p>
      <w:pPr>
        <w:spacing w:after="0" w:line="20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Securities class action litigation is often brought against a company following a period of volatility or decline in the market price of its securities. As with pharmaceutical companies generally, our company has experienced significant stock price volatility in recent years. If we become subject to such litigation, we will face substantial costs and a diversion of management’s attention and resources, which could have a material adverse effect on our business, results of operation and financial condition.</w:t>
      </w:r>
    </w:p>
    <w:p>
      <w:pPr>
        <w:spacing w:after="0" w:line="139"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color w:val="auto"/>
        </w:rPr>
        <w:t>If product liability claims are brought against us, it may result in reduced demand for our products and product candidates or damages that exceed our insurance coverage.</w:t>
      </w:r>
    </w:p>
    <w:p>
      <w:pPr>
        <w:spacing w:after="0" w:line="118"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clinical testing, marketing and use of our products and product candidates exposes us to product liability claims if the use or misuse of those products or product candidates cause injury or disease, or results in adverse effects. Use of our products or product candidates, whether in clinical trials or post approval, could result in product liability claims. We presently carry clinical trial liability insurance with coverages of up to $10.0 million per occurrence and $10.0 million in the aggregate, an amount we consider reasonable and customary. However, this insurance coverage includes various deductibles, limitations and exclusions from coverage, and in any event might not fully cover any potential claims. We may need to obtain additional clinical trial liability coverage prior to initiating additional clinical trials. We expect to obtain product liability insurance coverage before commercialization of our product candidates; however, such insurance is expensive and insurance companies may not issue this type of insurance when we need it. We may not be able to obtain adequate insurance in the future at an acceptable cost. Any product liability claim, even one that was not in excess of our insurance coverage or one that is meritless and/or unsuccessful, may adversely affect our cash available for other purposes, such as research and development, which may have a material adverse effect on our business, results of operations and financial condition. Product liability claims, even if without merit, may result in reduced demand for our products, if approved, or result in adverse market reactions, which would have a material adverse effect on our business, results of operations and financial condition.</w:t>
      </w:r>
    </w:p>
    <w:p>
      <w:pPr>
        <w:spacing w:after="0" w:line="16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Reforms in the healthcare industry and the uncertainty associated with pharmaceutical pricing, reimbursement and related matters could adversely affect the marketing, pricing and demand for our products, if approved.</w:t>
      </w:r>
    </w:p>
    <w:p>
      <w:pPr>
        <w:spacing w:after="0" w:line="11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Increasing healthcare expenditures have been the subject of considerable public attention in the United States. Both private and government entities are seeking ways to reduce or contain healthcare costs. Numerous proposals that would result in changes in the U.S. healthcare system are continuously introduced or proposed in the U.S. Congress and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some state legislatures within the United States, including reductions in the pricing of prescription products and changes in the levels at which consumers and healthcare providers are reimbursed for purchases of pharmaceutical products. Legislation and regulations that reduce reimbursement for our product candidates could adversely impact how much or under what circumstances healthcare providers will prescribe or administer our product candidates, if approved. This could materially and adversely impact our business by reducing our ability to generate revenue, raise capital, obtain additional collaborators and market our products, if approved. In addition, we believe the increasing emphasis on managed care in the United States has and will continue to put pressure on the price and usage of pharmaceutical products, which may adversely impact product sales, upon approval, if at all.</w:t>
      </w:r>
    </w:p>
    <w:p>
      <w:pPr>
        <w:spacing w:after="0" w:line="16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Governments outside the United States tend to impose strict price controls and reimbursement approval policies, which may adversely affect our prospects for generating revenue.</w:t>
      </w:r>
    </w:p>
    <w:p>
      <w:pPr>
        <w:spacing w:after="0" w:line="118"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European Union member states, the pricing of prescription pharmaceuticals is subject to governmental control. In these countries, pricing negotiations with governmental authorities can take considerable time (six to 12 months or longer) after the receipt of marketing approval for a product. To obtain reimbursement or pricing approval in some countries with respect to any product candidate that achieves regulatory approval, we may be required to conduct a clinical trial that compares the cost-effectiveness of our product candidate to other available therapies. Any unavailability or limitation on the reimbursement of our products upon approval, if at all, or the determination of unsatisfactory reimbursement prices, may have a material adverse effect on our business, results of operations and financial condition. Further, if we achieve regulatory approval of any product, we must successfully negotiate product pricing for such product in individual countries. As a result, the pricing of our product candidates, if approved, in different countries may vary widely, thus creating the potential for third-party trade in our products in an attempt to exploit price differences between countries. This third-party trade of our products could undermine our sales in markets with higher prices which could have a material adverse effect on our business, results of operations and financial condition.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ability to utilize net operating loss carryforwards may be limited.</w:t>
      </w:r>
    </w:p>
    <w:p>
      <w:pPr>
        <w:spacing w:after="0" w:line="202"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Our NOL carryforwards as of December 31, 2021, are equal to approximately $247.9 million, of which approximately $36.1 million may be restricted under Section 382 of the Internal Revenue Code, or the IRC. IRC Section 382 applies whenever a corporation with NOLs experiences an ownership change. As a result of IRC Section 382, the taxable income for any post-change year that may be offset by a pre-change NOL may not exceed the fair market value of the pre-change entity multiplied by the IRC long-term tax exempt rate. Significant judgment is required in determining any valuation allowance recorded against deferred tax assets. In assessing the need for a valuation allowance, we considered all available evidence, including past operating results, the most recent projections for taxable income and prudent and feasible tax planning strategies. We reassess our valuation allowance periodically and if future evidence allows for a partial or full release of the valuation allowance, a tax benefit will be recorded accordingly. Any ownership change (including as a result of conversion of our outstanding convertible notes into shares of our common stock), or any other limitation on our utilization of NOLs, could have a material adverse effect on our business, results of operations and financial condition.</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structure may create U.S. federal income tax inefficiencies.</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Protalix Ltd. is our wholly-owned subsidiary and thus a controlled foreign corporation of our company for U.S. federal income tax purposes. This organizational structure may create inefficiencies, as certain types of income and investments of Protalix Ltd. that otherwise would not be currently taxable under general U.S. federal income tax principles may become taxable. These inefficiencies may require us to use more of our NOLs than we otherwise might and may result in a tax liability without a corresponding distribution from our subsidiary which could have a material adverse effect on our business, results of operations and financial condition.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are a holding company with no operations of our own.</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We are a holding company with no operations of our own. Accordingly, our ability to conduct our operations, service any debt that we may incur in the future and pay dividends, if any, is dependent upon the earnings from the business conducted by Protalix Ltd. The distribution of those earnings or advances or other distributions of funds by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subsidiary to us, as well as our receipt of such funds, are contingent upon the earnings of Protalix Ltd. and are subject to various business considerations and U.S. and Israeli law. If Protalix Ltd. is unable to make sufficient distributions or advances to us, or if there are limitations on our ability to receive such distributions or advances, we may not have the cash resources necessary to conduct our corporate operations or service our debt which would have a material adverse effect on our business, results of operations and financial condition.</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85"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color w:val="auto"/>
        </w:rPr>
        <w:t>Servicing our debt and settling conversion requests may require a significant amount of cash, and we may not have sufficient cash flow from our business to pay our debt. Furthermore, restrictive covenants governing our indebtedness may restrict our ability to raise additional capital.</w:t>
      </w:r>
    </w:p>
    <w:p>
      <w:pPr>
        <w:spacing w:after="0" w:line="134"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7"/>
          <w:szCs w:val="17"/>
          <w:color w:val="auto"/>
        </w:rPr>
        <w:t>We currently have outstanding $28.75 million aggregate principal amount of our 2024 Notes which are secured with a perfected lien on all of our assets. Under the terms of the indenture governing the 2024 Notes, or the 2024 Indenture, we are required to maintain a minimum cash balance of at least $7.5 million. Our ability to make payments with respect to the 2024 Notes and to satisfy any other debt obligations depends on our future operating performance and our ability to generate significant cash flow in the future, which will be affected by prevailing economic conditions and financial, business, competitive, legislative and regulatory factors as well as other factors affecting our company and industry, many of which are beyond our control. If, when required, we are unable to comply with the terms of the 2024 Notes, we may be required to adopt one or more alternatives, such as selling assets, restructuring debt or obtaining additional equity capital on terms that may be onerous or highly dilutive. In addition, certain terms of the 2024 regarding the security interest or future indebtedness may restrict us from adopting any of these alternatives. We may be unable to obtain amendments and waivers of such restrictions. If there is a default of such notes, the note holders could, among other things, elect to declare all amounts owed immediately due and payable, which could cause all or a large portion of our available cash flow to be used to pay such amounts and thereby reduce the amount of cash available to pursue our business plans or force us into bankruptcy or liquidation, or, with respect to our indebtedness that is secured, result in the foreclosure on the assets that secure the debt, which would force us to relinquish rights to assets that we may believe are critical to our business. Any default on our debt will have a material adverse effect on our business, results of operations and financial condition.</w:t>
      </w:r>
    </w:p>
    <w:p>
      <w:pPr>
        <w:spacing w:after="0" w:line="148" w:lineRule="exact"/>
        <w:rPr>
          <w:sz w:val="20"/>
          <w:szCs w:val="20"/>
          <w:color w:val="auto"/>
        </w:rPr>
      </w:pPr>
    </w:p>
    <w:p>
      <w:pPr>
        <w:ind w:left="60" w:right="379"/>
        <w:spacing w:after="0" w:line="317" w:lineRule="auto"/>
        <w:rPr>
          <w:sz w:val="20"/>
          <w:szCs w:val="20"/>
          <w:color w:val="auto"/>
        </w:rPr>
      </w:pPr>
      <w:r>
        <w:rPr>
          <w:rFonts w:ascii="Times New Roman" w:cs="Times New Roman" w:eastAsia="Times New Roman" w:hAnsi="Times New Roman"/>
          <w:sz w:val="17"/>
          <w:szCs w:val="17"/>
          <w:b w:val="1"/>
          <w:bCs w:val="1"/>
          <w:color w:val="auto"/>
        </w:rPr>
        <w:t>Our significant level of indebtedness could adversely affect our business, results of operations and financial condition and prevent us from fulfilling our obligations under our convertible notes and our other indebtedness.</w:t>
      </w:r>
    </w:p>
    <w:p>
      <w:pPr>
        <w:spacing w:after="0" w:line="95"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Our 2024 Notes represent a significant amount of indebtedness with substantial debt service requirements. We may also incur additional indebtedness to meet future financing needs. Our substantial indebtedness could have material adverse effects on our business, results of operations and financial condition. For example, it could:</w:t>
      </w:r>
    </w:p>
    <w:p>
      <w:pPr>
        <w:spacing w:after="0" w:line="135" w:lineRule="exact"/>
        <w:rPr>
          <w:sz w:val="20"/>
          <w:szCs w:val="20"/>
          <w:color w:val="auto"/>
        </w:rPr>
      </w:pPr>
    </w:p>
    <w:p>
      <w:pPr>
        <w:ind w:left="1040" w:right="43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financial obligations, including with respect to the convertible notes;</w:t>
      </w:r>
    </w:p>
    <w:p>
      <w:pPr>
        <w:spacing w:after="0" w:line="134" w:lineRule="exact"/>
        <w:rPr>
          <w:rFonts w:ascii="Times New Roman" w:cs="Times New Roman" w:eastAsia="Times New Roman" w:hAnsi="Times New Roman"/>
          <w:sz w:val="18"/>
          <w:szCs w:val="18"/>
          <w:color w:val="auto"/>
        </w:rPr>
      </w:pPr>
    </w:p>
    <w:p>
      <w:pPr>
        <w:jc w:val="both"/>
        <w:ind w:left="1040" w:right="27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under our outstanding convertible notes if we fail to comply with the financial and other restrictive covenants contained in agreements governing any future indebtedness, which event of default could result in all of our debt becoming immediately due and payable;</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industry and competitive conditions;</w:t>
      </w:r>
    </w:p>
    <w:p>
      <w:pPr>
        <w:spacing w:after="0" w:line="184"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availability of our cash flow to fund working capital, capital expenditures, acquisitions and other general corporate purposes because we will be required to dedicate a substantial portion of our cash flow from operations to the payment of principal and interest on our indebtedness;</w:t>
      </w:r>
    </w:p>
    <w:p>
      <w:pPr>
        <w:spacing w:after="0" w:line="148"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and increasing our vulnerability to changes in our business, the industry in which we operate and the general economy;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315"/>
        <w:spacing w:after="0" w:line="26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raising funds necessary to purchase convertible notes surrendered to us by holders upon a fundamental change (as described in the 2024 Indenture governing the notes), which failure would result in an event of default with respect to the convertible notes;</w:t>
      </w:r>
    </w:p>
    <w:p>
      <w:pPr>
        <w:spacing w:after="0" w:line="148" w:lineRule="exact"/>
        <w:rPr>
          <w:rFonts w:ascii="Times New Roman" w:cs="Times New Roman" w:eastAsia="Times New Roman" w:hAnsi="Times New Roman"/>
          <w:sz w:val="18"/>
          <w:szCs w:val="18"/>
          <w:color w:val="auto"/>
        </w:rPr>
      </w:pPr>
    </w:p>
    <w:p>
      <w:pPr>
        <w:jc w:val="both"/>
        <w:ind w:left="1040" w:right="319" w:hanging="315"/>
        <w:spacing w:after="0" w:line="26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indebtedness or are less highly leveraged and that, therefore, may be able to take advantage of opportunities that our debt levels or leverage prevent us from exploiting; and</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Each of these factors may have a material and adverse effect on our business, results of operations and financial condition and our ability to meet our payment obligations under the convertible notes and our other indebtedness.</w:t>
      </w:r>
    </w:p>
    <w:p>
      <w:pPr>
        <w:spacing w:after="0" w:line="131"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We are required to comply with a number of covenants under the 2024 Indenture governing our outstanding convertible notes that could hinder our growth.</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2024 Indenture contains a number of restrictive affirmative and negative covenants, which limit our ability to incur additional debt; exceed certain limits; pay dividends or distributions; or merge, consolidate or dispose of substantially all of our assets, including all of our intellectual property assets and other material assets securing such convertible notes. A breach of these covenants could result in default, and if such default is not cured or waived, the holders of the indebtedness could, among other things, elect to declare all amounts owed immediately due and payable, which could cause all or a large portion of our available cash flow to be used to pay such amounts and thereby reduce the amount of cash available to pursue our business plans or force us into bankruptcy or liquidation, or, result in the foreclosure on the assets that secure the debt, including all of our intellectual property assets, which would force us to relinquish rights to such assets that we may believe are critical to our business. We may not be able to engage in any of these activities or engage in these activities on desirable terms, which could result in a default on our debt obligations. Any default on our debt will have a material adverse effect on our business, results of operations and financial condition.</w:t>
      </w:r>
    </w:p>
    <w:p>
      <w:pPr>
        <w:spacing w:after="0" w:line="147"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Any conversion of our outstanding convertible notes into common stock will dilute the ownership interest of our existing stockholders, including holders who had previously converted their notes.</w:t>
      </w:r>
    </w:p>
    <w:p>
      <w:pPr>
        <w:spacing w:after="0" w:line="13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our convertible notes into shares of our common stock will dilute the ownership interests of our existing stockholders. Any sales in the public market of our common stock issuable upon such conversion could adversely affect prevailing market prices of our common stock. In addition, the existence of our outstanding convertible notes may encourage short selling by market participants because the conversion of convertible notes could depress the market price of our common stock.</w:t>
      </w:r>
    </w:p>
    <w:p>
      <w:pPr>
        <w:spacing w:after="0" w:line="13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The fundamental change purchase feature of our outstanding convertible notes may delay or prevent an otherwise beneficial attempt to take over our company.</w:t>
      </w:r>
    </w:p>
    <w:p>
      <w:pPr>
        <w:spacing w:after="0" w:line="11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terms of our outstanding convertible notes require us to offer to purchase the notes for cash in the event of a fundamental change. A non-stock takeover of our company may trigger the requirement that we purchase the notes. This feature may have the effect of delaying or preventing a takeover of our company that would otherwise be beneficial to our stockholders.</w:t>
      </w:r>
    </w:p>
    <w:p>
      <w:pPr>
        <w:spacing w:after="0" w:line="149"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meet the continued market capitalization-based listing requirement or other continued listing requirements of The NYSE American.</w:t>
      </w:r>
    </w:p>
    <w:p>
      <w:pPr>
        <w:spacing w:after="0" w:line="11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companies in particular, have experienced extreme price and volume fluctuations that may have been unrelated or disproportionate to the operating performance of the listed companies. The trading price of our common stock has been volatile and has been subject to wide price fluctuations in response to various factors, many of which are beyond our control. The volatility of our stock price has from time to time in recent periods affected our market capitalization. Adverse fluctuations in the price per share of our common stock or our market capitalization may result in our failure to meet the continued listing requirements of The NYSE American, which would require us to take steps to gain compliance with alternate listing standards or take remedial steps to bring us into compliance. A failure to maintain or regain compliance with applicable listing standards could adversely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affect the liquidity of our common stock and could result in an event of default under the 2024 Indenture, which would have a material adverse effect on our business, results of operations and financial condition.</w:t>
      </w:r>
    </w:p>
    <w:p>
      <w:pPr>
        <w:spacing w:after="0" w:line="131" w:lineRule="exact"/>
        <w:rPr>
          <w:sz w:val="20"/>
          <w:szCs w:val="20"/>
          <w:color w:val="auto"/>
        </w:rPr>
      </w:pPr>
    </w:p>
    <w:p>
      <w:pPr>
        <w:ind w:left="60" w:right="239"/>
        <w:spacing w:after="0" w:line="317" w:lineRule="auto"/>
        <w:rPr>
          <w:sz w:val="20"/>
          <w:szCs w:val="20"/>
          <w:color w:val="auto"/>
        </w:rPr>
      </w:pPr>
      <w:r>
        <w:rPr>
          <w:rFonts w:ascii="Times New Roman" w:cs="Times New Roman" w:eastAsia="Times New Roman" w:hAnsi="Times New Roman"/>
          <w:sz w:val="17"/>
          <w:szCs w:val="17"/>
          <w:b w:val="1"/>
          <w:bCs w:val="1"/>
          <w:color w:val="auto"/>
        </w:rPr>
        <w:t>We currently have no significant product revenues and need to raise additional capital to operate our business, which may not be available on favorable terms, or at all, and which will have a dilutive effect on our stockholders.</w:t>
      </w:r>
    </w:p>
    <w:p>
      <w:pPr>
        <w:spacing w:after="0" w:line="9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To date, we have not generated significant revenues from product sales and only minimal revenues from research and development services and other fees, other than the milestone and other payments we have received in connection with our agreements with Pfizer and Chiesi. For the years ended December 31, 2021, 2020 and 2019, we had net losses from continuing operations of $27.6 million, $6.5 million and $18.3 million, respectively, primarily as a result of expenses incurred through a combination of research and development activities and expenses supporting those activities, which includes share-based compensation expense. Drug development and commercialization is very capital intensive. We fund all of our operations and capital expenditures from the revenues we generate from licensing fees and grants, the net proceeds of equity and debt offerings and other sources. In addition, changes may occur that could consume our existing capital at a faster rate than projected, including, among others, the cost and timing of regulatory approvals, changes in the progress of our research and development efforts and the costs of protecting our intellectual property rights.</w:t>
      </w:r>
    </w:p>
    <w:p>
      <w:pPr>
        <w:spacing w:after="0" w:line="154" w:lineRule="exact"/>
        <w:rPr>
          <w:sz w:val="20"/>
          <w:szCs w:val="20"/>
          <w:color w:val="auto"/>
        </w:rPr>
      </w:pPr>
    </w:p>
    <w:p>
      <w:pPr>
        <w:ind w:left="60" w:right="59"/>
        <w:spacing w:after="0" w:line="272" w:lineRule="auto"/>
        <w:rPr>
          <w:sz w:val="20"/>
          <w:szCs w:val="20"/>
          <w:color w:val="auto"/>
        </w:rPr>
      </w:pPr>
      <w:r>
        <w:rPr>
          <w:rFonts w:ascii="Times New Roman" w:cs="Times New Roman" w:eastAsia="Times New Roman" w:hAnsi="Times New Roman"/>
          <w:sz w:val="17"/>
          <w:szCs w:val="17"/>
          <w:color w:val="auto"/>
        </w:rPr>
        <w:t>We will need to finance our future cash needs through corporate collaboration, licensing or similar arrangements, public or private equity offerings or debt financings. If we are unable to secure additional financing in the future on acceptable terms, or at all, we may be unable to commence or complete planned preclinical and clinical trials or obtain approval of our drug candidates from the FDA and other regulatory authorities. In addition, we may be forced to reduce or discontinue product development or product licensing, reduce or forego sales and marketing efforts and other commercialization activities or forego attractive business opportunities in order to improve our liquidity and to enable us to continue operations which would have a material adverse effect on our business and results of operations. Furthermore, any additional source of financing will likely involve the issuance of our equity securities, which will have a dilutive effect on our stockholders.</w:t>
      </w:r>
    </w:p>
    <w:p>
      <w:pPr>
        <w:spacing w:after="0" w:line="141"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We are not currently profitable and delays in achieving profitability, if at all, will have a material adverse effect on our business and results of operations and could negatively impact the value of our common stock.</w:t>
      </w:r>
    </w:p>
    <w:p>
      <w:pPr>
        <w:spacing w:after="0" w:line="11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may incur losses for the foreseeable future. We expect to continue to incur significant operating expenditures, and we anticipate that our expenses will increase in the foreseeable future as we:</w:t>
      </w:r>
    </w:p>
    <w:p>
      <w:pPr>
        <w:spacing w:after="0" w:line="121"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undertake preclinical development and clinical trials for our current and new drug candidates;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drug candidates;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in-license additional technologies.</w:t>
      </w:r>
    </w:p>
    <w:p>
      <w:pPr>
        <w:spacing w:after="0" w:line="18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also may continue to experience negative cash flow for the foreseeable future as we fund our operating losses and capital expenditures. As a result, we will need to generate significant revenues in order to achieve and maintain profitability. We may not be able to generate these revenues or achieve profitability in the foreseeable future, if at all. Delays in achieving profitability, or subsequent failures to maintain profitability, will have a material adverse effect on our business and results of operations and could negatively impact the value of our common stock.</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Drug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There has been continued non-compliance with the terms and conditions of the Brazil Agreement.</w:t>
      </w:r>
    </w:p>
    <w:p>
      <w:pPr>
        <w:spacing w:after="0" w:line="189"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We do not control and may not be able to effectively influence Fiocruz’s ability to distribute BioManguinhos alfataliglicerase in Brazil. Any failure by Fiocruz to comply with the purchase requirements of the Brazil Agreement, or any other material breach by Fiocruz of the agreement, may have a material adverse effect on our business, results of operations and financial condition.</w:t>
      </w:r>
    </w:p>
    <w:p>
      <w:pPr>
        <w:spacing w:after="0" w:line="153"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We face the risk of lower than anticipated purchases of BioManguinhos alfataliglicerase by the Brazilian MoH. In addition, we may fail to supply the intended amounts on time, if at all. We also cannot accurately predict the amount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revenues we will generate under the Brazil Agreement in future periods, if any. Any failure by the Brazilian MoH to purchase BioManguinhos alfataliglicerase, by us to supply BioManguinhos alfataliglicerase for purchase or by Fiocruz to distribute BioManguinhos alfataliglicerase in Brazil, or the experience of significant delays in any of the foregoing, may have a material adverse effect on our business, results of operations and financial condition.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 have limited experience in selling, marketing or distributing products and limited internal capability to do so.</w:t>
      </w:r>
    </w:p>
    <w:p>
      <w:pPr>
        <w:spacing w:after="0" w:line="18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currently have very limited sales, marketing or distribution capabilities and no experience in building a sales force and distribution capabilities. Under our arrangements with Pfizer and Chiesi, we have out-licensed the marketing rights to Elelyso, pegunigalsidase alfa and alidornase alfa via inhalation, except that we retained the marketing rights to BioManguinhos alfataliglicerase in Brazil. We have not licensed the marketing or commercialization rights to any of our other product candidates to any party. The commercialization of a drug product requires that we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spacing w:after="0" w:line="151"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and retain adequate numbers of effective sales and marketing personnel;</w:t>
      </w:r>
    </w:p>
    <w:p>
      <w:pPr>
        <w:spacing w:after="0" w:line="198"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an adequate numbers of physicians or to pursuance them to prescribe our products;</w:t>
      </w:r>
    </w:p>
    <w:p>
      <w:pPr>
        <w:spacing w:after="0" w:line="121"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2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sustaining an independent sales and marketing organization.</w:t>
      </w:r>
    </w:p>
    <w:p>
      <w:pPr>
        <w:spacing w:after="0" w:line="13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We may not be successful in recruiting or retaining the sales and marketing personnel necessary to sell BioManguinhos alfataliglicerase or any of our products upon approval, if at all, which would have a material adverse effect on our business, results of operations and financial condition.</w:t>
      </w:r>
    </w:p>
    <w:p>
      <w:pPr>
        <w:spacing w:after="0" w:line="131"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color w:val="auto"/>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spacing w:after="0" w:line="13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may need to establish a sales force to market one or more of our product candidates, if approved. We do not anticipate having the resources in the foreseeable future to develop global sales and marketing capabilities for all of the products we are developing. We may elect to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61"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to our products or product candidates;</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distributors or collaborators may devote to the commercialization of our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experience financial difficulties;</w:t>
      </w:r>
    </w:p>
    <w:p>
      <w:pPr>
        <w:spacing w:after="0" w:line="198"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not devote sufficient time to the marketing and sales of our products;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3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a collaborator’s willingness or ability to complete its obligations under any arrangement.</w:t>
      </w:r>
    </w:p>
    <w:p>
      <w:pPr>
        <w:spacing w:after="0" w:line="135" w:lineRule="exact"/>
        <w:rPr>
          <w:sz w:val="20"/>
          <w:szCs w:val="20"/>
          <w:color w:val="auto"/>
        </w:rPr>
      </w:pPr>
    </w:p>
    <w:p>
      <w:pPr>
        <w:ind w:left="60" w:right="79"/>
        <w:spacing w:after="0" w:line="289" w:lineRule="auto"/>
        <w:rPr>
          <w:sz w:val="20"/>
          <w:szCs w:val="20"/>
          <w:color w:val="auto"/>
        </w:rPr>
      </w:pPr>
      <w:r>
        <w:rPr>
          <w:rFonts w:ascii="Times New Roman" w:cs="Times New Roman" w:eastAsia="Times New Roman" w:hAnsi="Times New Roman"/>
          <w:sz w:val="17"/>
          <w:szCs w:val="17"/>
          <w:color w:val="auto"/>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we enter into may not be favorable to us.</w:t>
      </w:r>
    </w:p>
    <w:p>
      <w:pPr>
        <w:spacing w:after="0" w:line="113"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color w:val="auto"/>
        </w:rPr>
        <w:t>If physicians, patients, third party payors and others in the medical community do not accept and use taliglucerase alfa, or any of our other product candidates, if approved, our ability to generate revenue from product sales will be materially impaired.</w:t>
      </w:r>
    </w:p>
    <w:p>
      <w:pPr>
        <w:spacing w:after="0" w:line="134"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Physicians and patients, and other healthcare providers, may not accept and use any of our products or any product candidates, if approved for marketing. Future acceptance and use of any of our products or any product candidates, if approved, will depend upon a number of factors including:</w:t>
      </w:r>
    </w:p>
    <w:p>
      <w:pPr>
        <w:spacing w:after="0" w:line="149" w:lineRule="exact"/>
        <w:rPr>
          <w:sz w:val="20"/>
          <w:szCs w:val="20"/>
          <w:color w:val="auto"/>
        </w:rPr>
      </w:pPr>
    </w:p>
    <w:p>
      <w:pPr>
        <w:ind w:left="1040" w:right="19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physicians, patients, third party payors and others in the medical community about the safety and effectiveness of taliglucerase alfa or our other drug candidates;</w:t>
      </w:r>
    </w:p>
    <w:p>
      <w:pPr>
        <w:spacing w:after="0" w:line="12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21"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our products’ approved labeling;</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benefits of taliglucerase alfa or our other drug candidates relative to competing products and products under development;</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relative to competing products and products under development;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education, marketing and distribution efforts by us and our licensees and distributors, if any;</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taliglucerase alfa or our other drug candidates or competing products and treatments;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of our products by third party payors;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products and competing products.</w:t>
      </w:r>
    </w:p>
    <w:p>
      <w:pPr>
        <w:spacing w:after="0" w:line="185"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A lack of market acceptance of BioManguinhos alfataliglicerase in Brazil, or globally for any of our other products candidates, if approved, would have a material adverse effect on our business, results of operations and financial condition.</w:t>
      </w:r>
    </w:p>
    <w:p>
      <w:pPr>
        <w:spacing w:after="0" w:line="9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If the market opportunities for other product candidates, and for BioManguinhos alfataliglicerase in Brazil, are smaller than we believe they are, our revenues may be adversely affected and our business may suffer.</w:t>
      </w:r>
    </w:p>
    <w:p>
      <w:pPr>
        <w:spacing w:after="0" w:line="13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date, our development efforts have focused mainly on relatively rare disorders with small patient populations, in particular Gaucher disease and Fabry disease. Currently, most reported estimates of the prevalence of these diseases are based on studies of small subsets of the population of specific geographic areas, which are then extrapolated to estimate the prevalence of the diseases in the broader world population. As new studies are performed, the estimated prevalence of these diseases may change. There can be no assurance that the prevalence of Gaucher disease or Fabry disease in the study populations, particularly in these newer studies, accurately reflect the prevalence of these diseases in the broader world population. If the market opportunities for our current product candidates are smaller than we believe they are, our revenues may be adversely affected and our business may suffer.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Coverage and reimbursement may not be available for one or more of our product candidates, if approved, in all territories, which could diminish our sales or affect our ability to sell any such products profitably.</w:t>
      </w:r>
    </w:p>
    <w:p>
      <w:pPr>
        <w:spacing w:after="0" w:line="13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Market acceptance and sales of any one or more of our product candidates, if approved, will depend on coverage and reimbursement policies in the countries in which they are approved for sale. Government authorities and third-party payors, such as private health insurers and health maintenance organizations, decide which drugs they will pay for and establish reimbursement levels. Obtaining reimbursement approval for an approved product from governments and other third party payors is a time consuming and costly process that requires our collaborators or us, as the case may be, to provide supporting scientific, clinical and cost-effectiveness data for the use of our products, if and when approved, to every payor. We may not be able to provide data sufficient to gain acceptance with respect to coverage and reimbursement or we might need to conduct post-marketing studies in order to demonstrate the cost-effectiveness of approved products, if any, to such payors’ satisfaction. Such studies might require our collaborators or us to commit a significant amount of management time and financial and other resources. Even if a payor determines that an approved product is eligible for reimbursement, the payor may impose coverage limitations that preclude payment for some uses that are approved by the FDA or other regulatory authorities. In addition, full reimbursement may not be available for high priced products. Moreover, eligibility for coverage does not imply that any approved product will be reimbursed in all cases or at a rate that allows us to make a profit or even cover our costs. Limited reimbursement amounts may reduce the demand for, or the price of, our product candidates. If coverage and reimbursement are not available or are available only to limited levels, the sales of our products, if approved, may be diminished or we may not be able to sell such products profitably.</w:t>
      </w:r>
    </w:p>
    <w:p>
      <w:pPr>
        <w:spacing w:after="0" w:line="150" w:lineRule="exact"/>
        <w:rPr>
          <w:sz w:val="20"/>
          <w:szCs w:val="20"/>
          <w:color w:val="auto"/>
        </w:rPr>
      </w:pPr>
    </w:p>
    <w:p>
      <w:pPr>
        <w:jc w:val="both"/>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We and our collaborating partners may be subject, directly or indirectly, to federal and state healthcare fraud and abuse and false claims laws and regulations. If we or our collaborating partners are unable to comply, or have not fully complied, with such laws, we could face substantial penalties.</w:t>
      </w:r>
    </w:p>
    <w:p>
      <w:pPr>
        <w:spacing w:after="0" w:line="134"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All marketing activities associated with drug products that are approved for sale in the United States, if any, will be, directly or indirectly through our customers, subject to numerous federal and state laws governing the marketing and promotion of pharmaceutical products in the United States, including, without limitation, the federal Anti-Kickback Law, the federal False Claims Act and HIPAA. These laws may adversely impact, among other things, our proposed sales, marketing and education programs.</w:t>
      </w:r>
    </w:p>
    <w:p>
      <w:pPr>
        <w:spacing w:after="0" w:line="15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federal Anti-Kickback Law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has been broadly interpreted to include anything of value, including for example, gifts, discounts, the furnishing of supplies or equipment, credit arrangements, payments of cash, waivers of co-payments and deductibles, ownership interests and providing anything at less than its fair market value. Despite a series of narrow safe harbors, the federal Anti-Kickback Law prohibits many arrangements and practices that are lawful in businesses outside of the healthcare industry. Penalties for violations of the federal Anti-Kickback Law include criminal penalties and civil sanctions such as fines, imprisonment and possible exclusion from Medicare, Medicaid and other state or federal healthcare programs. Many states have also adopted laws similar to the federal Anti-Kickback Law, some of which apply to the referral of patients for healthcare items or services reimbursed by any source, not only the Medicare and Medicaid programs, and do not contain identical safe harbors.</w:t>
      </w:r>
    </w:p>
    <w:p>
      <w:pPr>
        <w:spacing w:after="0" w:line="14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who, among other things, knowingly presents, or causes to be presented, a false or fraudulent claim for payment by a federal healthcare program. In addition, various states have enacted false claims laws analogous to the False Claims Act. Many of these state laws apply where a claim is submitted to any third-party payer and not merely a federal healthcare program. Violations of the federal False Claims Act and the analogous state laws may result in substantial financial penalties, some as much as three times the actual damages sustained by the government.</w:t>
      </w:r>
    </w:p>
    <w:p>
      <w:pPr>
        <w:spacing w:after="0" w:line="14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HIPAA created several new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falsifying, concealing or covering up a material fact or making any materially false, fictitious or fraudulent statement in connection with the delivery of or payment for health care benefits, items or services.</w:t>
      </w:r>
    </w:p>
    <w:p>
      <w:pPr>
        <w:spacing w:after="0" w:line="13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unable to predict whether we could be subject to actions under any of these or other fraud and abuse laws, or the impact of such actions. Moreover, to the extent that taliglucerase alfa or any of our product candidates, if approved for marketing, will be sold in a foreign country, we and our future collaborators may be subject to similar foreign laws and regulations. If we or any of our future collaborators are found to be in violation of any of the laws described above and other applicable state and federal fraud and abuse laws, we may be subject to penalties, including civil and criminal penalties, damages, fines, exclusion from government healthcare reimbursement programs and the curtailment or restructuring or our operations, any of which could have a material adverse effect on our business, results of operations and financial condition.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85"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intellectual property and assets owned by our subsidiaries are subject to security agreements that secure our payment and other obligations under our convertible notes, and our subsidiaries have guaranteed all of those obligations.</w:t>
      </w:r>
    </w:p>
    <w:p>
      <w:pPr>
        <w:spacing w:after="0" w:line="148"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our 2024 Notes, we entered into new security agreements pursuant to which our subsidiaries provided first priority security interests in all of their assets, which consist of all of our intellectual property and other material assets. The security agreements secure certain payment, indemnification and other obligations under the 2024 Notes. If we were to default on certain of our obligations, or in certain other circumstances generally related to a bankruptcy or insolvency, holders of our outstanding 2024 Notes could seek to foreclose on the collateral under the security agreements to obtain satisfaction of our obligations, and our business could be materially and adversely impacted, which would in turn have a material adverse effect on our results of operations and financial condition.</w:t>
      </w:r>
    </w:p>
    <w:p>
      <w:pPr>
        <w:spacing w:after="0" w:line="148"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issuance of the 2024 Notes, our subsidiaries guaranteed all of our obligations under the 2024 Indenture. If we were to default on our obligations under the 2024 Indenture, the holders could require our subsidiaries to satisfy all of those obligations under the guarantees.</w:t>
      </w:r>
    </w:p>
    <w:p>
      <w:pPr>
        <w:spacing w:after="0" w:line="131"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adequately protect or enforce our intellectual property rights or secure rights to third party patents, the value of our intellectual property rights would diminish and our business, competitive position and results of operations would suffer.</w:t>
      </w:r>
    </w:p>
    <w:p>
      <w:pPr>
        <w:spacing w:after="0" w:line="14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December 31, 2021, we had more than 30 pending patent applications. However, the filing of a patent application does not mean that we will be issued a patent, or that any patent eventually issued will be as broad as requested in the patent application or sufficient to protect our technology. Any modification required to a current patent application may delay the approval of such patent application which would have a material adverse effect on our business, results of operations and financial condition. In addition, there are a number of factors that could cause our patents, if granted, to become invalid or unenforceable or that could cause our patent applications to not be granted, including known or unknown prior art, deficiencies in the patent application or the lack of originality of the technology. Our competitive position and future revenues will depend in part on our ability and the ability of our licensors and collaborators to obtain and maintain patent protection for our products, methods, processes and other technologies, to preserve our trade secrets, to prevent third parties from infringing on our proprietary rights and to operate without infringing the proprietary rights of third parties. We have filed U.S. and international patent applications for process patents, as well as composition of matter patents, for taliglucerase alfa and our product candidates. However, we cannot predict:</w:t>
      </w:r>
    </w:p>
    <w:p>
      <w:pPr>
        <w:spacing w:after="0" w:line="149" w:lineRule="exact"/>
        <w:rPr>
          <w:sz w:val="20"/>
          <w:szCs w:val="20"/>
          <w:color w:val="auto"/>
        </w:rPr>
      </w:pPr>
    </w:p>
    <w:p>
      <w:pPr>
        <w:ind w:left="1040" w:right="7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patents will afford us against competitors and those who infringe upon our patents, including whether third parties will find ways to invalidate or otherwise circumvent our licensed patents;</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98"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licensed patents and patent applications;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which may be costly, whether we win or lose.</w:t>
      </w:r>
    </w:p>
    <w:p>
      <w:pPr>
        <w:spacing w:after="0" w:line="135"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As of December 31, 2021, we held, or had license rights to, more than 80 patents. If patent rights covering our products or technologies are not sufficiently broad, they may not provide us with sufficient proprietary protection or competitive advantages against competitors with similar products and technologies. Furthermore, if the USPTO or foreign patent offices issue patents to us or our licensors, others may challenge the patents or circumvent the patents, or the patent office or the courts may invalidate the patents. Thus, any patents we own or license from or to third parties may not provide any protection against our competitors and those who infringe upon our patents.</w:t>
      </w:r>
    </w:p>
    <w:p>
      <w:pPr>
        <w:spacing w:after="0" w:line="147"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Furthermore, the life of our patents is limited. The patents we hold, and the patents that may be issued in the future based on patent applications from the patent families, relating to our ProCellEx protein expression system are expected to expire by 2025.</w:t>
      </w:r>
    </w:p>
    <w:p>
      <w:pPr>
        <w:spacing w:after="0" w:line="131"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confidentiality agreements that could be breached and may be difficult to enforce which could have a material adverse effect on our business and competitive position.</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policy is to enter agreements relating to the non-disclosure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and others. Despite the protective measures we employ, we still face the risk that:</w:t>
      </w:r>
    </w:p>
    <w:p>
      <w:pPr>
        <w:spacing w:after="0" w:line="154"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185"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may have a material adverse effect on our business and competitive position.</w:t>
      </w:r>
    </w:p>
    <w:p>
      <w:pPr>
        <w:spacing w:after="0" w:line="117"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If we infringe the rights of third parties we could be prevented from selling products, forced to pay damages and required to defend against litigation which could result in substantial costs and may have a material adverse effect on our business, results of operations and financial condition.</w:t>
      </w:r>
    </w:p>
    <w:p>
      <w:pPr>
        <w:spacing w:after="0" w:line="148"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We have not received to date any claims of infringement by any third parties. However, as our drug candidates progress into clinical trials and commercialization, if at all, our public profile and that of our drug candidates may be raised and generate such claims. Defending against such claims, and occurrence of a judgment adverse to us, could result in unanticipated costs and may have a material adverse effect on our business and competitive position. If our products, methods, processes and other technologies infringe the proprietary rights of other parties, we may incur substantial costs and we may have to:</w:t>
      </w:r>
    </w:p>
    <w:p>
      <w:pPr>
        <w:spacing w:after="0" w:line="147"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which may not be available on commercially reasonable terms, if at all;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products or processes to avoid infringement;</w:t>
      </w:r>
    </w:p>
    <w:p>
      <w:pPr>
        <w:spacing w:after="0" w:line="198"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using the subject matter claimed in the patents held by others, which could cause us to lose the use of one or more of our drug candidates;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management resources; or</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w:t>
      </w:r>
    </w:p>
    <w:p>
      <w:pPr>
        <w:spacing w:after="0" w:line="18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Any costs incurred in connection with such events or the inability to sell our products may have a material adverse effect on our business, results of operations and financial condition.</w:t>
      </w:r>
    </w:p>
    <w:p>
      <w:pPr>
        <w:spacing w:after="0" w:line="117"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meet requirements under our license agreements, we could lose the rights to our products, which could have a material adverse effect on our business.</w:t>
      </w:r>
    </w:p>
    <w:p>
      <w:pPr>
        <w:spacing w:after="0" w:line="132" w:lineRule="exact"/>
        <w:rPr>
          <w:sz w:val="20"/>
          <w:szCs w:val="20"/>
          <w:color w:val="auto"/>
        </w:rPr>
      </w:pPr>
    </w:p>
    <w:p>
      <w:pPr>
        <w:jc w:val="both"/>
        <w:ind w:left="60" w:right="179"/>
        <w:spacing w:after="0" w:line="258" w:lineRule="auto"/>
        <w:rPr>
          <w:sz w:val="20"/>
          <w:szCs w:val="20"/>
          <w:color w:val="auto"/>
        </w:rPr>
      </w:pPr>
      <w:r>
        <w:rPr>
          <w:rFonts w:ascii="Times New Roman" w:cs="Times New Roman" w:eastAsia="Times New Roman" w:hAnsi="Times New Roman"/>
          <w:sz w:val="18"/>
          <w:szCs w:val="18"/>
          <w:color w:val="auto"/>
        </w:rPr>
        <w:t>We depend on licensing agreements with third parties to maintain the intellectual property rights to certain of our product candidates. Our license agreements require us to make payments and satisfy performance obligations in order to maintain our rights under these agreements. All of these agreements last either throughout the life of the patents that are the subject of the agreements, or with respect to other licensed technology, for a number of years after the first commercial sale of the relevant product.</w:t>
      </w:r>
    </w:p>
    <w:p>
      <w:pPr>
        <w:spacing w:after="0" w:line="14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addition, we are responsible for the cost of filing and prosecuting certain patent applications and maintaining certain issued patents licensed to us. If we do not meet our obligations under our license agreements in a timely manner, we could lose the rights to our proprietary technology which could have a material adverse effect on our business, results of operations and financial condition.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Operations in Israel</w:t>
      </w:r>
    </w:p>
    <w:p>
      <w:pPr>
        <w:spacing w:after="0" w:line="198" w:lineRule="exact"/>
        <w:rPr>
          <w:sz w:val="20"/>
          <w:szCs w:val="20"/>
          <w:color w:val="auto"/>
        </w:rPr>
      </w:pPr>
    </w:p>
    <w:p>
      <w:pPr>
        <w:ind w:left="60" w:right="79"/>
        <w:spacing w:after="0" w:line="317" w:lineRule="auto"/>
        <w:rPr>
          <w:sz w:val="20"/>
          <w:szCs w:val="20"/>
          <w:color w:val="auto"/>
        </w:rPr>
      </w:pPr>
      <w:r>
        <w:rPr>
          <w:rFonts w:ascii="Times New Roman" w:cs="Times New Roman" w:eastAsia="Times New Roman" w:hAnsi="Times New Roman"/>
          <w:sz w:val="17"/>
          <w:szCs w:val="17"/>
          <w:b w:val="1"/>
          <w:bCs w:val="1"/>
          <w:color w:val="auto"/>
        </w:rPr>
        <w:t>Potential political, economic and military instability in the State of Israel, where the majority of our senior management and our research and development facilities are located, may adversely affect our results of operations.</w:t>
      </w:r>
    </w:p>
    <w:p>
      <w:pPr>
        <w:spacing w:after="0" w:line="95"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Our executive office and operations are located in the State of Israel. Accordingly, political, economic and military conditions in Israel directly affect our business. Since the State of Israel was established in 1948, a number of armed conflicts have occurred between Israel and its Arab neighbors. Any hostilities involving Israel or the interruption or curtailment of trade between Israel and its present trading partners, or a significant downturn in the economic or financial condition of Israel, could affect adversely our operations and product development. Although Israel has entered into various agreements with Egypt, Jordan and the Palestinian Authority, Israel periodically experiences an increase in unrest and terrorist activity. The establishment in 2006 of a government in the Gaza Strip by representatives of the Hamas militant group has created additional unrest and uncertainty in the region. Our facilities in northern Israel are in range of rockets that were fired from Lebanon into Israel during a 2006 war with the Hizbollah in Lebanon, and suffered minimal damages during one of the rocket attacks. Our insurance policies do not cover us for the damages incurred in connection with these conflicts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If our facilities are damaged as a result of hostile action, our operations may be materially adversely affected.</w:t>
      </w:r>
    </w:p>
    <w:p>
      <w:pPr>
        <w:spacing w:after="0" w:line="15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There is currently a civil war in Syria, also bordering Israel, and Israel has been hit by rockets and mortars originating from Syria. The ultimate effect of these developments on the political and security situation in the Middle East and on Israel’s position within the region is not clear at this time.</w:t>
      </w:r>
    </w:p>
    <w:p>
      <w:pPr>
        <w:spacing w:after="0" w:line="14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may be disrupted by the obligations of our personnel to perform military service which could have a material adverse effect on our business.</w:t>
      </w:r>
    </w:p>
    <w:p>
      <w:pPr>
        <w:spacing w:after="0" w:line="118"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Many of our male employees in Israel, including members of senior management, are obligated to perform up to one month (in some cases more) of annual military reserve duty until they reach the age of 45 and, in the event of a military conflict, could be called to active duty. Our operations could be disrupted by the absence of a significant number of our employees related to military service or the absence for extended periods of military service of one or more of our key employees. A disruption may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color w:val="auto"/>
        </w:rPr>
        <w:t>Because a certain portion of our expenses is incurred in New Israeli Shekels, our results of operations may be seriously harmed by currency fluctuations and inflation.</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report our financial statements in U.S. dollars, our functional currency. Although most of our expenses are incurred in U.S. dollars, we pay a portion of our expenses in New Israeli Shekels, or NIS, and as a result, we are exposed to risk to the extent that the inflation rate in Israel exceeds the rate of devaluation of the NIS in relation to the U.S. dollar or if the timing of these devaluations lags behind inflation in Israel. In that event, the U.S. dollar cost of our operations in Israel will increase and our U.S. dollar-measured results of operations will be adversely affected. To the extent that the value of the NIS increases against the U.S. dollar, our expenses on a dollar cost basis increase. Our operations also could be adversely affected if we are unable to guard against currency fluctuations in the future. 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w:t>
      </w:r>
    </w:p>
    <w:p>
      <w:pPr>
        <w:spacing w:after="0" w:line="150"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The tax benefits available to us require that we meet several conditions and may be terminated or reduced in the future, which would increase our taxes.</w:t>
      </w:r>
    </w:p>
    <w:p>
      <w:pPr>
        <w:spacing w:after="0" w:line="11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able to take advantage of tax exemptions and reductions resulting from the “Approved Enterprise” status of our facilities in Israel. To remain eligible for these tax benefits, we must continue to meet certain conditions, including making specified investments in property and equipment, and financing at least 30% of such investments with share capital. If we fail to meet these conditions in the future, the tax benefits would be canceled and we may be required to refund any tax benefits we already have enjoyed. These tax benefits are subject to investment policy by the Investment Center and may not be continued in the future at their current levels or at any level. In recent years the Israeli government has reduced the benefits available and has indicated that it may further reduce or eliminate some of these benefits in the future. The termination or reduction of these tax benefits or our inability to qualify for additional “Approved Enterprise” approvals may increase our tax expenses in the future, which would reduce our expected profits and adversely affect our business and results of operations. Additionally, if we increase our activities outside of Israel, for example, by future acquisitions, such increased activities generally may not be eligible for inclusion in Israeli tax benefit programs.</w:t>
      </w:r>
    </w:p>
    <w:p>
      <w:pPr>
        <w:spacing w:after="0" w:line="161"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7"/>
          <w:szCs w:val="17"/>
          <w:b w:val="1"/>
          <w:bCs w:val="1"/>
          <w:color w:val="auto"/>
        </w:rPr>
        <w:t>The Israeli government grants we have received for certain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which could have a material adverse effect on our business and results of operations.</w:t>
      </w:r>
    </w:p>
    <w:p>
      <w:pPr>
        <w:spacing w:after="0" w:line="12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the past, our research and development efforts have been financed, in part, through grants that we have received from NATI. We, therefore, must comply with the requirements of the Research Law. Under the Research Law we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We may not receive the required approvals for any proposed transfer of manufacturing activities. Even if we do receive approval to manufacture products developed with government grants outside of Israel, we may be required to pay an increased total amount of royalties (possibly up to 300% of the grant amounts plus interest), depending on the manufacturing volume that is performed outside of Israel, as well as at a possibly increased royalty rate. This restriction may impair our ability to outsource manufacturing or engage in similar arrangements for those products or technologies.</w:t>
      </w:r>
    </w:p>
    <w:p>
      <w:pPr>
        <w:spacing w:after="0" w:line="15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Additionally, under the Research Law, Protalix Ltd. is prohibited from transferring NATI-financed technologies and related intellectual property rights outside of the State of Israel, except under limited circumstances and only with the approval of NATI Council or the Research Committee. Protalix Ltd. may not receive the required approvals for any proposed transfer and, if received, Protalix Ltd. may be required to pay NATI a portion of the consideration that it receives upon any sale of such technology by a non-Israeli entity. The scope of the support received, the royalties that Protalix Ltd. has already paid to NATI, the amount of time that has elapsed between the date on which the know-how was transferred and the date on which NATI grants were received and the sale price and the form of transaction will be taken into account in order to calculate the amount of the payment to NATI. Approval of the transfer of technology to residents of the State of Israel is required, and may be granted in specific circumstances only if the recipient abides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provisions of applicable laws, including the restrictions on the transfer of know-how and the obligation to pay royalties.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assurance can be made that approval to any such transfer, if requested, will be granted.</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These restrictions may impair our ability to sell our technology assets or to outsource manufacturing outside of Israel. The restrictions will continue to apply for a certain period of time even after we have repaid the full amount of royalties payable for the grants. If we fail to satisfy the conditions of the Research Law, we may be required to refund certain grants previously received together with interest and penalties, and may become subject to criminal charges, any of which could have a material adverse effect on our business, results of operations and financial condition.</w:t>
      </w:r>
    </w:p>
    <w:p>
      <w:pPr>
        <w:spacing w:after="0" w:line="13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Investors may have difficulties enforcing a U.S. judgment, including judgments based upon the civil liability provisions of the U.S. federal securities laws against us, our executive officers and most of our directors or asserting U.S. securities laws claims in Israel.</w:t>
      </w:r>
    </w:p>
    <w:p>
      <w:pPr>
        <w:spacing w:after="0" w:line="134" w:lineRule="exact"/>
        <w:rPr>
          <w:sz w:val="20"/>
          <w:szCs w:val="20"/>
          <w:color w:val="auto"/>
        </w:rPr>
      </w:pPr>
    </w:p>
    <w:p>
      <w:pPr>
        <w:ind w:left="60" w:right="139"/>
        <w:spacing w:after="0" w:line="269" w:lineRule="auto"/>
        <w:rPr>
          <w:sz w:val="20"/>
          <w:szCs w:val="20"/>
          <w:color w:val="auto"/>
        </w:rPr>
      </w:pPr>
      <w:r>
        <w:rPr>
          <w:rFonts w:ascii="Times New Roman" w:cs="Times New Roman" w:eastAsia="Times New Roman" w:hAnsi="Times New Roman"/>
          <w:sz w:val="17"/>
          <w:szCs w:val="17"/>
          <w:color w:val="auto"/>
        </w:rPr>
        <w:t>Most of our directors and all of our executive officers are residents of Israel, and accordingly, most of their assets and our assets are located outside the United States. Service of process upon our non-U.S. resident directors and officers and enforcement of judgments obtained in the United States against us, some of our directors and executive officers may be difficult to obtain within the United States. We have been informed by our legal counsel in Israel that investors may find it difficult to assert claims under U.S. securities laws in original actions instituted in Israel or obtain a judgment based on the civil liability provisions of U.S. federal securities laws against us, our officers and our directors. Israeli courts may refuse to hear a claim based on a violation of U.S. securities laws against us or our officers and directors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pacing w:after="0" w:line="155"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Israeli courts might not enforce judgments rendered outside Israel which may make it difficult to collect on judgments rendered against us. Subject to certain time limitations, an Israeli court may declare a foreign civil judgment enforceable only if it finds that:</w:t>
      </w:r>
    </w:p>
    <w:p>
      <w:pPr>
        <w:spacing w:after="0" w:line="135" w:lineRule="exact"/>
        <w:rPr>
          <w:sz w:val="20"/>
          <w:szCs w:val="20"/>
          <w:color w:val="auto"/>
        </w:rPr>
      </w:pPr>
    </w:p>
    <w:p>
      <w:pPr>
        <w:ind w:left="1040" w:right="9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which was, according to the laws of the state of the court, competent to render the judgment;</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may no longer be appealed;</w:t>
      </w:r>
    </w:p>
    <w:p>
      <w:pPr>
        <w:spacing w:after="0" w:line="198"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imposed by the judgment is enforceable according to the rules relating to the enforceability of judgments in Israel and the substance of the judgment is not contrary to public policy;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executory in the state in which it was given.</w:t>
      </w:r>
    </w:p>
    <w:p>
      <w:pPr>
        <w:spacing w:after="0" w:line="185"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Even if these conditions are satisfied, an Israeli court will not enforce a foreign judgment if it was given in a state whose laws do not provide for the enforcement of judgments of Israeli courts (subject to exceptional cases) or if its enforcement is likely to prejudice the sovereignty or security of the State of Israel. An Israeli court also will not declare a foreign judgment enforceable if:</w:t>
      </w:r>
    </w:p>
    <w:p>
      <w:pPr>
        <w:spacing w:after="0" w:line="153"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finding of lack of due process;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not competent to render it according to the laws of private international law in Israel;</w:t>
      </w:r>
    </w:p>
    <w:p>
      <w:pPr>
        <w:spacing w:after="0" w:line="134"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at variance with another judgment that was given in the same matter between the same parties and that is still valid;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action was brought in the foreign court, a suit in the same matter and between the same parties was pending before a court or tribunal in Israel.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Investing in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fluctuate significantly.</w:t>
      </w:r>
    </w:p>
    <w:p>
      <w:pPr>
        <w:spacing w:after="0" w:line="18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volatility as a result of the recent announcement relating to the receipt of the CRL from the FDA regarding the BLA for PRX-102. The securities of life sciences companies often experience significant volatility in connection with clinical trial and regulatory announcements.</w:t>
      </w:r>
    </w:p>
    <w:p>
      <w:pPr>
        <w:spacing w:after="0" w:line="149"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anticipate that the market price of our common stock is likely to continue to fluctuate significantly in response to numerous factors, some of which are beyond our control, such as:</w:t>
      </w:r>
    </w:p>
    <w:p>
      <w:pPr>
        <w:spacing w:after="0" w:line="121"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any delays in anticipated marketing approvals for pegunigalsidase alfa;</w:t>
      </w:r>
    </w:p>
    <w:p>
      <w:pPr>
        <w:spacing w:after="0" w:line="184"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studies of pegunigalsidase alfa and the progress and results of the studies of our other product candidates;</w:t>
      </w:r>
    </w:p>
    <w:p>
      <w:pPr>
        <w:spacing w:after="0" w:line="13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shares of our common stock under our ATM program, or market expectations that such sales are to be executed;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BioManguinhos alfataliglicerase in Brazil;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intellectual property rights and regulatory approvals;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w:t>
      </w:r>
    </w:p>
    <w:p>
      <w:pPr>
        <w:spacing w:after="0" w:line="18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Continued market fluctuations could result in extreme volatility in the price of our common stock, which could cause a decline in the value of our common stock. Price volatility of our common stock may be worse when the trading volume of our common stock is low. We have not paid, and do not expect to pay, any cash dividends on our common stock as any earnings generated from future operations will be used to finance our operations. As a result, investors will not realize any income from an investment in our common stock until and unless their shares are sold at a profit.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sales of our common stock could reduce our stock price.</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If our stockholders sell substantial amounts of our common stock, including shares of our common stock issuable upon conversion of our outstanding convertible notes or warrants, or if we sell a substantial amount of our common stock under our ATM program, the market price of our common stock could decrease significantly. The perception in the public market that our existing stockholders might sell shares of common stock could also depress the trading price of our common stock.</w:t>
      </w:r>
    </w:p>
    <w:p>
      <w:pPr>
        <w:spacing w:after="0" w:line="124"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A substantial majority of our outstanding shares of our common stock are freely tradable without restriction or further registration under the federal securities laws. In addition, we may sell additional shares of our common stock in the future to raise capital. A substantial number of shares of our common stock are reserved for issuance upon the exercise of stock options, upon conversion of our outstanding convertible notes and upon the exercise of our outstanding warrants. At December 31, 2021, there were outstanding options to purchase common stock issued covering approximately 2.3 million shares of our common stock with a weighted average exercise price of approximately $4.42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per share. Also at December 31, 2021, there were approximately 1.8 million shares of common stock available for future for issuance in connection with future grants of incentives under our amended 2006 stock incentive plan, approximately 21.5 million shares of common stock reserved for issuance upon conversion of our outstanding 2024 Notes and approximately 14.6 million shares of common stock reserved for issuance upon the exercise of our outstanding warrants. The issuance and sale of substantial amounts of common stock, or the perception that such issuances and sales may occur, could adversely affect the market price of our common stock and impair our ability to raise capital through the sale of additional equity securities.</w:t>
      </w:r>
    </w:p>
    <w:p>
      <w:pPr>
        <w:spacing w:after="0" w:line="158" w:lineRule="exact"/>
        <w:rPr>
          <w:sz w:val="20"/>
          <w:szCs w:val="20"/>
          <w:color w:val="auto"/>
        </w:rPr>
      </w:pPr>
    </w:p>
    <w:p>
      <w:pPr>
        <w:jc w:val="both"/>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analysts stop publishing research or reports about us or our business or if they downgrade our common stock, the market price of our common stock could decline.</w:t>
      </w:r>
    </w:p>
    <w:p>
      <w:pPr>
        <w:spacing w:after="0" w:line="118"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The market for our common stock relies in part on the research and reports that industry or financial analysts publish about us or our business. We do not control these analysts. If any analyst who covers us downgrades our stock or lowers its future stock price targets or estimates of our operating results, the market price for our common stock could decline rapidly.</w:t>
      </w:r>
    </w:p>
    <w:p>
      <w:pPr>
        <w:spacing w:after="0" w:line="2"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Furthermore, if any analyst ceases to cover us, we could lose visibility in the market, which in turn could cause the market price of our common stock to decline.</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common stock is listed to trade on more than one stock exchange, and this may result in price variations.</w:t>
      </w:r>
    </w:p>
    <w:p>
      <w:pPr>
        <w:spacing w:after="0" w:line="20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Our common stock is listed for trade on both the NYSE American and the TASE. Dual-listing may result in price variations between the exchanges due to a number of factors. First, our common stock is traded in U.S. dollars on the NYSE American and in NIS on the TASE. In addition, the exchanges are open for trade at different times of the day and on different days. For example, the TASE opens generally during Israeli business hours, Sunday through Thursday, while the NYSE American opens generally during U.S. business hours, Monday through Friday. The two exchanges also have differing vacation schedules. Differences in the trading schedules, as well as volatility in the exchange rate of the two currencies, among other factors, may result different trading prices for our common stock on the two exchanges. Other external influences may have different effects on the trading price of our common stock on the two exchanges.</w:t>
      </w:r>
    </w:p>
    <w:p>
      <w:pPr>
        <w:spacing w:after="0" w:line="147"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color w:val="auto"/>
        </w:rPr>
        <w:t>Compliance with changing regulation of corporate governance and public disclosure may result in additional expenses, divert management’s attention from operating our business which could have a material adverse effect on our business.</w:t>
      </w:r>
    </w:p>
    <w:p>
      <w:pPr>
        <w:spacing w:after="0" w:line="134"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laws, rules, regulations and standards including the rules promulgated by the national securities exchanges, including the NYSE American, to which we are subject are changed and/or amended from time to time. New or changed laws, rules,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As a result, our efforts to comply with evolving laws, rules, regulations and standards are likely to continue to result in increased general and administrative expenses and a diversion of management time and attention from revenue-generating activities to compliance activities. Members of our Board of Directors and our executive officers, could face an increased risk of personal liability in connection with the performance of their duties. As a result, we may have difficulty attracting and retaining qualified directors and executive officers, which could have a material adverse effect on our business. If our efforts to comply with new or changed laws, regulations and standards differ from the activities intended by regulatory or governing bodies, we may incur additional expenses to comply with standards set by regulatory authorities or governing bodies which would have a material adverse effect on our business, results of operations and financial condition.</w:t>
      </w:r>
    </w:p>
    <w:p>
      <w:pPr>
        <w:spacing w:after="0" w:line="166"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color w:val="auto"/>
        </w:rPr>
        <w:t>The issuance of preferred stock or additional shares of common stock could adversely affect the rights of our stockholders.</w:t>
      </w:r>
    </w:p>
    <w:p>
      <w:pPr>
        <w:spacing w:after="0" w:line="11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issue up to 100,000,000 shares of preferred stock without any further action on the part of our stockholders. Our Board of Directors has the authority to fix and determine the voting rights, rights of redemption and other rights and preferences of preferred stock. Currently, we have no shares of preferred stock outstanding.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54" w:lineRule="auto"/>
        <w:rPr>
          <w:sz w:val="20"/>
          <w:szCs w:val="20"/>
          <w:color w:val="auto"/>
        </w:rPr>
      </w:pPr>
      <w:r>
        <w:rPr>
          <w:rFonts w:ascii="Times New Roman" w:cs="Times New Roman" w:eastAsia="Times New Roman" w:hAnsi="Times New Roman"/>
          <w:sz w:val="18"/>
          <w:szCs w:val="18"/>
          <w:color w:val="auto"/>
        </w:rPr>
        <w:t>Our Board of Directors may, at any time, authorize the issuance of a series of preferred stock that would grant to holders the preferred right to our assets upon liquidation, the right to receive dividend payments before dividends are distributed to the holders of common stock and the right to the redemption of the shares, together with a premium, before the redemption of our common stock, which may have a material adverse effect on the rights of the holders of our common stock. In addition, our Board of Directors, without further stockholder approval, may, at any time, issue large blocks of preferred stock. In addition, the ability of our Board of Directors to issue shares of preferred stock without any further action on the part of our stockholders may impede a takeover of our company and may prevent a transaction that is favorable to our stockholders.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maintain a United States corporate office in Hackensack, New Jersey. Our headquarters, including manufacturing facility, executive offices and others, are located in Carmiel, Israel. The facilities currently contain approximately 14,700 sq/ft of manufacturing space and 3,400 sq/ft for a pilot plant, 11,700 sq/ft for offsite warehouse space and approximately 39,100 sq/ft of laboratories, front warehouse and office space, and are leased at a rate of approximately $81,000 per month. In addition, we are entitled to use an additional 14,500 sq/ft in the same facility, which we intend to utilize in connection with an anticipated expansion of our manufacturing facilities. Our facilities are equipped with the requisite laboratory services required to conduct our business, and we believe that the existing facilities are adequate to meet our needs for the foreseeable future. Our original lease for the facility was in effect until 2016 and we have exercised two of three options to extend the term, each for an additional five-year period. The lease is currently in effect until 2026 and we retain an additional option to extend the term for another five-year period thereafter. Upon the exercise of each option to extend the term of the lease includes a 10% increase to the then current base rent.</w:t>
      </w:r>
    </w:p>
    <w:p>
      <w:pPr>
        <w:spacing w:after="0" w:line="1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NYSE American under the symbol “PLX.” Our common stock is also listed on the TASE under the symbol “PLX.” As of March 15, 2022, there were approximately 61 holders of record of our common stock. A substantially greater number of holders of our common stock are “street name” or beneficial holders, whose shares are held of record by banks, brokers and other financial institutions.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2"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2021 with respect to the shares of our common stock that may be issued under our existing equity compensation plan.</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8"/>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780" w:type="dxa"/>
            <w:vAlign w:val="bottom"/>
            <w:gridSpan w:val="2"/>
            <w:vMerge w:val="continue"/>
          </w:tcPr>
          <w:p>
            <w:pPr>
              <w:spacing w:after="0"/>
              <w:rPr>
                <w:sz w:val="15"/>
                <w:szCs w:val="15"/>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1"/>
        </w:trPr>
        <w:tc>
          <w:tcPr>
            <w:tcW w:w="36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2,259,020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1,786,256</w:t>
            </w:r>
          </w:p>
        </w:tc>
        <w:tc>
          <w:tcPr>
            <w:tcW w:w="0" w:type="dxa"/>
            <w:vAlign w:val="bottom"/>
          </w:tcPr>
          <w:p>
            <w:pPr>
              <w:spacing w:after="0"/>
              <w:rPr>
                <w:sz w:val="1"/>
                <w:szCs w:val="1"/>
                <w:color w:val="auto"/>
              </w:rPr>
            </w:pPr>
          </w:p>
        </w:tc>
      </w:tr>
      <w:tr>
        <w:trPr>
          <w:trHeight w:val="198"/>
        </w:trPr>
        <w:tc>
          <w:tcPr>
            <w:tcW w:w="37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1,786,256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our results of operations and financial condition. The MD&amp;A is provided as a supplement to, and should be together with our consolidated financial statements and the related notes included elsewhere in this Annual Report on Form 10-K. Some of the information contained in this discussion and analysis, particularly with respect to our plans and strategy for our business and related financing, includes forward-looking statements that involve risks and uncertainties. You should read “Risk Factors”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60" w:right="199"/>
        <w:spacing w:after="0" w:line="227"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recombinant therapeutic proteins primarily based on our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We developed our first commercial drug product,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using our ProCellEx system and we are now focused on utilizing the system to develop a pipeline of proprietary, clinically superior versions of complex recombinant therapeutic proteins that primarily target large, established pharmaceutical markets and that in most cases rely upon known biological mechanisms of action. With our experience to date, we believe ProCellEx will enable us to develop additional proprietary recombinant proteins that are therapeutically superior to existing recombinant proteins currently marketed for the same indications, including applying the unique properties of our ProCellEx system for the oral delivery of therapeutic proteins.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August 25, 2021, we completed exchanges, or the Exchanges, of our outstanding 7.50% Senior Secured Convertible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due 2021, or the 2021 Notes, with institutional note holders of a substantial majority of the 2021 Notes.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Exchanges involved the exchange of an aggregate of $54.65 million principal amount of our outstanding 2021 Notes for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of $28.75 million principal amount of newly issued 7.50% Senior Secured Convertible Notes due 2024, 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Notes, $25.90 million in cash, and approximately $1.1 million in cash representing accrued and unpaid interest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through the closing date. The initial conversion rate for the 2024 Notes is 563.2216 shares of Common Stock for each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$1,000 principal amount of 2024 Notes (equivalent to an initial conversion price of approximately $1.7755 per share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 subject to adjustment in certain circumstances. This initial conversion price represents a premium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32.5% relative to the closing price of the Common Stock on the NYSE American on August 13, 2021.</w:t>
      </w:r>
    </w:p>
    <w:p>
      <w:pPr>
        <w:spacing w:after="0" w:line="166"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 xml:space="preserve">Pegunigalsidase alfa (PRX-102), our proprietary plant cell culture expressed enzyme in development for the treatment of Fabry disease, is our most advanced product candidate. Our PRX-102 phase III clinical program of PRX-102 for the treatment of Fabry disease includes three separate studies: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BRIGHT</w:t>
      </w:r>
      <w:r>
        <w:rPr>
          <w:rFonts w:ascii="Times New Roman" w:cs="Times New Roman" w:eastAsia="Times New Roman" w:hAnsi="Times New Roman"/>
          <w:sz w:val="17"/>
          <w:szCs w:val="17"/>
          <w:color w:val="auto"/>
        </w:rPr>
        <w:t xml:space="preserve"> studies. The </w:t>
      </w:r>
      <w:r>
        <w:rPr>
          <w:rFonts w:ascii="Times New Roman" w:cs="Times New Roman" w:eastAsia="Times New Roman" w:hAnsi="Times New Roman"/>
          <w:sz w:val="17"/>
          <w:szCs w:val="17"/>
          <w:i w:val="1"/>
          <w:iCs w:val="1"/>
          <w:color w:val="auto"/>
        </w:rPr>
        <w:t>BRIDGE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BRIGHT</w:t>
      </w:r>
      <w:r>
        <w:rPr>
          <w:rFonts w:ascii="Times New Roman" w:cs="Times New Roman" w:eastAsia="Times New Roman" w:hAnsi="Times New Roman"/>
          <w:sz w:val="17"/>
          <w:szCs w:val="17"/>
          <w:color w:val="auto"/>
        </w:rPr>
        <w:t xml:space="preserve"> studies have been completed, and the last patient in the </w:t>
      </w:r>
      <w:r>
        <w:rPr>
          <w:rFonts w:ascii="Times New Roman" w:cs="Times New Roman" w:eastAsia="Times New Roman" w:hAnsi="Times New Roman"/>
          <w:sz w:val="17"/>
          <w:szCs w:val="17"/>
          <w:i w:val="1"/>
          <w:iCs w:val="1"/>
          <w:color w:val="auto"/>
        </w:rPr>
        <w:t>BALANCE</w:t>
      </w:r>
      <w:r>
        <w:rPr>
          <w:rFonts w:ascii="Times New Roman" w:cs="Times New Roman" w:eastAsia="Times New Roman" w:hAnsi="Times New Roman"/>
          <w:sz w:val="17"/>
          <w:szCs w:val="17"/>
          <w:color w:val="auto"/>
        </w:rPr>
        <w:t xml:space="preserve"> study received the final dose in the study in October 2021. The studies were designed to evaluate the potential superiority of PRX-102 over current therapies, demonstrate the potential for improved efficacy and better quality of life for patients with Fabry disease and demonstrate the safety of our drug/therapy. We are also evaluating the potential of a once-monthly treatment regimen with a higher dose of PRX-102. In addition, the phase III clinical program includes two extension studies in which subjects that participated in our phase I/II clinical trials and our phase III clinical trials may enroll and continue to be treated with PRX-102.</w:t>
      </w:r>
    </w:p>
    <w:p>
      <w:pPr>
        <w:spacing w:after="0" w:line="14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On February 7, 2022, an MAA for PRX-102 was submitted to, and subsequently validated by, the EMA. The submission was made after the October 8, 2021 meeting we held, together with Chiesi, with the Rapporteur and Co-Rapporteur of the EMA regarding PRX-102. At the meeting, Chiesi and the Company discussed the scope of the then anticipated MAA submission for the European Union, and the Rapporteur and Co-Rapporteur were generally supportive of the planned MAA submission for PRX-102.</w:t>
      </w:r>
    </w:p>
    <w:p>
      <w:pPr>
        <w:spacing w:after="0" w:line="14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On April 28, 2021, we, together with our development and commercialization partner for PRX-102, Chiesi, announced the receipt of a CRL from the FDA regarding the PRX-102 BLA. The CRL did not report any concerns relating to the potential safety or efficacy of PRX-102 in the submitted data package. In the CRL, the FDA noted that an inspection of our manufacturing facility in Carmiel, Israel, including the FDA’s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health situation as well as travel restrictions, and is actively working to define an approach for scheduling outstanding inspections. With respect to the third-party facility in Europe at which fill and finish processes are performed for PRX-102, due to COVID-19, the FDA reviewed records under Section 704(a)(4) of the FFDCA in lieu of a pre-licensing inspection. In the CRL, the FDA stated that it will communicate remaining issues to the facility in order to seek prompt resolution of any pending items. In addition to the foregoing, in the CRL, the FDA noted that Fabrazyme (agalsidase beta), a therapy used to treat Fabry patients, was recently converted to full approval and is now an “available therapy,” which must be addressed in the context of any potential resubmission of a BLA for PRX-102.</w:t>
      </w:r>
    </w:p>
    <w:p>
      <w:pPr>
        <w:spacing w:after="0" w:line="162"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 xml:space="preserve">We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planned data package for the BLA resubmission, given the changed regulatory landscape in the United States, will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We intend to continue to work collaboratively with the FDA to resolve the issues noted in the CRL and provide a new, alternative drug to Fabry patients.</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partnership with Chiesi is based on two agreements. On October 19, 2017, Protalix Ltd. and Chiesi entered into Chiesi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Ex-US Agreement and on July 23, 2018, Protalix Ltd. and Chiesi entered into the Chiesi US Agreement. Under each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Chiesi Agreements, Chiesi made an upfront payment to Protalix Ltd. of $25.0 million in connection with the execution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each agreement. In addition, the Chiesi Ex-US Agreement provided for additional payments to Protalix Ltd. of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$25.0 million in pegunigalsidase alfa development costs, capped at $10.0 million per year, and up to $320.0 million,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in regulatory and commercial milestone payments. The Chiesi US Agreement provided for additional payments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Protalix Ltd. of up to a maximum of $20.0 million to cover development costs for pegunigalsidase alfa, subject to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maximum of $7.5 million per year, and to receive additional payments of up to a maximum of $760.0 million,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in regulatory and commercial milestone payments. To date, Protalix Ltd. has received the complete amount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development costs to which it is entitled under the Chiesi Agreements.</w:t>
      </w:r>
    </w:p>
    <w:p>
      <w:pPr>
        <w:spacing w:after="0" w:line="16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is required to manufacture all of the pegunigalsidase alfa needed under the agreements, subject to certain exceptions, and Chiesi is required to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16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On May 13, 2021, we signed a binding term sheet with Chiesi pursuant to which we and Chiesi amended the Chiesi Agreements in order to provide the Company with near-term capital. Chiesi agreed to make a $10.0 million payment to us before the end of the second quarter of 2021 in exchange for a $25.0 million reduction in a longer term regulatory milestone payment provided in the Chiesi EX-US Agreement. All other regulatory and commercial milestone payments remain unchanged. The Company received the payment in June 2021. The Company also agreed to negotiate certain manufacturing related matters.</w:t>
      </w:r>
    </w:p>
    <w:p>
      <w:pPr>
        <w:spacing w:after="0" w:line="14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On May 1, 2012, the FDA approved for sale our first commercial product, taliglucerase alfa for injection, an ERT for the long-term treatment of adult patients with a confirmed diagnosis of type 1 Gaucher disease. Subsequently, taliglucerase alfa was approved for marketing by the regulatory authorities of other countries. Taliglucerase alfa is marketed under the name BioManguinhos alfataliglicerase in Brazil and certain other Latin American countries, and under the name Elelyso in other territories.</w:t>
      </w:r>
    </w:p>
    <w:p>
      <w:pPr>
        <w:spacing w:after="0" w:line="143" w:lineRule="exact"/>
        <w:rPr>
          <w:sz w:val="20"/>
          <w:szCs w:val="20"/>
          <w:color w:val="auto"/>
        </w:rPr>
      </w:pPr>
    </w:p>
    <w:p>
      <w:pPr>
        <w:jc w:val="both"/>
        <w:ind w:left="60" w:right="459"/>
        <w:spacing w:after="0" w:line="270" w:lineRule="auto"/>
        <w:rPr>
          <w:sz w:val="20"/>
          <w:szCs w:val="20"/>
          <w:color w:val="auto"/>
        </w:rPr>
      </w:pPr>
      <w:r>
        <w:rPr>
          <w:rFonts w:ascii="Times New Roman" w:cs="Times New Roman" w:eastAsia="Times New Roman" w:hAnsi="Times New Roman"/>
          <w:sz w:val="17"/>
          <w:szCs w:val="17"/>
          <w:color w:val="auto"/>
        </w:rPr>
        <w:t>Since its approval by the FDA, taliglucerase alfa has been marketed by Pfizer, as provided in the Pfizer Agreement. In October 2015, we entered into the Amended Pfizer Agreement which amends and restates the Pfizer Agreement in its entirety. Pursuant to the Amended Pfizer Agreement, we sold to Pfizer our share in the collaboration created under the initial Pfizer Agreement for the commercialization of Elelyso in exchange for a cash payment equal to $36.0 million.</w:t>
      </w:r>
    </w:p>
    <w:p>
      <w:pPr>
        <w:spacing w:after="0" w:line="3" w:lineRule="exact"/>
        <w:rPr>
          <w:sz w:val="20"/>
          <w:szCs w:val="20"/>
          <w:color w:val="auto"/>
        </w:rPr>
      </w:pPr>
    </w:p>
    <w:p>
      <w:pPr>
        <w:ind w:left="60" w:right="259"/>
        <w:spacing w:after="0" w:line="277" w:lineRule="auto"/>
        <w:rPr>
          <w:sz w:val="20"/>
          <w:szCs w:val="20"/>
          <w:color w:val="auto"/>
        </w:rPr>
      </w:pPr>
      <w:r>
        <w:rPr>
          <w:rFonts w:ascii="Times New Roman" w:cs="Times New Roman" w:eastAsia="Times New Roman" w:hAnsi="Times New Roman"/>
          <w:sz w:val="17"/>
          <w:szCs w:val="17"/>
          <w:color w:val="auto"/>
        </w:rPr>
        <w:t>Under the Amended Pfizer Agreement, Pfizer has an exclusive license to commercialize Elelyso worldwide other than Brazil; we maintain full rights to BioManguinhos alfataliglicerase in Brazil. We will continue to manufacture drug substance for Pfizer, subject to certain terms and conditions. Under the Amended Pfizer Agreement, Pfizer is responsible</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100% of expenses, and entitled to all revenues globally for Elelyso, excluding Brazil, where we are responsible for all expenses and retain all revenues.</w:t>
      </w:r>
    </w:p>
    <w:p>
      <w:pPr>
        <w:spacing w:after="0" w:line="13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June 18, 2013, we entered into the Brazil Agreement with Fiocruz, an arm of the Brazilian MoH, for BioManguinhos alfataliglicerase. As Fiocruz has not satisfied certain purchase commitments under the agreement, we and Fiocruz continuously discuss potential steps to maximize sales of BioManguinhos alfataliglicerase to the Brazilian MoH. We are continuing to supply BioManguinhos alfataliglicerase to Fiocruz, and patients continue to be treated with BioManguinhos alfataliglicerase in Brazil. We are discussing with Fiocruz potential actions that Fiocruz may take to comply with its purchase obligations and, based on such discussions, we will determine what we believe to be the course of action that is in our best interest.</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to PRX-102, our product pipeline currently includes, among other candidates:</w:t>
      </w:r>
    </w:p>
    <w:p>
      <w:pPr>
        <w:spacing w:after="0" w:line="185" w:lineRule="exact"/>
        <w:rPr>
          <w:sz w:val="20"/>
          <w:szCs w:val="20"/>
          <w:color w:val="auto"/>
        </w:rPr>
      </w:pPr>
    </w:p>
    <w:p>
      <w:pPr>
        <w:ind w:left="60" w:right="99" w:firstLine="638"/>
        <w:spacing w:after="0" w:line="261" w:lineRule="auto"/>
        <w:tabs>
          <w:tab w:leader="none" w:pos="13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alidornase alfa, or PRX-110, a proprietary plant cell recombinant human DNase, which has successfully completed a phase II efficacy and safety study; we are continuing to evaluate potential strategic marketing partnerships and collaboration programs with biotechnology and pharmaceutical companies for this product candidate for various respiratory indications;</w:t>
      </w:r>
    </w:p>
    <w:p>
      <w:pPr>
        <w:spacing w:after="0" w:line="152" w:lineRule="exact"/>
        <w:rPr>
          <w:rFonts w:ascii="Times New Roman" w:cs="Times New Roman" w:eastAsia="Times New Roman" w:hAnsi="Times New Roman"/>
          <w:sz w:val="18"/>
          <w:szCs w:val="18"/>
          <w:color w:val="auto"/>
        </w:rPr>
      </w:pPr>
    </w:p>
    <w:p>
      <w:pPr>
        <w:ind w:left="60" w:right="659" w:firstLine="638"/>
        <w:spacing w:after="0" w:line="282" w:lineRule="auto"/>
        <w:tabs>
          <w:tab w:leader="none" w:pos="13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our plant cell-expressed recombinant PEGylated uricase (urate oxidase) – a chemically modified enzyme to treat refractory gout; and</w:t>
      </w:r>
    </w:p>
    <w:p>
      <w:pPr>
        <w:spacing w:after="0" w:line="121" w:lineRule="exact"/>
        <w:rPr>
          <w:rFonts w:ascii="Times New Roman" w:cs="Times New Roman" w:eastAsia="Times New Roman" w:hAnsi="Times New Roman"/>
          <w:sz w:val="18"/>
          <w:szCs w:val="18"/>
          <w:color w:val="auto"/>
        </w:rPr>
      </w:pPr>
    </w:p>
    <w:p>
      <w:pPr>
        <w:ind w:left="60" w:right="479" w:firstLine="638"/>
        <w:spacing w:after="0" w:line="282" w:lineRule="auto"/>
        <w:tabs>
          <w:tab w:leader="none" w:pos="13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PRX-119, our plant cell-expressed PEGylated recombinant human DNase I product candidate being designed to elongate half-life in the circulation for NETs-related diseases.</w:t>
      </w:r>
    </w:p>
    <w:p>
      <w:pPr>
        <w:spacing w:after="0" w:line="121"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We have licensed the rights to commercialize taliglucerase alfa worldwide (other than Brazil) to Pfizer, and the rights to commercialize pegunigalsidase alfa worldwide to Chiesi. Otherwise, we hold the worldwide commercialization rights to our other proprietary development candidates. In addition, we continuously evaluate potential strategic marketing partnerships as well as collaboration programs with biotechnology and pharmaceutical companies and academic research institutes.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at the end of this Annual Report on Form 10-K. We believe that the accounting policies below are critical for one to fully understand and evaluate our financial condition and results of operations.</w:t>
      </w:r>
    </w:p>
    <w:p>
      <w:pPr>
        <w:spacing w:after="0" w:line="13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full extent to which the COVID-19 pandemic will directly or indirectly impact our financial condition, liquidity, or results of operations will depend on future developments that are highly uncertain, including as a result of new information that may emerge concerning COVID-19 and the actions taken to contain or treat COVID-19, as well as the economic impact on local, regional, national and international customers and markets.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Our primary sources of revenues include our sales of BioManguinhos alfataliglicerase in Brazil, of drug substance to Pfizer under our Amended Pfizer Agreement and of drug product to Chiesi under the Chiesi Agreements. We recognize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revenue from the Amended Pfizer Agreement at a point in time when control over the product is transferred to customers (upon delivery).</w:t>
      </w:r>
    </w:p>
    <w:p>
      <w:pPr>
        <w:spacing w:after="0" w:line="135"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also generate revenues from the Chiesi agreements. According to Accounting Standards Codification 606, Revenue from Contracts with Customers, and all the related amendments, or ASC 606, a performance obligation is a promise to provide a distinct good or service or a series of distinct goods or services. Goods and services that are not distinct are bundled with other goods or services in the contract until a bundle of goods or services that is distinct is created. A good or service promised to a customer is distinct if the customer can benefit from the good or service either on its own or together with other resources that are readily available to the customer and the entity’s promise to transfer the good or service to the customer is separately identifiable from other promises in the contract.</w:t>
      </w:r>
    </w:p>
    <w:p>
      <w:pPr>
        <w:spacing w:after="0" w:line="148"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We have identified two performance obligations in the Chiesi agreements as follows: (1) the license and research and development services and (2) contingent performance obligation regarding future manufacturing.</w:t>
      </w:r>
    </w:p>
    <w:p>
      <w:pPr>
        <w:spacing w:after="0" w:line="121"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We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49"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The future manufacturing is contingent on regulatory approvals of the drug and we deem these services to be separately identifiable from other performance obligations in the contract. Manufacturing services post-regulatory approval are not interdependent or interrelated with the license and research and development services.</w:t>
      </w:r>
    </w:p>
    <w:p>
      <w:pPr>
        <w:spacing w:after="0" w:line="13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transaction price of the Chiesi Agreements was comprised of fixed consideration and variable consideration (capped research and development reimbursements). Under ASC 606, the consideration to which we would be entitled upon the achievement of contractual milestones, which are contingent upon the occurrence of future events, are a form of variable consideration. We estimate variable consideration using the most likely method. Amounts included in the transaction price are recognized only when it is probable that a significant reversal of cumulative revenues will not occur. Prior to recognizing revenue from variable consideration, we use significant judgment to determine the probability of a significant reversal of such revenue.</w:t>
      </w:r>
    </w:p>
    <w:p>
      <w:pPr>
        <w:spacing w:after="0" w:line="14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We used significant judgment when we determined the costs expected to be incurred upon satisfying the identified performance obligation.</w:t>
      </w:r>
    </w:p>
    <w:p>
      <w:pPr>
        <w:spacing w:after="0" w:line="153"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remain our primary expense in the near future as we continue to develop our product candidates. Research and development expense consists of:</w:t>
      </w:r>
    </w:p>
    <w:p>
      <w:pPr>
        <w:spacing w:after="0" w:line="135" w:lineRule="exact"/>
        <w:rPr>
          <w:sz w:val="20"/>
          <w:szCs w:val="20"/>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associated with research and development activities;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third party contract research organizations, investigative/clinical sites and consultants;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development costs;</w:t>
      </w:r>
    </w:p>
    <w:p>
      <w:pPr>
        <w:spacing w:after="0" w:line="198"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travel, and related costs for the personnel involved in research and development;</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relating to the advancement of product candidates through preclinical studies and clinical trials;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5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as well as laboratory and other supplies.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identifies our current major research and development projects: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2"/>
        </w:trPr>
        <w:tc>
          <w:tcPr>
            <w:tcW w:w="2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Expected Near Term Milestones</w:t>
            </w:r>
          </w:p>
        </w:tc>
      </w:tr>
      <w:tr>
        <w:trPr>
          <w:trHeight w:val="218"/>
        </w:trPr>
        <w:tc>
          <w:tcPr>
            <w:tcW w:w="2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PRX-102 – pegunigalsidase alfa</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BALANCE, BRIDGE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BRIGHT</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 xml:space="preserve">Top-line results from </w:t>
            </w:r>
            <w:r>
              <w:rPr>
                <w:rFonts w:ascii="Times New Roman" w:cs="Times New Roman" w:eastAsia="Times New Roman" w:hAnsi="Times New Roman"/>
                <w:sz w:val="18"/>
                <w:szCs w:val="18"/>
                <w:i w:val="1"/>
                <w:iCs w:val="1"/>
                <w:color w:val="auto"/>
                <w:w w:val="99"/>
              </w:rPr>
              <w:t>BALANCE</w:t>
            </w:r>
          </w:p>
        </w:tc>
      </w:tr>
      <w:tr>
        <w:trPr>
          <w:trHeight w:val="216"/>
        </w:trPr>
        <w:tc>
          <w:tcPr>
            <w:tcW w:w="27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studies complete; extension studies</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study to be released in the second</w:t>
            </w:r>
          </w:p>
        </w:tc>
      </w:tr>
      <w:tr>
        <w:trPr>
          <w:trHeight w:val="216"/>
        </w:trPr>
        <w:tc>
          <w:tcPr>
            <w:tcW w:w="27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ongoing</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quarter of 2022 and final results to</w:t>
            </w:r>
          </w:p>
        </w:tc>
      </w:tr>
      <w:tr>
        <w:trPr>
          <w:trHeight w:val="216"/>
        </w:trPr>
        <w:tc>
          <w:tcPr>
            <w:tcW w:w="2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be released in the second half of</w:t>
            </w:r>
          </w:p>
        </w:tc>
      </w:tr>
      <w:tr>
        <w:trPr>
          <w:trHeight w:val="216"/>
        </w:trPr>
        <w:tc>
          <w:tcPr>
            <w:tcW w:w="2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2022; resubmission of PRX-102</w:t>
            </w:r>
          </w:p>
        </w:tc>
      </w:tr>
      <w:tr>
        <w:trPr>
          <w:trHeight w:val="234"/>
        </w:trPr>
        <w:tc>
          <w:tcPr>
            <w:tcW w:w="2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BLA in second half of 2022</w:t>
            </w:r>
          </w:p>
        </w:tc>
      </w:tr>
      <w:tr>
        <w:trPr>
          <w:trHeight w:val="459"/>
        </w:trPr>
        <w:tc>
          <w:tcPr>
            <w:tcW w:w="2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PRX-110 – alidornase alfa</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2720" w:type="dxa"/>
            <w:vAlign w:val="bottom"/>
          </w:tcPr>
          <w:p>
            <w:pPr>
              <w:spacing w:after="0"/>
              <w:rPr>
                <w:sz w:val="24"/>
                <w:szCs w:val="24"/>
                <w:color w:val="auto"/>
              </w:rPr>
            </w:pPr>
          </w:p>
        </w:tc>
      </w:tr>
      <w:tr>
        <w:trPr>
          <w:trHeight w:val="459"/>
        </w:trPr>
        <w:tc>
          <w:tcPr>
            <w:tcW w:w="2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PRX-115 – Uricase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2720" w:type="dxa"/>
            <w:vAlign w:val="bottom"/>
          </w:tcPr>
          <w:p>
            <w:pPr>
              <w:spacing w:after="0"/>
              <w:rPr>
                <w:sz w:val="24"/>
                <w:szCs w:val="24"/>
                <w:color w:val="auto"/>
              </w:rPr>
            </w:pPr>
          </w:p>
        </w:tc>
      </w:tr>
      <w:tr>
        <w:trPr>
          <w:trHeight w:val="459"/>
        </w:trPr>
        <w:tc>
          <w:tcPr>
            <w:tcW w:w="2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PRX-119 – Long Acting DNase I</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Preclinical</w:t>
            </w:r>
          </w:p>
        </w:tc>
        <w:tc>
          <w:tcPr>
            <w:tcW w:w="2720" w:type="dxa"/>
            <w:vAlign w:val="bottom"/>
          </w:tcPr>
          <w:p>
            <w:pPr>
              <w:spacing w:after="0"/>
              <w:rPr>
                <w:sz w:val="24"/>
                <w:szCs w:val="24"/>
                <w:color w:val="auto"/>
              </w:rPr>
            </w:pPr>
          </w:p>
        </w:tc>
      </w:tr>
    </w:tbl>
    <w:p>
      <w:pPr>
        <w:spacing w:after="0" w:line="211"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anticipate incurring increasing costs in connection with the continued development of all of the product candidates in our pipeline. Our internal resources, employees and infrastructure are not tied to any individual research project and are typically deployed across all of our projects. We currently do not record and maintain research and development costs per project.</w:t>
      </w:r>
    </w:p>
    <w:p>
      <w:pPr>
        <w:spacing w:after="0" w:line="13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costs and expenses of our projects are partially funded by grants we have received from NATI. Each grant is deducted from the related research and development expenses as the costs are incurred. For additional information regarding the grant process, see “Business—Israeli Government Programs— Encouragement of Industrial Research, Development and Technology Innovation, 1984” in Item 1 of this Annual Report. There can be no assurance that we will continue to receive grants from NATI in amounts sufficient for our operations, if at all. In addition, under the two Chiesi Agreements, Protalix Ltd. was entitled to payments of up to $45.0 million in the aggregate to cover development costs for pegunigalsidase alfa, capped at $17.5 million per year. To date, Protalix Ltd. has received the complete amount of development costs to which it is entitled under the Chiesi Agreements.</w:t>
      </w:r>
    </w:p>
    <w:p>
      <w:pPr>
        <w:spacing w:after="0" w:line="151"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At this time, due to the inherently unpredictable nature of preclinical and clinical development processes and given the early stage of our preclinical product development programs, we are unable to estimate with any certainty the costs we will incur in the continued development of the product candidates in our pipeline for potential commercialization. Clinical development timelines, the probability of success and development costs can differ materially from expectations. The current focus of our product development efforts are on pegunigalsidase alfa. Our future research and development expenses for pegunigalsidase alfa and the other product candidates will depend on the clinical success of each product candidate, as well as ongoing assessments of each product candidate’s commercial potential. In addition, we cannot forecast with any degree of certainty which product candidates may be subject to future collaborations, when such arrangements will be secured, if at all, and to what degree such arrangements would affect our development plans and capital requirements. See “Risk Factors—If we are unable to develop and commercialize our product candidates, our business will be adversely affected” and “—We may not obtain the necessary U.S., EMA or other worldwide regulatory approvals to commercialize our drug candidates in a timely manner, if at all, which would have a material adverse effect on our business, results of operations and financial condition.”</w:t>
      </w:r>
    </w:p>
    <w:p>
      <w:pPr>
        <w:spacing w:after="0" w:line="16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be our primary expense in the future as we continue the advancement of our clinical trials and preclinical product development programs for our product candidates, particularly with respect to the development of pegunigalsidase alfa. The lengthy process of completing clinical trials and seeking regulatory approvals for our product candidates requires expenditure of substantial resources. Any failure or delay in completing clinical trials, or in obtaining regulatory approvals, could cause a delay in generating product revenue and cause our research and development expense to increase and, in turn, have a material adverse effect on our operations. Due to the factors set forth above, we are not able to estimate with any certainty when we would recognize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any net cash inflows from our projects. See “Risk Factors—Clinical trials are very expensive, time-consuming and difficult to design and implement and may result in unforeseen costs which may have a material adverse effect on our business, results of operations and financial condition.”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measure share-based compensation cost for all share-based awards at the fair value on the grant date and recognition of share-based compensation over the related service period. The fair value of stock options is determined based on the number of shares granted and the price of our ordinary shares, and calculated based on the Black-Scholes valuation model. For grants made to employees we recognize the fair value of the grant as expense over the service period using the accelerated method while for grants made to consultants and other non-employees we recognize the expenses using the straight-line accounting method.</w:t>
      </w:r>
    </w:p>
    <w:p>
      <w:pPr>
        <w:spacing w:after="0" w:line="14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guidance requires companies to estimate the expected term of the option rather than simply using the contractual term of an option. Because of lack of sufficient data on past option exercises by employees, the expected term of the options could not be based on historic exercise patterns. Accordingly, we adopted the simplified method, according to which companies may calculate the expected term as the average between the vesting date and the expiration date, assuming the option was granted as a “plain vanilla” option.</w:t>
      </w:r>
    </w:p>
    <w:p>
      <w:pPr>
        <w:spacing w:after="0" w:line="15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performing the valuation, we assumed an expected 0% dividend yield in the previous years and in the next years. We do not have a dividend policy and given the lack of profitability, dividends are not expected in the foreseeable future, if at all. The guidance stipulates a number of factors that should be considered when estimating the expected volatility, including the implied volatility of traded options, historical volatility and the period that the shares of the company are being publicly traded.</w:t>
      </w:r>
    </w:p>
    <w:p>
      <w:pPr>
        <w:spacing w:after="0" w:line="14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risk-free interest rate used in the valuation of the options is based on the implied yield of U.S. federal reserve zero– coupon government bonds. The remaining term of the bonds used for each valuation was equal to the expected term of the grant. This methodology has been applied to all grants valued by us. The guidance requires the use of a risk–free interest rate based on the implied yield currently available on zero–coupon government issues of the country in whose currency the exercise price is expressed, with a remaining term equal to the expected life of the option being valued. This requirement has been applied for all grants valued as part of this report.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0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outstanding convertible notes are accounted for using the guidance set forth in the Financial Accounting Standards Board, or the FASB, Accounting Standards Codification, or ASC, 815 requiring that we determine whether the embedded conversion option must be separated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2021 Notes were accounted for partially as liability and equity components of the instrument and partially as a debt host contract with an embedded derivative resulting from the conversion feature. During the year ended December 31, 2017, the embedded derivative was reclassified to additional paid in capital. The 2024 Notes were accounted for as a liability (debt) and equity component (conversion option) as the convertible notes may be settled wholly or partly in cash, at our option, when converted.</w:t>
      </w:r>
    </w:p>
    <w:p>
      <w:pPr>
        <w:spacing w:after="0" w:line="154"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Issuance costs regarding the issuance of the 2021 Notes, as well as the debt discount and debt issuance costs from the issuance of the 2024 Notes, were deferred and amortized over the applicable convertible notes period using the effective interest rate.</w:t>
      </w:r>
    </w:p>
    <w:p>
      <w:pPr>
        <w:spacing w:after="0" w:line="13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August 25, 2021, we completed the Exchanges of a substantial majority of the 2021 Notes with certain institutional note holders. The Exchanges involved the exchange of an aggregate of $54.65 million principal amount of our outstanding 2021 Notes for an aggregate of $28.75 million principal amount of newly issued 2024 Notes, $25.90 million in cash, and approximately $1.1 million in cash representing accrued and unpaid interest through the closing date. The initial conversion rate for the 2024 Notes is 563.2216 shares of Common Stock for each $1,000 principal amount of 2024 Notes (equivalent to an initial conversion price of approximately $1.7755 per share of the Common Stock), subject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to adjustment in certain circumstances. This initial conversion price represents a premium of approximately 32.5% relative to the closing price of the Common Stock on the NYSE American on August 13, 2021. The Exchanges are described in greater detail in Note 10 to the consolidated financial statements</w:t>
      </w:r>
    </w:p>
    <w:p>
      <w:pPr>
        <w:spacing w:after="0" w:line="14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accounting purposes, as the terms of the 2021 Notes and the 2024 Notes are substantially different, the Exchanges were considered an extinguishment of debt. We allocated the fair value of the consideration transferred to the participating note holders between the 2021 Notes and their equity component based on the fair value of the liability component before the extinguishment, and the remainder was allocated to the equity component. As a result, we recognized a loss from extinguishment in the statement of operations equal to $0.8 million due to derecognition of the liability component and a reduction of stockholders’ equity of $12.2 million.</w:t>
      </w:r>
    </w:p>
    <w:p>
      <w:pPr>
        <w:spacing w:after="0" w:line="14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As of December 31, 2021, a total of $28.75 million aggregate principal amount of the 2024 Notes were outstanding. In addition, as of December 31, 2021, none of the 2021 Notes were outstanding.</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0" w:right="3039"/>
        <w:spacing w:after="0" w:line="4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2021 Compared to the Year Ended December 31, 2020 </w:t>
      </w:r>
      <w:r>
        <w:rPr>
          <w:rFonts w:ascii="Times New Roman" w:cs="Times New Roman" w:eastAsia="Times New Roman" w:hAnsi="Times New Roman"/>
          <w:sz w:val="18"/>
          <w:szCs w:val="18"/>
          <w:i w:val="1"/>
          <w:iCs w:val="1"/>
          <w:color w:val="auto"/>
        </w:rPr>
        <w:t>Revenues from Selling Goods</w:t>
      </w: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recorded revenues of $16.7 million for the year ended December 31, 2021, an increase of $0.5 million, or 3%, compared to revenues of $16.2 million for the year ended December 31, 2020. An increase of $2.1 million in sales of drug substance to Pfizer was partially offset by a $1.6 million decrease in sales of drug to Brazil.</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18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recorded revenues from license and R&amp;D services of $21.6 million for the year ended December 31, 2021, a decrease of $25.1 million, or 54%, compared to revenues of $46.7 million for the year ended December 31, 2020. Revenues from license and R&amp;D services represent mainly the revenues we recognized in connection with the Chiesi Agreements. The decrease is primarily due to lower costs incurred in the year ended December 31, 2021.</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0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Cost of goods sold was $16.3 million for the year ended December 31, 2021, an increase of $5.4 million, or 50%, compared to cost of goods sold of $10.9 million for the year ended December 31, 2020. The increase in cost of goods sold was primarily the result of certain one-time manufacturing costs incurred while preparing for the then anticipated FDA approval of the PRX-102 BLA and higher manufacturing costs.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expenses, net were $29.7 million for the year ended December 31, 2021, a decrease of</w:t>
      </w:r>
    </w:p>
    <w:p>
      <w:pPr>
        <w:spacing w:after="0" w:line="27" w:lineRule="exact"/>
        <w:rPr>
          <w:sz w:val="20"/>
          <w:szCs w:val="20"/>
          <w:color w:val="auto"/>
        </w:rPr>
      </w:pPr>
    </w:p>
    <w:p>
      <w:pPr>
        <w:ind w:left="60" w:right="599"/>
        <w:spacing w:after="0" w:line="260" w:lineRule="auto"/>
        <w:rPr>
          <w:sz w:val="20"/>
          <w:szCs w:val="20"/>
          <w:color w:val="auto"/>
        </w:rPr>
      </w:pPr>
      <w:r>
        <w:rPr>
          <w:rFonts w:ascii="Times New Roman" w:cs="Times New Roman" w:eastAsia="Times New Roman" w:hAnsi="Times New Roman"/>
          <w:sz w:val="18"/>
          <w:szCs w:val="18"/>
          <w:color w:val="auto"/>
        </w:rPr>
        <w:t>$8.5 million, or 22% from $38.2 million for the year ended December 31, 2020. The decrease is primarily due to the completion of the three phase III clinical trials of PRX-102.</w:t>
      </w:r>
    </w:p>
    <w:p>
      <w:pPr>
        <w:spacing w:after="0" w:line="154"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 were $12.7 million for the year ended December 31, 2021, an increase of</w:t>
      </w:r>
    </w:p>
    <w:p>
      <w:pPr>
        <w:spacing w:after="0" w:line="27"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$1.6 million, or 14%, from $11.1 million for the year ended December 31, 2020. The increase resulted primarily from an increase in corporate costs of $1.7 million related mainly to insurance.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Expenses and Income, Net</w:t>
      </w:r>
    </w:p>
    <w:p>
      <w:pPr>
        <w:spacing w:after="0" w:line="200"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Financial expense, net was $7.1 million for the year ended December 31, 2021, a decrease of $2.1 million, or 23%, compared to financial expenses of $9.2 million for the year ended December 31, 2020. Financial expenses are comprised primarily of interest expense on our outstanding convertible notes equal to $3.6 million and $4.3 million for the years ended December 31, 2021 and 2020, respectively. The decrease resulted primarily from the exchange of our 2021 notes; $0.7 million decrease in interest expenses, $0.8 million decrease in amortization of debt discount, and $1.3 million decrease in related expenses offset by a $0.8 million loss on extinguishment related to the Exchanges.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 Compared to the Year Ended December 31, 2019</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For a discussion of the year ended December 31, 2020 compared to the year ended December 31, 2019, see Management’s Discussion and Analysis of Financial Condition and Results of Operations included in our Annual Report on Form 10-K for the year ended December 31, 2020.</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sources of liquidity include our cash balances and bank deposits. At December 31, 2021, we had $39.0 million in cash and cash equivalents. We have primarily financed our operations through equity and debt financings, business collaborations, and grants funding.</w:t>
      </w:r>
    </w:p>
    <w:p>
      <w:pPr>
        <w:spacing w:after="0" w:line="135"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we raised gross proceeds equal to approximately $8.8 million from sales of common stock under our ATM program through the sale of 1,867,552 shares of our common stock. In addition, we raised gross proceeds of approximately $40.2 million from a public offering of our common stock before deducting the underwriting discount and estimated expenses of the offering. In connection with the offering, we issued 8,749,999 shares of our common stock at a purchase price per share of $4.60.</w:t>
      </w:r>
    </w:p>
    <w:p>
      <w:pPr>
        <w:spacing w:after="0" w:line="15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August 25, 2021, we completed Exchanges with institutional note holders of a substantial majority of the then outstanding 2021 Notes. The Exchanges involved the exchange of an aggregate of $54.65 million principal amount of 2021 Notes for an aggregate of $28.75 million principal amount of newly issued 2024 Notes, $25.90 million in cash and approximately $1.1 million in cash representing accrued and unpaid interest through the closing date. The initial conversion rate of the 2024 Notes is 563.2216 shares of our common stock per $1,000 principal amount of 2024 Notes, which is equivalent to an initial conversion price of approximately $1.7755 per share of common stock, subject to adjustment in certain circumstances. This initial conversion price represents a premium of approximately 32.5% relative to the closing price of the common stock on the NYSE American on August 13, 2021. After giving effect to the Exchanges, $3.27 million aggregate principal amount of the 2021 Notes remained outstanding. On November 15, 2021, all of the then outstanding 2021 Notes matured and were paid in full.</w:t>
      </w:r>
    </w:p>
    <w:p>
      <w:pPr>
        <w:spacing w:after="0" w:line="154"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The 2024 Notes were issued pursuant to the 2024 Indenture which was entered into between us, the guarantors party thereto, The Bank of New York Mellon Trust Company, N.A., as trustee and Wilmington Savings Fund Society, FSB, as collateral agent. Interest on the Notes are payable semi-annually at a rate of 7.50% per annum. The 2024 Notes will mature three years after the issuance thereof, unless earlier purchased, converted, exchanged or redeemed and will be guaranteed by our subsidiaries. The 2024 Notes are secured by perfected liens on all of our assets, including those of our subsidiaries.</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0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Net cash used in operations was $10.3 million for the year ended December 31, 2021. The net loss for the year ended December 31, 2021 of $27.6 million was further increased by a $4.9 million increase in inventories and by a $1.0 million increase in accounts receivable and other assets, which was partially offset by a $13.2 million increase in contracts liability and an increase of $2.4 million in accounts payable and accruals, by $2.7 million amortization of debt issuance costs and debt discount, by a $2.4 million in share-based compensation and $1.1 million in depreciation. Net cash provided by investing activities for the year ended December 31, 2021 was $18.9 million and consisted primarily of a net decrease in bank deposits. Net cash provided by financing activities for the year ended December 31, 2021 was $12.1 million, net proceeds of $37.6 million from the issuance of common stock and of $8.6 million from the issuance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common stock under the sales agreement were offset by payments of $30.0 million for convertible notes redemption and transactions costs, and $4.1 million net payment to satisfy an outstanding promissory note.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 xml:space="preserve">As a result of our significant research and development expenditures and the lack of significant revenue from sales of taliglucerase alfa, we have generated operating losses from our continuing operations since our inception. Our outstanding 2024 Notes are secured by a perfected lien on all of our assets. Under the terms of the 2024 Indenture, we are required to comply with </w:t>
      </w:r>
      <w:r>
        <w:rPr>
          <w:rFonts w:ascii="Times New Roman" w:cs="Times New Roman" w:eastAsia="Times New Roman" w:hAnsi="Times New Roman"/>
          <w:sz w:val="18"/>
          <w:szCs w:val="18"/>
          <w:color w:val="222222"/>
        </w:rPr>
        <w:t>certain covenants, including the requirement to</w:t>
      </w:r>
      <w:r>
        <w:rPr>
          <w:rFonts w:ascii="Times New Roman" w:cs="Times New Roman" w:eastAsia="Times New Roman" w:hAnsi="Times New Roman"/>
          <w:sz w:val="18"/>
          <w:szCs w:val="18"/>
          <w:color w:val="auto"/>
        </w:rPr>
        <w:t xml:space="preserve"> maintain a minimum cash balance of at least $7.5 million. Failure to comply with such covenants may result in an event of default under the 2024 Indenture and, accordingly, may result in the acceleration of the payment of the notes or in additional interest payments. As of December 31, 2021, we were in compliance with all covenants.</w:t>
      </w:r>
    </w:p>
    <w:p>
      <w:pPr>
        <w:spacing w:after="0" w:line="14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We expect to continue to incur significant expenditures in the near future as we increase our research and developments efforts with respect to our product candidates given the receipt of the CRL from the FDA discussed above, we expect to incur additional expenses in connection with any resubmission. We cannot anticipate the costs or the timing of the occurrence of such costs. In addition, to the extent we need to obtain additional financing in connection with this process or with any additional clinical testing that may be required, it may be more difficult for us to do so given the volatility of the price of our common stock. Our material cash needs for the next 24 months will include, among other expenses, (i) costs of preclinical and clinical trials, (ii) employee salaries, (iii) payments for rent and operation of our manufacturing facilities,</w:t>
      </w:r>
    </w:p>
    <w:p>
      <w:pPr>
        <w:spacing w:after="0" w:line="2" w:lineRule="exact"/>
        <w:rPr>
          <w:sz w:val="20"/>
          <w:szCs w:val="20"/>
          <w:color w:val="auto"/>
        </w:rPr>
      </w:pPr>
    </w:p>
    <w:p>
      <w:pPr>
        <w:ind w:left="60" w:right="359" w:hanging="10"/>
        <w:spacing w:after="0" w:line="255" w:lineRule="auto"/>
        <w:tabs>
          <w:tab w:leader="none" w:pos="3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to our consultants and legal advisors, patent advisors and fees for service providers in connection with our research and development efforts and (v) payment of interest on our outstanding 2024 Notes. We believe that the funds currently available to us are sufficient to satisfy our capital needs for at least 12 months.</w:t>
      </w:r>
    </w:p>
    <w:p>
      <w:pPr>
        <w:spacing w:after="0" w:line="15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135" w:lineRule="exact"/>
        <w:rPr>
          <w:sz w:val="20"/>
          <w:szCs w:val="20"/>
          <w:color w:val="auto"/>
        </w:rPr>
      </w:pPr>
    </w:p>
    <w:p>
      <w:pPr>
        <w:ind w:left="1040" w:right="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combined with those of Chiesi, to file for resubmission with the FDA and to commercialize PRX-102;</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98"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We expect to finance our future cash needs through corporate collaborations, licensing or similar arrangements, public or private equity offerings and/or debt financings. We currently do not have any commitments for future external funding, except with respect to the development-related payments and milestone payments that may become payable under the Chiesi Agreements. On July 2, 2021, we entered into the Sales Agreement in connection with a new ATM program pursuant to which we may sell from time to time through the Agent ATM Shares having an aggregate offering price of up to $20.0 million. On the same date, we terminated our former ATM program.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00"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Our contractual obligations include obligations under our convertible notes, operating lease obligations, purchase obligations, a certain clinical contract and the liability for employee rights upon retirement.</w:t>
      </w:r>
    </w:p>
    <w:p>
      <w:pPr>
        <w:spacing w:after="0" w:line="121"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Our convertible senior notes had an aggregate outstanding principal balance of $28.75 million at December 31, 2021. The notes will mature on September 1, 2024 unless earlier purchased, converted, exchanged or redeemed, and interest is payable on the note semi-annually at a rate of 7.50% per annum.</w:t>
      </w:r>
    </w:p>
    <w:p>
      <w:pPr>
        <w:spacing w:after="0" w:line="135"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lease certain assets under operating leases, which expire through 2026, with an option to extend the lease on our main facility to 2031. The leases relate primarily to office, laboratory and manufacturing space and vehicles used by our employees. Our aggregate future minimum commitments under these facility and vehicles leases over the next five fiscal years is approximately $5.1 million as of December 31, 2021.</w:t>
      </w:r>
    </w:p>
    <w:p>
      <w:pPr>
        <w:spacing w:after="0" w:line="15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2021, we are subject to open purchase orders issued to certain suppliers and other vendors mainly in connection with our research and development and manufacturing activities that were outstanding as of December 31, 2021 for approximately $5.1 million over the next five fiscal years.</w:t>
      </w:r>
    </w:p>
    <w:p>
      <w:pPr>
        <w:spacing w:after="0" w:line="135"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have a contractual obligation of approximately $853,000 as of December 31, 2021 payable over the fiscal year ended December 31, 2022. In addition, we enter into contracts in the normal course of business with CROs, CMOs and other third parties for clinical trials, preclinical and other research studies and manufacturing services. These contracts do not contain minimum purchase commitments and are cancelable by us upon prior written notice. Payments due upon cancellation consist only of payments for services provided or expenses incurred, including non-cancelable obligations of our service providers, up to the date of cancellation.</w:t>
      </w:r>
    </w:p>
    <w:p>
      <w:pPr>
        <w:spacing w:after="0" w:line="147"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As of December 31, 2021, we have a contractual obligation of approximately $2.5 million for employee rights upon retirement.</w:t>
      </w:r>
    </w:p>
    <w:p>
      <w:pPr>
        <w:spacing w:after="0" w:line="13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are also party to certain research and license agreements. If all of the contingencies with respect to milestone payments under our research and license agreements are met, as of December 31, 2021, the aggregate milestone payments payable would be approximately $8.4 million, and would be payable, if at all, as our projects progress over the course of a number of years. The royalty payments payable by our company in connection with sales of each of our product candidates, if any, shall not exceed low, single-digit percentages of net sales of the relevant product.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We do not believe currency fluctuations have had a material effect on our results of operations during the years ended December 31, 2020 or 2021.</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Certain recently issued accounting pronouncements are discussed in note 1r of the financial statements included in Item 8 of this Annual Report on Form 10-K.</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approximately 65% of our expenses and capital expenditures, including the repayment of our 2021 Notes,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Approximately 31%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64"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7620</wp:posOffset>
            </wp:positionV>
            <wp:extent cx="1860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ind w:left="6300"/>
        <w:spacing w:after="0"/>
        <w:tabs>
          <w:tab w:leader="none" w:pos="7300" w:val="left"/>
          <w:tab w:leader="none" w:pos="83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tbl>
      <w:tblPr>
        <w:tblLayout w:type="fixed"/>
        <w:tblInd w:w="40" w:type="dxa"/>
        <w:tblCellMar>
          <w:top w:w="0" w:type="dxa"/>
          <w:left w:w="0" w:type="dxa"/>
          <w:bottom w:w="0" w:type="dxa"/>
          <w:right w:w="0" w:type="dxa"/>
        </w:tblCellMar>
      </w:tblP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rate for period</w:t>
            </w:r>
          </w:p>
        </w:tc>
        <w:tc>
          <w:tcPr>
            <w:tcW w:w="8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3.565</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3.442</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3.230</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at period-end</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3.456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3.110</w:t>
            </w:r>
          </w:p>
        </w:tc>
      </w:tr>
    </w:tbl>
    <w:p>
      <w:pPr>
        <w:spacing w:after="0" w:line="198" w:lineRule="exact"/>
        <w:rPr>
          <w:sz w:val="20"/>
          <w:szCs w:val="20"/>
          <w:color w:val="auto"/>
        </w:rPr>
      </w:pPr>
    </w:p>
    <w:p>
      <w:pPr>
        <w:ind w:left="60" w:right="359"/>
        <w:spacing w:after="0" w:line="289" w:lineRule="auto"/>
        <w:rPr>
          <w:sz w:val="20"/>
          <w:szCs w:val="20"/>
          <w:color w:val="auto"/>
        </w:rPr>
      </w:pPr>
      <w:r>
        <w:rPr>
          <w:rFonts w:ascii="Times New Roman" w:cs="Times New Roman" w:eastAsia="Times New Roman" w:hAnsi="Times New Roman"/>
          <w:sz w:val="17"/>
          <w:szCs w:val="17"/>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attached hereto.</w:t>
      </w:r>
    </w:p>
    <w:p>
      <w:pPr>
        <w:spacing w:after="0" w:line="18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Form 10-K,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65"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evaluation of our disclosure controls and procedures included a review of the controls’ objectives and design, our implementation of the controls and their effect on the information generated for use in this Annual Report on Form 10-K. This type of evaluation will be performed on a quarterly basis so that the conclusions of management, including the Chief Executive Officer and Chief Financial Officer, concerning the effectiveness of the disclosure controls and procedures can be reported in our periodic reports on Form 10-Q and Form 10-K. The overall goals of these various evaluation activities are to monitor our disclosure controls and procedures, and to modify them as necessary. Our intent is to maintain the disclosure controls and procedures as dynamic systems that change as conditions warrant.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Based on the controls evaluation, our Chief Executive Officer and Chief Financial Officer have concluded that, as of the end of the period covered by this Form 10-K,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related to our company and our consolidated subsidiaries are made known to management, including the Chief Executive Officer and Chief Financial Officer, particularly during the period when our periodic reports are being prepared.</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receipts and expenditures of our company are being made only in accordance with authorizations of management and our directors; and (iii) provide reasonable assurance regarding prevention or timely detection of unauthorized acquisition, use or disposition of our assets that could have a material effect on our financial statements.</w:t>
      </w:r>
    </w:p>
    <w:p>
      <w:pPr>
        <w:spacing w:after="0" w:line="154"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Management assessed our internal control over financial reporting as of December 31, 2021, the end of our fiscal year. Management based its assessment on criteria established in Internal Control—Integrated Framework (2013) issued by the Committee of Sponsoring Organizations of the Treadway Commission (COSO). Management’s assessment included evaluation of elements such as the design and operating effectiveness of key financial reporting controls, process documentation, accounting policies and our overall control environment.</w:t>
      </w:r>
    </w:p>
    <w:p>
      <w:pPr>
        <w:spacing w:after="0" w:line="15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 We reviewed the results of management’s assessment with the Audit Committee of our Board of Directors.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89"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0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2021 that have materially affected, or that are reasonably likely to materially affect, our internal control over financial reporting.</w:t>
      </w:r>
    </w:p>
    <w:p>
      <w:pPr>
        <w:spacing w:after="0" w:line="13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On March 31, 2022, Einat Brill Almon, Ph.D., having reached retirement age, retired from her position as our Sr. Vice President &amp; Chief Development Officer. Dr. Almon will continue her service to our company on a consultancy basis, taking a facilitating role in the continued progress of our clinical development program, as well as assisting in the identification of her replacement.</w:t>
      </w:r>
    </w:p>
    <w:p>
      <w:pPr>
        <w:spacing w:after="0" w:line="149"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information in our 2022 Proxy Statement regarding directors and executive officers appearing under the headings “Security Ownership of Certain Beneficial Owners and Management — Section 16(a) Beneficial Ownership Reporting Compliance” and “Election of Directors” is incorporated by reference in this section.</w:t>
      </w:r>
    </w:p>
    <w:p>
      <w:pPr>
        <w:spacing w:after="0" w:line="172"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information appearing in our 2022 Proxy Statement under the headings “Director Compensation,” “Compensation Discussion and Analysis,” “Report of the Compensation Committee,” and “Executive Compensation” is incorporated by reference in this section.</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8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2022 Proxy Statement under the heading “Security Ownership of Certain Beneficial Owners and Management” is incorporated by reference in this section.</w:t>
      </w:r>
    </w:p>
    <w:p>
      <w:pPr>
        <w:spacing w:after="0" w:line="13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2" w:lineRule="exact"/>
        <w:rPr>
          <w:sz w:val="20"/>
          <w:szCs w:val="20"/>
          <w:color w:val="auto"/>
        </w:rPr>
      </w:pPr>
    </w:p>
    <w:p>
      <w:pPr>
        <w:ind w:left="60" w:right="779"/>
        <w:spacing w:after="0" w:line="312" w:lineRule="auto"/>
        <w:rPr>
          <w:sz w:val="20"/>
          <w:szCs w:val="20"/>
          <w:color w:val="auto"/>
        </w:rPr>
      </w:pPr>
      <w:r>
        <w:rPr>
          <w:rFonts w:ascii="Times New Roman" w:cs="Times New Roman" w:eastAsia="Times New Roman" w:hAnsi="Times New Roman"/>
          <w:sz w:val="17"/>
          <w:szCs w:val="17"/>
          <w:color w:val="auto"/>
        </w:rPr>
        <w:t>The information appearing in our 2022 Proxy Statement under the headings “Election of Directors—Corporate Governance” and “—Certain Relationships and Related Transactions” is incorporated by reference in this section.</w:t>
      </w:r>
    </w:p>
    <w:p>
      <w:pPr>
        <w:spacing w:after="0" w:line="9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ind w:left="60" w:right="519"/>
        <w:spacing w:after="0" w:line="282" w:lineRule="auto"/>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auto"/>
          </w:rPr>
          <w:t xml:space="preserve">Our independent registered public accounting firm is </w:t>
        </w:r>
        <w:r>
          <w:rPr>
            <w:rFonts w:ascii="Times New Roman" w:cs="Times New Roman" w:eastAsia="Times New Roman" w:hAnsi="Times New Roman"/>
            <w:sz w:val="18"/>
            <w:szCs w:val="18"/>
            <w:u w:val="single" w:color="auto"/>
            <w:color w:val="0000EE"/>
          </w:rPr>
          <w:t>Kesselman &amp; Kesselman, Certified Public Accountants (Isr.), A</w:t>
        </w:r>
      </w:hyperlink>
      <w:r>
        <w:rPr>
          <w:rFonts w:ascii="Times New Roman" w:cs="Times New Roman" w:eastAsia="Times New Roman" w:hAnsi="Times New Roman"/>
          <w:sz w:val="18"/>
          <w:szCs w:val="18"/>
          <w:color w:val="auto"/>
        </w:rPr>
        <w:t xml:space="preserve"> </w:t>
      </w:r>
      <w:hyperlink w:anchor="page119">
        <w:r>
          <w:rPr>
            <w:rFonts w:ascii="Times New Roman" w:cs="Times New Roman" w:eastAsia="Times New Roman" w:hAnsi="Times New Roman"/>
            <w:sz w:val="18"/>
            <w:szCs w:val="18"/>
            <w:u w:val="single" w:color="auto"/>
            <w:color w:val="0000EE"/>
          </w:rPr>
          <w:t>member of PricewaterhouseCoopers International Limited,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Tel Aviv, Israel, PCAOB ID. No. 1309.</w:t>
        </w:r>
      </w:hyperlink>
    </w:p>
    <w:p>
      <w:pPr>
        <w:spacing w:after="0" w:line="13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information appearing in our 2022 Proxy Statement under the heading “Ratification of Appointment of Independent Registered Public Accounting Firm” is incorporated by reference in this section.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83" w:lineRule="exact"/>
        <w:rPr>
          <w:sz w:val="20"/>
          <w:szCs w:val="20"/>
          <w:color w:val="auto"/>
        </w:rPr>
      </w:pPr>
    </w:p>
    <w:p>
      <w:pPr>
        <w:ind w:left="60" w:right="279" w:firstLine="638"/>
        <w:spacing w:after="0" w:line="284" w:lineRule="auto"/>
        <w:tabs>
          <w:tab w:leader="none" w:pos="8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Consolidated Financial Statements of Protalix BioTherapeutics, Inc.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Item 8 of this Annual Report on Form 10-K:</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Borders>
              <w:top w:val="single" w:sz="8" w:color="CCEEFF"/>
            </w:tcBorders>
            <w:gridSpan w:val="9"/>
            <w:shd w:val="clear" w:color="auto" w:fill="CCEEFF"/>
          </w:tcPr>
          <w:p>
            <w:pPr>
              <w:spacing w:after="0" w:line="15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 xml:space="preserve">Report of Independent Registered Public Accounting Firm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name: Kesselman &amp; Kesselman C.P.A.s and</w:t>
            </w: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4200" w:type="dxa"/>
            <w:vAlign w:val="bottom"/>
            <w:tcBorders>
              <w:top w:val="single" w:sz="8" w:color="0000EE"/>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PCAOB ID: 1309)</w:t>
            </w:r>
          </w:p>
        </w:tc>
        <w:tc>
          <w:tcPr>
            <w:tcW w:w="4060" w:type="dxa"/>
            <w:vAlign w:val="bottom"/>
            <w:tcBorders>
              <w:top w:val="single" w:sz="8" w:color="CCEEFF"/>
            </w:tcBorders>
            <w:gridSpan w:val="5"/>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9"/>
          </w:tcPr>
          <w:p>
            <w:pPr>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Balance Sheets as of December 31, 2020 and 2021</w:t>
              </w:r>
            </w:hyperlink>
          </w:p>
        </w:tc>
        <w:tc>
          <w:tcPr>
            <w:tcW w:w="140" w:type="dxa"/>
            <w:vAlign w:val="bottom"/>
          </w:tcPr>
          <w:p>
            <w:pPr>
              <w:spacing w:after="0"/>
              <w:rPr>
                <w:sz w:val="15"/>
                <w:szCs w:val="15"/>
                <w:color w:val="auto"/>
              </w:rPr>
            </w:pPr>
          </w:p>
        </w:tc>
        <w:tc>
          <w:tcPr>
            <w:tcW w:w="4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Operations for the years ended December 31, 2019, 2020 and 2021</w:t>
              </w:r>
            </w:hyperlink>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9"/>
          </w:tcPr>
          <w:p>
            <w:pPr>
              <w:spacing w:after="0" w:line="17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Consolidated Statements of Changes in Capital Deficiency for the years ended December 31, 2019, 2020 and</w:t>
              </w:r>
            </w:hyperlink>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4"/>
          </w:tcPr>
          <w:p>
            <w:pPr>
              <w:ind w:left="120"/>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2021</w:t>
              </w:r>
            </w:hyperlink>
          </w:p>
        </w:tc>
        <w:tc>
          <w:tcPr>
            <w:tcW w:w="10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6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Statements of Cash Flows for the years ended December 31, 2019, 2020 and 2021</w:t>
              </w:r>
            </w:hyperlink>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688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Notes to Consolidated Financial Statements</w:t>
              </w:r>
            </w:hyperlink>
          </w:p>
        </w:tc>
        <w:tc>
          <w:tcPr>
            <w:tcW w:w="138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239" w:firstLine="638"/>
        <w:spacing w:after="0" w:line="315" w:lineRule="auto"/>
        <w:tabs>
          <w:tab w:leader="none" w:pos="88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 Schedule. </w:t>
      </w:r>
      <w:r>
        <w:rPr>
          <w:rFonts w:ascii="Times New Roman" w:cs="Times New Roman" w:eastAsia="Times New Roman" w:hAnsi="Times New Roman"/>
          <w:sz w:val="17"/>
          <w:szCs w:val="17"/>
          <w:color w:val="auto"/>
        </w:rPr>
        <w:t>Financial statement schedules have been omitted since they are either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are not applicable or the required information is shown in the consolidated financial statements or related notes.</w:t>
      </w:r>
    </w:p>
    <w:p>
      <w:pPr>
        <w:spacing w:after="0" w:line="107" w:lineRule="exact"/>
        <w:rPr>
          <w:rFonts w:ascii="Times New Roman" w:cs="Times New Roman" w:eastAsia="Times New Roman" w:hAnsi="Times New Roman"/>
          <w:sz w:val="17"/>
          <w:szCs w:val="17"/>
          <w:color w:val="auto"/>
        </w:rPr>
      </w:pPr>
    </w:p>
    <w:p>
      <w:pPr>
        <w:ind w:left="880" w:hanging="182"/>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00" w:type="dxa"/>
            <w:vAlign w:val="bottom"/>
            <w:gridSpan w:val="1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15"/>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7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3000" w:type="dxa"/>
            <w:vAlign w:val="bottom"/>
            <w:gridSpan w:val="17"/>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At the Market Offering Agreement,</w:t>
              </w:r>
            </w:hyperlink>
          </w:p>
        </w:tc>
        <w:tc>
          <w:tcPr>
            <w:tcW w:w="940" w:type="dxa"/>
            <w:vAlign w:val="bottom"/>
          </w:tcPr>
          <w:p>
            <w:pPr>
              <w:jc w:val="center"/>
              <w:ind w:left="12"/>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14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July 2, 2021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dated July 2, 2021, between the</w:t>
              </w:r>
            </w:hyperlink>
          </w:p>
        </w:tc>
        <w:tc>
          <w:tcPr>
            <w:tcW w:w="280" w:type="dxa"/>
            <w:vAlign w:val="bottom"/>
            <w:tcBorders>
              <w:top w:val="single" w:sz="8" w:color="0000EE"/>
            </w:tcBorders>
            <w:gridSpan w:val="3"/>
          </w:tcPr>
          <w:p>
            <w:pPr>
              <w:spacing w:after="0"/>
              <w:rPr>
                <w:sz w:val="17"/>
                <w:szCs w:val="17"/>
                <w:color w:val="auto"/>
              </w:rPr>
            </w:pPr>
          </w:p>
        </w:tc>
        <w:tc>
          <w:tcPr>
            <w:tcW w:w="44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000" w:type="dxa"/>
            <w:vAlign w:val="bottom"/>
            <w:gridSpan w:val="1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Company and H.C. Wainwright &amp; Co.,</w:t>
              </w:r>
            </w:hyperlink>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LLC</w:t>
              </w:r>
            </w:hyperlink>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Certificate of Incorporation of the</w:t>
              </w:r>
            </w:hyperlink>
          </w:p>
        </w:tc>
        <w:tc>
          <w:tcPr>
            <w:tcW w:w="560" w:type="dxa"/>
            <w:vAlign w:val="bottom"/>
            <w:gridSpan w:val="5"/>
          </w:tcPr>
          <w:p>
            <w:pPr>
              <w:spacing w:after="0"/>
              <w:rPr>
                <w:sz w:val="24"/>
                <w:szCs w:val="24"/>
                <w:color w:val="auto"/>
              </w:rPr>
            </w:pP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000" w:type="dxa"/>
            <w:vAlign w:val="bottom"/>
            <w:gridSpan w:val="1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Company</w:t>
              </w:r>
            </w:hyperlink>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Amendment to Certificate of</w:t>
              </w:r>
            </w:hyperlink>
          </w:p>
        </w:tc>
        <w:tc>
          <w:tcPr>
            <w:tcW w:w="920" w:type="dxa"/>
            <w:vAlign w:val="bottom"/>
            <w:gridSpan w:val="9"/>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 14A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Appen.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Incorporation of the Company</w:t>
              </w:r>
            </w:hyperlink>
          </w:p>
        </w:tc>
        <w:tc>
          <w:tcPr>
            <w:tcW w:w="8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A</w:t>
            </w: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000" w:type="dxa"/>
            <w:vAlign w:val="bottom"/>
            <w:gridSpan w:val="17"/>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Second Amendment to Certificate of</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 14A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Appen.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Incorporation of the Company</w:t>
              </w:r>
            </w:hyperlink>
          </w:p>
        </w:tc>
        <w:tc>
          <w:tcPr>
            <w:tcW w:w="440" w:type="dxa"/>
            <w:vAlign w:val="bottom"/>
            <w:tcBorders>
              <w:top w:val="single" w:sz="8" w:color="0000EE"/>
            </w:tcBorders>
            <w:gridSpan w:val="5"/>
          </w:tcPr>
          <w:p>
            <w:pPr>
              <w:spacing w:after="0"/>
              <w:rPr>
                <w:sz w:val="17"/>
                <w:szCs w:val="17"/>
                <w:color w:val="auto"/>
              </w:rPr>
            </w:pPr>
          </w:p>
        </w:tc>
        <w:tc>
          <w:tcPr>
            <w:tcW w:w="3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A</w:t>
            </w:r>
          </w:p>
        </w:tc>
        <w:tc>
          <w:tcPr>
            <w:tcW w:w="1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2018</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Third Amendment to Certificate of</w:t>
              </w:r>
            </w:hyperlink>
          </w:p>
        </w:tc>
        <w:tc>
          <w:tcPr>
            <w:tcW w:w="480" w:type="dxa"/>
            <w:vAlign w:val="bottom"/>
            <w:gridSpan w:val="4"/>
          </w:tcPr>
          <w:p>
            <w:pPr>
              <w:spacing w:after="0"/>
              <w:rPr>
                <w:sz w:val="24"/>
                <w:szCs w:val="24"/>
                <w:color w:val="auto"/>
              </w:rPr>
            </w:pP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000" w:type="dxa"/>
            <w:vAlign w:val="bottom"/>
            <w:gridSpan w:val="1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Incorporation of the Company</w:t>
              </w:r>
            </w:hyperlink>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218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Bylaws of the Company</w:t>
              </w:r>
            </w:hyperlink>
          </w:p>
        </w:tc>
        <w:tc>
          <w:tcPr>
            <w:tcW w:w="820" w:type="dxa"/>
            <w:vAlign w:val="bottom"/>
            <w:gridSpan w:val="8"/>
          </w:tcPr>
          <w:p>
            <w:pPr>
              <w:spacing w:after="0"/>
              <w:rPr>
                <w:sz w:val="24"/>
                <w:szCs w:val="24"/>
                <w:color w:val="auto"/>
              </w:rPr>
            </w:pP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Form of Restricted Stock</w:t>
              </w:r>
            </w:hyperlink>
          </w:p>
        </w:tc>
        <w:tc>
          <w:tcPr>
            <w:tcW w:w="1180" w:type="dxa"/>
            <w:vAlign w:val="bottom"/>
            <w:gridSpan w:val="11"/>
          </w:tcPr>
          <w:p>
            <w:pPr>
              <w:spacing w:after="0"/>
              <w:rPr>
                <w:sz w:val="24"/>
                <w:szCs w:val="24"/>
                <w:color w:val="auto"/>
              </w:rPr>
            </w:pPr>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18, 2012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Agreement/Notice</w:t>
              </w:r>
            </w:hyperlink>
          </w:p>
        </w:tc>
        <w:tc>
          <w:tcPr>
            <w:tcW w:w="166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Description of Capital Stock</w:t>
              </w:r>
            </w:hyperlink>
          </w:p>
        </w:tc>
        <w:tc>
          <w:tcPr>
            <w:tcW w:w="940" w:type="dxa"/>
            <w:vAlign w:val="bottom"/>
            <w:gridSpan w:val="10"/>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000" w:type="dxa"/>
            <w:vAlign w:val="bottom"/>
            <w:gridSpan w:val="17"/>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Warrant</w:t>
              </w:r>
            </w:hyperlink>
          </w:p>
        </w:tc>
        <w:tc>
          <w:tcPr>
            <w:tcW w:w="9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001-33357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Form of Stock Option Agreement</w:t>
              </w:r>
            </w:hyperlink>
          </w:p>
        </w:tc>
        <w:tc>
          <w:tcPr>
            <w:tcW w:w="540" w:type="dxa"/>
            <w:vAlign w:val="bottom"/>
            <w:gridSpan w:val="16"/>
          </w:tcPr>
          <w:p>
            <w:pPr>
              <w:spacing w:after="0"/>
              <w:rPr>
                <w:sz w:val="17"/>
                <w:szCs w:val="17"/>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196"/>
        </w:trPr>
        <w:tc>
          <w:tcPr>
            <w:tcW w:w="90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(Executives)</w:t>
              </w:r>
            </w:hyperlink>
          </w:p>
        </w:tc>
        <w:tc>
          <w:tcPr>
            <w:tcW w:w="2060" w:type="dxa"/>
            <w:vAlign w:val="bottom"/>
            <w:gridSpan w:val="27"/>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4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Stock Option Agreement</w:t>
              </w:r>
            </w:hyperlink>
          </w:p>
        </w:tc>
        <w:tc>
          <w:tcPr>
            <w:tcW w:w="540" w:type="dxa"/>
            <w:vAlign w:val="bottom"/>
            <w:gridSpan w:val="16"/>
          </w:tcPr>
          <w:p>
            <w:pPr>
              <w:spacing w:after="0"/>
              <w:rPr>
                <w:sz w:val="24"/>
                <w:szCs w:val="24"/>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(Standard)</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2980" w:type="dxa"/>
            <w:vAlign w:val="bottom"/>
            <w:gridSpan w:val="29"/>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Indenture, dated as of August 24, 2021,</w:t>
              </w:r>
            </w:hyperlink>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August 26, 2021</w:t>
            </w:r>
          </w:p>
        </w:tc>
      </w:tr>
      <w:tr>
        <w:trPr>
          <w:trHeight w:val="20"/>
        </w:trPr>
        <w:tc>
          <w:tcPr>
            <w:tcW w:w="9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7"/>
              </w:rPr>
            </w:pPr>
            <w:hyperlink r:id="rId103">
              <w:r>
                <w:rPr>
                  <w:rFonts w:ascii="Times New Roman" w:cs="Times New Roman" w:eastAsia="Times New Roman" w:hAnsi="Times New Roman"/>
                  <w:sz w:val="18"/>
                  <w:szCs w:val="18"/>
                  <w:color w:val="0000EE"/>
                  <w:w w:val="97"/>
                </w:rPr>
                <w:t>between Protalix BioTherapeutics, Inc.,</w:t>
              </w:r>
            </w:hyperlink>
          </w:p>
        </w:tc>
        <w:tc>
          <w:tcPr>
            <w:tcW w:w="14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9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the guarantors party thereto, The Bank of</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9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New York Mellon Trust Company, N.A.,</w:t>
              </w:r>
            </w:hyperlink>
          </w:p>
        </w:tc>
        <w:tc>
          <w:tcPr>
            <w:tcW w:w="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as trustee and Wilmington Savings Fund</w:t>
              </w:r>
            </w:hyperlink>
          </w:p>
        </w:tc>
        <w:tc>
          <w:tcPr>
            <w:tcW w:w="6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Society, FSB, as collateral agent</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26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Exchange Note (2024)</w:t>
              </w:r>
            </w:hyperlink>
          </w:p>
        </w:tc>
        <w:tc>
          <w:tcPr>
            <w:tcW w:w="60" w:type="dxa"/>
            <w:vAlign w:val="bottom"/>
            <w:tcBorders>
              <w:top w:val="single" w:sz="8" w:color="0000EE"/>
            </w:tcBorders>
          </w:tcPr>
          <w:p>
            <w:pPr>
              <w:spacing w:after="0"/>
              <w:rPr>
                <w:sz w:val="24"/>
                <w:szCs w:val="24"/>
                <w:color w:val="auto"/>
              </w:rPr>
            </w:pPr>
          </w:p>
        </w:tc>
        <w:tc>
          <w:tcPr>
            <w:tcW w:w="660" w:type="dxa"/>
            <w:vAlign w:val="bottom"/>
            <w:gridSpan w:val="19"/>
          </w:tcPr>
          <w:p>
            <w:pPr>
              <w:spacing w:after="0"/>
              <w:rPr>
                <w:sz w:val="24"/>
                <w:szCs w:val="24"/>
                <w:color w:val="auto"/>
              </w:rPr>
            </w:pPr>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August 26, 2021</w:t>
            </w: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980" w:type="dxa"/>
            <w:vAlign w:val="bottom"/>
            <w:gridSpan w:val="29"/>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Lease Agreement between Protalix Ltd.</w:t>
              </w:r>
            </w:hyperlink>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January 8, 2007</w:t>
            </w:r>
          </w:p>
        </w:tc>
      </w:tr>
      <w:tr>
        <w:trPr>
          <w:trHeight w:val="20"/>
        </w:trPr>
        <w:tc>
          <w:tcPr>
            <w:tcW w:w="9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and Angel Science Park (99) Ltd., dated</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as of October 28, 2003 as amended on</w:t>
              </w:r>
            </w:hyperlink>
          </w:p>
        </w:tc>
        <w:tc>
          <w:tcPr>
            <w:tcW w:w="120" w:type="dxa"/>
            <w:vAlign w:val="bottom"/>
            <w:tcBorders>
              <w:top w:val="single" w:sz="8" w:color="0000EE"/>
            </w:tcBorders>
            <w:gridSpan w:val="3"/>
          </w:tcPr>
          <w:p>
            <w:pPr>
              <w:spacing w:after="0"/>
              <w:rPr>
                <w:sz w:val="17"/>
                <w:szCs w:val="17"/>
                <w:color w:val="auto"/>
              </w:rPr>
            </w:pPr>
          </w:p>
        </w:tc>
        <w:tc>
          <w:tcPr>
            <w:tcW w:w="1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April 18, 2005</w:t>
              </w:r>
            </w:hyperlink>
          </w:p>
        </w:tc>
        <w:tc>
          <w:tcPr>
            <w:tcW w:w="1920" w:type="dxa"/>
            <w:vAlign w:val="bottom"/>
            <w:gridSpan w:val="25"/>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Unprotected Lease Agreement</w:t>
              </w:r>
            </w:hyperlink>
          </w:p>
        </w:tc>
        <w:tc>
          <w:tcPr>
            <w:tcW w:w="780" w:type="dxa"/>
            <w:vAlign w:val="bottom"/>
            <w:gridSpan w:val="21"/>
          </w:tcPr>
          <w:p>
            <w:pPr>
              <w:spacing w:after="0"/>
              <w:rPr>
                <w:sz w:val="24"/>
                <w:szCs w:val="24"/>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March 17, 2008</w:t>
            </w: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Amended and Restated Agreement</w:t>
              </w:r>
            </w:hyperlink>
          </w:p>
        </w:tc>
        <w:tc>
          <w:tcPr>
            <w:tcW w:w="460" w:type="dxa"/>
            <w:vAlign w:val="bottom"/>
            <w:gridSpan w:val="15"/>
          </w:tcPr>
          <w:p>
            <w:pPr>
              <w:spacing w:after="0"/>
              <w:rPr>
                <w:sz w:val="24"/>
                <w:szCs w:val="24"/>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196"/>
        </w:trPr>
        <w:tc>
          <w:tcPr>
            <w:tcW w:w="900" w:type="dxa"/>
            <w:vAlign w:val="bottom"/>
          </w:tcPr>
          <w:p>
            <w:pPr>
              <w:spacing w:after="0"/>
              <w:rPr>
                <w:sz w:val="17"/>
                <w:szCs w:val="17"/>
                <w:color w:val="auto"/>
              </w:rPr>
            </w:pPr>
          </w:p>
        </w:tc>
        <w:tc>
          <w:tcPr>
            <w:tcW w:w="27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between Protalix Ltd. and Comercio e</w:t>
              </w:r>
            </w:hyperlink>
          </w:p>
        </w:tc>
        <w:tc>
          <w:tcPr>
            <w:tcW w:w="24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Serviços Ltda. dated June 17, 2013</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3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Technology Transfer and Supply</w:t>
              </w:r>
            </w:hyperlink>
          </w:p>
        </w:tc>
        <w:tc>
          <w:tcPr>
            <w:tcW w:w="160" w:type="dxa"/>
            <w:vAlign w:val="bottom"/>
            <w:tcBorders>
              <w:top w:val="single" w:sz="8" w:color="0000EE"/>
            </w:tcBorders>
            <w:gridSpan w:val="3"/>
          </w:tcPr>
          <w:p>
            <w:pPr>
              <w:spacing w:after="0"/>
              <w:rPr>
                <w:sz w:val="24"/>
                <w:szCs w:val="24"/>
                <w:color w:val="auto"/>
              </w:rPr>
            </w:pPr>
          </w:p>
        </w:tc>
        <w:tc>
          <w:tcPr>
            <w:tcW w:w="460" w:type="dxa"/>
            <w:vAlign w:val="bottom"/>
            <w:gridSpan w:val="15"/>
          </w:tcPr>
          <w:p>
            <w:pPr>
              <w:spacing w:after="0"/>
              <w:rPr>
                <w:sz w:val="24"/>
                <w:szCs w:val="24"/>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196"/>
        </w:trPr>
        <w:tc>
          <w:tcPr>
            <w:tcW w:w="90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Agreement made as of June 18, 2013 by</w:t>
              </w:r>
            </w:hyperlink>
          </w:p>
        </w:tc>
        <w:tc>
          <w:tcPr>
            <w:tcW w:w="8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and between Protalix Ltd. and Fundação</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Oswaldo Cruz</w:t>
              </w:r>
            </w:hyperlink>
          </w:p>
        </w:tc>
        <w:tc>
          <w:tcPr>
            <w:tcW w:w="1860" w:type="dxa"/>
            <w:vAlign w:val="bottom"/>
            <w:tcBorders>
              <w:top w:val="single" w:sz="8" w:color="0000EE"/>
            </w:tcBorders>
            <w:gridSpan w:val="22"/>
          </w:tcPr>
          <w:p>
            <w:pPr>
              <w:spacing w:after="0"/>
              <w:rPr>
                <w:sz w:val="17"/>
                <w:szCs w:val="17"/>
                <w:color w:val="auto"/>
              </w:rPr>
            </w:pPr>
          </w:p>
        </w:tc>
        <w:tc>
          <w:tcPr>
            <w:tcW w:w="8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Binding Term Sheet between Protalix</w:t>
              </w:r>
            </w:hyperlink>
          </w:p>
        </w:tc>
        <w:tc>
          <w:tcPr>
            <w:tcW w:w="260" w:type="dxa"/>
            <w:vAlign w:val="bottom"/>
            <w:gridSpan w:val="10"/>
          </w:tcPr>
          <w:p>
            <w:pPr>
              <w:spacing w:after="0"/>
              <w:rPr>
                <w:sz w:val="24"/>
                <w:szCs w:val="24"/>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May 14, 2021</w:t>
            </w: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Ltd. and Chiesi Farmaceutici S.p.A.</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5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Amended and Restated Exclusive</w:t>
              </w:r>
            </w:hyperlink>
          </w:p>
        </w:tc>
        <w:tc>
          <w:tcPr>
            <w:tcW w:w="400" w:type="dxa"/>
            <w:vAlign w:val="bottom"/>
            <w:gridSpan w:val="13"/>
          </w:tcPr>
          <w:p>
            <w:pPr>
              <w:spacing w:after="0"/>
              <w:rPr>
                <w:sz w:val="24"/>
                <w:szCs w:val="24"/>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10-Q/A</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December 11,</w:t>
            </w:r>
          </w:p>
        </w:tc>
      </w:tr>
      <w:tr>
        <w:trPr>
          <w:trHeight w:val="20"/>
        </w:trPr>
        <w:tc>
          <w:tcPr>
            <w:tcW w:w="90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License and Supply Agreement by and</w:t>
              </w:r>
            </w:hyperlink>
          </w:p>
        </w:tc>
        <w:tc>
          <w:tcPr>
            <w:tcW w:w="18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jc w:val="center"/>
              <w:ind w:right="670"/>
              <w:spacing w:after="0" w:line="196" w:lineRule="exact"/>
              <w:rPr>
                <w:sz w:val="20"/>
                <w:szCs w:val="20"/>
                <w:color w:val="auto"/>
              </w:rPr>
            </w:pPr>
            <w:r>
              <w:rPr>
                <w:rFonts w:ascii="Times New Roman" w:cs="Times New Roman" w:eastAsia="Times New Roman" w:hAnsi="Times New Roman"/>
                <w:sz w:val="18"/>
                <w:szCs w:val="18"/>
                <w:color w:val="auto"/>
                <w:w w:val="99"/>
              </w:rPr>
              <w:t>2015</w:t>
            </w:r>
          </w:p>
        </w:tc>
      </w:tr>
      <w:tr>
        <w:trPr>
          <w:trHeight w:val="196"/>
        </w:trPr>
        <w:tc>
          <w:tcPr>
            <w:tcW w:w="900" w:type="dxa"/>
            <w:vAlign w:val="bottom"/>
          </w:tcPr>
          <w:p>
            <w:pPr>
              <w:spacing w:after="0"/>
              <w:rPr>
                <w:sz w:val="17"/>
                <w:szCs w:val="17"/>
                <w:color w:val="auto"/>
              </w:rPr>
            </w:pPr>
          </w:p>
        </w:tc>
        <w:tc>
          <w:tcPr>
            <w:tcW w:w="27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between Pfizer Inc. and Protalix Ltd.,</w:t>
              </w:r>
            </w:hyperlink>
          </w:p>
        </w:tc>
        <w:tc>
          <w:tcPr>
            <w:tcW w:w="28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dated October 12, 2015</w:t>
              </w:r>
            </w:hyperlink>
          </w:p>
        </w:tc>
        <w:tc>
          <w:tcPr>
            <w:tcW w:w="1280" w:type="dxa"/>
            <w:vAlign w:val="bottom"/>
            <w:gridSpan w:val="24"/>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1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Exclusive License and Supply</w:t>
              </w:r>
            </w:hyperlink>
          </w:p>
        </w:tc>
        <w:tc>
          <w:tcPr>
            <w:tcW w:w="800" w:type="dxa"/>
            <w:vAlign w:val="bottom"/>
            <w:gridSpan w:val="22"/>
          </w:tcPr>
          <w:p>
            <w:pPr>
              <w:spacing w:after="0"/>
              <w:rPr>
                <w:sz w:val="24"/>
                <w:szCs w:val="24"/>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2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March 6, 2018</w:t>
            </w: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Agreement dated as of October 17, 2017,</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96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made by and between Protalix Ltd. and</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8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Chiesi Farmaceutici S.p.A.</w:t>
              </w:r>
            </w:hyperlink>
          </w:p>
        </w:tc>
        <w:tc>
          <w:tcPr>
            <w:tcW w:w="14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940" w:type="dxa"/>
            <w:vAlign w:val="bottom"/>
            <w:gridSpan w:val="6"/>
            <w:shd w:val="clear" w:color="auto" w:fill="0000EE"/>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Exclusive U.S. License and Supply</w:t>
              </w:r>
            </w:hyperlink>
          </w:p>
        </w:tc>
        <w:tc>
          <w:tcPr>
            <w:tcW w:w="440" w:type="dxa"/>
            <w:vAlign w:val="bottom"/>
            <w:gridSpan w:val="14"/>
          </w:tcPr>
          <w:p>
            <w:pPr>
              <w:spacing w:after="0"/>
              <w:rPr>
                <w:sz w:val="24"/>
                <w:szCs w:val="24"/>
                <w:color w:val="auto"/>
              </w:rPr>
            </w:pP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001-33357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November 7,</w:t>
            </w: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Agreement dated as of July 23, 2018,</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jc w:val="center"/>
              <w:ind w:right="670"/>
              <w:spacing w:after="0" w:line="196" w:lineRule="exact"/>
              <w:rPr>
                <w:sz w:val="20"/>
                <w:szCs w:val="20"/>
                <w:color w:val="auto"/>
              </w:rPr>
            </w:pPr>
            <w:r>
              <w:rPr>
                <w:rFonts w:ascii="Times New Roman" w:cs="Times New Roman" w:eastAsia="Times New Roman" w:hAnsi="Times New Roman"/>
                <w:sz w:val="18"/>
                <w:szCs w:val="18"/>
                <w:color w:val="auto"/>
                <w:w w:val="99"/>
              </w:rPr>
              <w:t>2018</w:t>
            </w:r>
          </w:p>
        </w:tc>
      </w:tr>
      <w:tr>
        <w:trPr>
          <w:trHeight w:val="20"/>
        </w:trPr>
        <w:tc>
          <w:tcPr>
            <w:tcW w:w="900" w:type="dxa"/>
            <w:vAlign w:val="bottom"/>
          </w:tcPr>
          <w:p>
            <w:pPr>
              <w:spacing w:after="0" w:line="20" w:lineRule="exact"/>
              <w:rPr>
                <w:sz w:val="1"/>
                <w:szCs w:val="1"/>
                <w:color w:val="auto"/>
              </w:rPr>
            </w:pPr>
          </w:p>
        </w:tc>
        <w:tc>
          <w:tcPr>
            <w:tcW w:w="1940" w:type="dxa"/>
            <w:vAlign w:val="bottom"/>
            <w:gridSpan w:val="6"/>
            <w:shd w:val="clear" w:color="auto" w:fill="0000EE"/>
          </w:tcPr>
          <w:p>
            <w:pPr>
              <w:spacing w:after="0" w:line="20" w:lineRule="exact"/>
              <w:rPr>
                <w:sz w:val="1"/>
                <w:szCs w:val="1"/>
                <w:color w:val="auto"/>
              </w:rPr>
            </w:pPr>
          </w:p>
        </w:tc>
        <w:tc>
          <w:tcPr>
            <w:tcW w:w="740" w:type="dxa"/>
            <w:vAlign w:val="bottom"/>
            <w:gridSpan w:val="11"/>
            <w:shd w:val="clear" w:color="auto" w:fill="0000EE"/>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980" w:type="dxa"/>
            <w:vAlign w:val="bottom"/>
            <w:gridSpan w:val="2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made by and between Protalix Ltd. and</w:t>
              </w:r>
            </w:hyperlink>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8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Chiesi Farmaceutici S.p.A.</w:t>
              </w:r>
            </w:hyperlink>
          </w:p>
        </w:tc>
        <w:tc>
          <w:tcPr>
            <w:tcW w:w="14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884"/>
        </w:trPr>
        <w:tc>
          <w:tcPr>
            <w:tcW w:w="90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561"/>
        </w:trPr>
        <w:tc>
          <w:tcPr>
            <w:tcW w:w="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Employment Agreement made effective</w:t>
              </w:r>
            </w:hyperlink>
          </w:p>
        </w:tc>
        <w:tc>
          <w:tcPr>
            <w:tcW w:w="240" w:type="dxa"/>
            <w:vAlign w:val="bottom"/>
            <w:gridSpan w:val="3"/>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May 21, 2019</w:t>
            </w:r>
          </w:p>
        </w:tc>
      </w:tr>
      <w:tr>
        <w:trPr>
          <w:trHeight w:val="196"/>
        </w:trPr>
        <w:tc>
          <w:tcPr>
            <w:tcW w:w="880" w:type="dxa"/>
            <w:vAlign w:val="bottom"/>
          </w:tcPr>
          <w:p>
            <w:pPr>
              <w:spacing w:after="0"/>
              <w:rPr>
                <w:sz w:val="17"/>
                <w:szCs w:val="17"/>
                <w:color w:val="auto"/>
              </w:rPr>
            </w:pPr>
          </w:p>
        </w:tc>
        <w:tc>
          <w:tcPr>
            <w:tcW w:w="2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as of May 20, 2019, by and between</w:t>
              </w:r>
            </w:hyperlink>
          </w:p>
        </w:tc>
        <w:tc>
          <w:tcPr>
            <w:tcW w:w="52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Protalix Ltd. and Mr. Dror Bashan</w:t>
              </w:r>
            </w:hyperlink>
          </w:p>
        </w:tc>
        <w:tc>
          <w:tcPr>
            <w:tcW w:w="660" w:type="dxa"/>
            <w:vAlign w:val="bottom"/>
            <w:gridSpan w:val="19"/>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Employment Agreement made effective</w:t>
              </w:r>
            </w:hyperlink>
          </w:p>
        </w:tc>
        <w:tc>
          <w:tcPr>
            <w:tcW w:w="240" w:type="dxa"/>
            <w:vAlign w:val="bottom"/>
            <w:gridSpan w:val="3"/>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July 29, 2019</w:t>
            </w:r>
          </w:p>
        </w:tc>
      </w:tr>
      <w:tr>
        <w:trPr>
          <w:trHeight w:val="196"/>
        </w:trPr>
        <w:tc>
          <w:tcPr>
            <w:tcW w:w="880" w:type="dxa"/>
            <w:vAlign w:val="bottom"/>
          </w:tcPr>
          <w:p>
            <w:pPr>
              <w:spacing w:after="0"/>
              <w:rPr>
                <w:sz w:val="17"/>
                <w:szCs w:val="17"/>
                <w:color w:val="auto"/>
              </w:rPr>
            </w:pPr>
          </w:p>
        </w:tc>
        <w:tc>
          <w:tcPr>
            <w:tcW w:w="3140" w:type="dxa"/>
            <w:vAlign w:val="bottom"/>
            <w:gridSpan w:val="30"/>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as of July 28, 2019, by and between</w:t>
              </w:r>
            </w:hyperlink>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Protalix Ltd. and Mr. Eyal Rubin</w:t>
              </w:r>
            </w:hyperlink>
          </w:p>
        </w:tc>
        <w:tc>
          <w:tcPr>
            <w:tcW w:w="180" w:type="dxa"/>
            <w:vAlign w:val="bottom"/>
            <w:tcBorders>
              <w:top w:val="single" w:sz="8" w:color="0000EE"/>
            </w:tcBorders>
            <w:gridSpan w:val="7"/>
          </w:tcPr>
          <w:p>
            <w:pPr>
              <w:spacing w:after="0"/>
              <w:rPr>
                <w:sz w:val="17"/>
                <w:szCs w:val="17"/>
                <w:color w:val="auto"/>
              </w:rPr>
            </w:pPr>
          </w:p>
        </w:tc>
        <w:tc>
          <w:tcPr>
            <w:tcW w:w="56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8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Securities Purchase Agreement</w:t>
              </w:r>
            </w:hyperlink>
          </w:p>
        </w:tc>
        <w:tc>
          <w:tcPr>
            <w:tcW w:w="260" w:type="dxa"/>
            <w:vAlign w:val="bottom"/>
            <w:gridSpan w:val="4"/>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12, 2020</w:t>
            </w: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140" w:type="dxa"/>
            <w:vAlign w:val="bottom"/>
            <w:gridSpan w:val="30"/>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Amended and Restated Pro</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4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BioTherapeutics, Inc. 2006 Stock</w:t>
              </w:r>
            </w:hyperlink>
          </w:p>
        </w:tc>
        <w:tc>
          <w:tcPr>
            <w:tcW w:w="720" w:type="dxa"/>
            <w:vAlign w:val="bottom"/>
            <w:gridSpan w:val="20"/>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Incentive Plan</w:t>
              </w:r>
            </w:hyperlink>
          </w:p>
        </w:tc>
        <w:tc>
          <w:tcPr>
            <w:tcW w:w="2100" w:type="dxa"/>
            <w:vAlign w:val="bottom"/>
            <w:gridSpan w:val="26"/>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Employment Agreement with Yael</w:t>
              </w:r>
            </w:hyperlink>
          </w:p>
        </w:tc>
        <w:tc>
          <w:tcPr>
            <w:tcW w:w="620" w:type="dxa"/>
            <w:vAlign w:val="bottom"/>
            <w:gridSpan w:val="17"/>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June 8, 2020</w:t>
            </w:r>
          </w:p>
        </w:tc>
      </w:tr>
      <w:tr>
        <w:trPr>
          <w:trHeight w:val="196"/>
        </w:trPr>
        <w:tc>
          <w:tcPr>
            <w:tcW w:w="880" w:type="dxa"/>
            <w:vAlign w:val="bottom"/>
          </w:tcPr>
          <w:p>
            <w:pPr>
              <w:spacing w:after="0"/>
              <w:rPr>
                <w:sz w:val="17"/>
                <w:szCs w:val="17"/>
                <w:color w:val="auto"/>
              </w:rPr>
            </w:pPr>
          </w:p>
        </w:tc>
        <w:tc>
          <w:tcPr>
            <w:tcW w:w="2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Hayon, Ph.D. dated June 7, 2020</w:t>
              </w:r>
            </w:hyperlink>
          </w:p>
        </w:tc>
        <w:tc>
          <w:tcPr>
            <w:tcW w:w="760" w:type="dxa"/>
            <w:vAlign w:val="bottom"/>
            <w:gridSpan w:val="22"/>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140" w:type="dxa"/>
            <w:vAlign w:val="bottom"/>
            <w:gridSpan w:val="30"/>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Amended and Restated Employment</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June 8, 2020</w:t>
            </w:r>
          </w:p>
        </w:tc>
      </w:tr>
      <w:tr>
        <w:trPr>
          <w:trHeight w:val="196"/>
        </w:trPr>
        <w:tc>
          <w:tcPr>
            <w:tcW w:w="88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Agreement with Einat Brill Almon,</w:t>
              </w:r>
            </w:hyperlink>
          </w:p>
        </w:tc>
        <w:tc>
          <w:tcPr>
            <w:tcW w:w="80" w:type="dxa"/>
            <w:vAlign w:val="bottom"/>
            <w:tcBorders>
              <w:top w:val="single" w:sz="8" w:color="0000EE"/>
            </w:tcBorders>
            <w:gridSpan w:val="3"/>
          </w:tcPr>
          <w:p>
            <w:pPr>
              <w:spacing w:after="0"/>
              <w:rPr>
                <w:sz w:val="17"/>
                <w:szCs w:val="17"/>
                <w:color w:val="auto"/>
              </w:rPr>
            </w:pPr>
          </w:p>
        </w:tc>
        <w:tc>
          <w:tcPr>
            <w:tcW w:w="50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Ph.D., dated June 7, 2020</w:t>
              </w:r>
            </w:hyperlink>
          </w:p>
        </w:tc>
        <w:tc>
          <w:tcPr>
            <w:tcW w:w="1280" w:type="dxa"/>
            <w:vAlign w:val="bottom"/>
            <w:gridSpan w:val="25"/>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8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Exchange Agreement, dated as</w:t>
              </w:r>
            </w:hyperlink>
          </w:p>
        </w:tc>
        <w:tc>
          <w:tcPr>
            <w:tcW w:w="280" w:type="dxa"/>
            <w:vAlign w:val="bottom"/>
            <w:gridSpan w:val="5"/>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August 12, 2021</w:t>
            </w:r>
          </w:p>
        </w:tc>
      </w:tr>
      <w:tr>
        <w:trPr>
          <w:trHeight w:val="196"/>
        </w:trPr>
        <w:tc>
          <w:tcPr>
            <w:tcW w:w="880" w:type="dxa"/>
            <w:vAlign w:val="bottom"/>
          </w:tcPr>
          <w:p>
            <w:pPr>
              <w:spacing w:after="0"/>
              <w:rPr>
                <w:sz w:val="17"/>
                <w:szCs w:val="17"/>
                <w:color w:val="auto"/>
              </w:rPr>
            </w:pPr>
          </w:p>
        </w:tc>
        <w:tc>
          <w:tcPr>
            <w:tcW w:w="3140" w:type="dxa"/>
            <w:vAlign w:val="bottom"/>
            <w:gridSpan w:val="30"/>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of August 12, 2021 among Protalix</w:t>
              </w:r>
            </w:hyperlink>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BioTherapeutics, Inc. and the holders</w:t>
              </w:r>
            </w:hyperlink>
          </w:p>
        </w:tc>
        <w:tc>
          <w:tcPr>
            <w:tcW w:w="42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140" w:type="dxa"/>
            <w:vAlign w:val="bottom"/>
            <w:gridSpan w:val="30"/>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named therein</w:t>
              </w:r>
            </w:hyperlink>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6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Amended and Restated U.S. Security</w:t>
              </w:r>
            </w:hyperlink>
          </w:p>
        </w:tc>
        <w:tc>
          <w:tcPr>
            <w:tcW w:w="460" w:type="dxa"/>
            <w:vAlign w:val="bottom"/>
            <w:gridSpan w:val="10"/>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August 26, 2021</w:t>
            </w:r>
          </w:p>
        </w:tc>
      </w:tr>
      <w:tr>
        <w:trPr>
          <w:trHeight w:val="196"/>
        </w:trPr>
        <w:tc>
          <w:tcPr>
            <w:tcW w:w="880" w:type="dxa"/>
            <w:vAlign w:val="bottom"/>
          </w:tcPr>
          <w:p>
            <w:pPr>
              <w:spacing w:after="0"/>
              <w:rPr>
                <w:sz w:val="17"/>
                <w:szCs w:val="17"/>
                <w:color w:val="auto"/>
              </w:rPr>
            </w:pPr>
          </w:p>
        </w:tc>
        <w:tc>
          <w:tcPr>
            <w:tcW w:w="3140" w:type="dxa"/>
            <w:vAlign w:val="bottom"/>
            <w:gridSpan w:val="30"/>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Agreement dated of August 24, 2021</w:t>
              </w:r>
            </w:hyperlink>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140" w:type="dxa"/>
            <w:vAlign w:val="bottom"/>
            <w:gridSpan w:val="30"/>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among Protalix BioTherapeutics, Inc.,</w:t>
              </w:r>
            </w:hyperlink>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9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the guarantors party thereto, Wilmington</w:t>
              </w:r>
            </w:hyperlink>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140" w:type="dxa"/>
            <w:vAlign w:val="bottom"/>
            <w:gridSpan w:val="30"/>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Savings Fund Society, FSB, as collateral</w:t>
              </w:r>
            </w:hyperlink>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agent and The Bank of New York</w:t>
              </w:r>
            </w:hyperlink>
          </w:p>
        </w:tc>
        <w:tc>
          <w:tcPr>
            <w:tcW w:w="22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8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Mellon Trust Company, N.A., as Notes</w:t>
              </w:r>
            </w:hyperlink>
          </w:p>
        </w:tc>
        <w:tc>
          <w:tcPr>
            <w:tcW w:w="32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20">
              <w:r>
                <w:rPr>
                  <w:rFonts w:ascii="Times New Roman" w:cs="Times New Roman" w:eastAsia="Times New Roman" w:hAnsi="Times New Roman"/>
                  <w:sz w:val="18"/>
                  <w:szCs w:val="18"/>
                  <w:color w:val="0000EE"/>
                  <w:w w:val="96"/>
                </w:rPr>
                <w:t>Trustee</w:t>
              </w:r>
            </w:hyperlink>
          </w:p>
        </w:tc>
        <w:tc>
          <w:tcPr>
            <w:tcW w:w="2600" w:type="dxa"/>
            <w:vAlign w:val="bottom"/>
            <w:gridSpan w:val="29"/>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2021 Security Agreement/Debenture,</w:t>
              </w:r>
            </w:hyperlink>
          </w:p>
        </w:tc>
        <w:tc>
          <w:tcPr>
            <w:tcW w:w="440" w:type="dxa"/>
            <w:vAlign w:val="bottom"/>
            <w:gridSpan w:val="9"/>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August 26, 2021</w:t>
            </w:r>
          </w:p>
        </w:tc>
      </w:tr>
      <w:tr>
        <w:trPr>
          <w:trHeight w:val="196"/>
        </w:trPr>
        <w:tc>
          <w:tcPr>
            <w:tcW w:w="880" w:type="dxa"/>
            <w:vAlign w:val="bottom"/>
          </w:tcPr>
          <w:p>
            <w:pPr>
              <w:spacing w:after="0"/>
              <w:rPr>
                <w:sz w:val="17"/>
                <w:szCs w:val="17"/>
                <w:color w:val="auto"/>
              </w:rPr>
            </w:pPr>
          </w:p>
        </w:tc>
        <w:tc>
          <w:tcPr>
            <w:tcW w:w="2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made on August 24, 2021 between</w:t>
              </w:r>
            </w:hyperlink>
          </w:p>
        </w:tc>
        <w:tc>
          <w:tcPr>
            <w:tcW w:w="640" w:type="dxa"/>
            <w:vAlign w:val="bottom"/>
            <w:gridSpan w:val="18"/>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5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Protalix Ltd. and Altshuler Shaham</w:t>
              </w:r>
            </w:hyperlink>
          </w:p>
        </w:tc>
        <w:tc>
          <w:tcPr>
            <w:tcW w:w="580" w:type="dxa"/>
            <w:vAlign w:val="bottom"/>
            <w:gridSpan w:val="15"/>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140" w:type="dxa"/>
            <w:vAlign w:val="bottom"/>
            <w:gridSpan w:val="30"/>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Trusts Ltd., as security trustee</w:t>
              </w:r>
            </w:hyperlink>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Subsidiaries</w:t>
              </w:r>
            </w:hyperlink>
          </w:p>
        </w:tc>
        <w:tc>
          <w:tcPr>
            <w:tcW w:w="980" w:type="dxa"/>
            <w:vAlign w:val="bottom"/>
            <w:gridSpan w:val="23"/>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February 26,</w:t>
            </w:r>
          </w:p>
        </w:tc>
      </w:tr>
      <w:tr>
        <w:trPr>
          <w:trHeight w:val="237"/>
        </w:trPr>
        <w:tc>
          <w:tcPr>
            <w:tcW w:w="88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2010</w:t>
            </w:r>
          </w:p>
        </w:tc>
      </w:tr>
    </w:tbl>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23.1</w:t>
            </w:r>
          </w:p>
        </w:tc>
        <w:tc>
          <w:tcPr>
            <w:tcW w:w="5240" w:type="dxa"/>
            <w:vAlign w:val="bottom"/>
            <w:gridSpan w:val="9"/>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Consent of Kesselman &amp; Kesselman,</w:t>
              </w:r>
            </w:hyperlink>
          </w:p>
        </w:tc>
        <w:tc>
          <w:tcPr>
            <w:tcW w:w="246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119">
              <w:r>
                <w:rPr>
                  <w:rFonts w:ascii="Times New Roman" w:cs="Times New Roman" w:eastAsia="Times New Roman" w:hAnsi="Times New Roman"/>
                  <w:sz w:val="18"/>
                  <w:szCs w:val="18"/>
                  <w:color w:val="0000EE"/>
                  <w:w w:val="98"/>
                </w:rPr>
                <w:t>Certified Public Accountants (Isr.), A</w:t>
              </w:r>
            </w:hyperlink>
          </w:p>
        </w:tc>
        <w:tc>
          <w:tcPr>
            <w:tcW w:w="2540" w:type="dxa"/>
            <w:vAlign w:val="bottom"/>
            <w:gridSpan w:val="4"/>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member of PricewaterhouseCoopers</w:t>
              </w:r>
            </w:hyperlink>
          </w:p>
        </w:tc>
        <w:tc>
          <w:tcPr>
            <w:tcW w:w="2560" w:type="dxa"/>
            <w:vAlign w:val="bottom"/>
            <w:gridSpan w:val="5"/>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240" w:type="dxa"/>
            <w:vAlign w:val="bottom"/>
            <w:gridSpan w:val="9"/>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International Limited, independent</w:t>
              </w:r>
            </w:hyperlink>
          </w:p>
        </w:tc>
        <w:tc>
          <w:tcPr>
            <w:tcW w:w="24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registered public accounting firm for the</w:t>
              </w:r>
            </w:hyperlink>
          </w:p>
        </w:tc>
        <w:tc>
          <w:tcPr>
            <w:tcW w:w="23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240" w:type="dxa"/>
            <w:vAlign w:val="bottom"/>
            <w:gridSpan w:val="9"/>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Registrant</w:t>
              </w:r>
            </w:hyperlink>
          </w:p>
        </w:tc>
        <w:tc>
          <w:tcPr>
            <w:tcW w:w="24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31.1</w:t>
            </w:r>
          </w:p>
        </w:tc>
        <w:tc>
          <w:tcPr>
            <w:tcW w:w="2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20">
              <w:r>
                <w:rPr>
                  <w:rFonts w:ascii="Times New Roman" w:cs="Times New Roman" w:eastAsia="Times New Roman" w:hAnsi="Times New Roman"/>
                  <w:sz w:val="18"/>
                  <w:szCs w:val="18"/>
                  <w:color w:val="0000EE"/>
                  <w:w w:val="99"/>
                </w:rPr>
                <w:t>Certification of Chief Executive Officer</w:t>
              </w:r>
            </w:hyperlink>
          </w:p>
        </w:tc>
        <w:tc>
          <w:tcPr>
            <w:tcW w:w="2360" w:type="dxa"/>
            <w:vAlign w:val="bottom"/>
            <w:gridSpan w:val="2"/>
          </w:tcPr>
          <w:p>
            <w:pPr>
              <w:spacing w:after="0"/>
              <w:rPr>
                <w:sz w:val="24"/>
                <w:szCs w:val="24"/>
                <w:color w:val="auto"/>
              </w:rPr>
            </w:pPr>
          </w:p>
        </w:tc>
        <w:tc>
          <w:tcPr>
            <w:tcW w:w="246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80" w:type="dxa"/>
            <w:vAlign w:val="bottom"/>
          </w:tcPr>
          <w:p>
            <w:pPr>
              <w:spacing w:after="0"/>
              <w:rPr>
                <w:sz w:val="17"/>
                <w:szCs w:val="17"/>
                <w:color w:val="auto"/>
              </w:rPr>
            </w:pPr>
          </w:p>
        </w:tc>
        <w:tc>
          <w:tcPr>
            <w:tcW w:w="5240" w:type="dxa"/>
            <w:vAlign w:val="bottom"/>
            <w:gridSpan w:val="9"/>
          </w:tcPr>
          <w:p>
            <w:pPr>
              <w:spacing w:after="0" w:line="196"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pursuant to Rule 13a-14(a) as adopted</w:t>
              </w:r>
            </w:hyperlink>
          </w:p>
        </w:tc>
        <w:tc>
          <w:tcPr>
            <w:tcW w:w="24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20">
              <w:r>
                <w:rPr>
                  <w:rFonts w:ascii="Times New Roman" w:cs="Times New Roman" w:eastAsia="Times New Roman" w:hAnsi="Times New Roman"/>
                  <w:sz w:val="18"/>
                  <w:szCs w:val="18"/>
                  <w:color w:val="0000EE"/>
                  <w:w w:val="99"/>
                </w:rPr>
                <w:t>pursuant to Section 302 of the Sarbanes-</w:t>
              </w:r>
            </w:hyperlink>
          </w:p>
        </w:tc>
        <w:tc>
          <w:tcPr>
            <w:tcW w:w="23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240" w:type="dxa"/>
            <w:vAlign w:val="bottom"/>
            <w:gridSpan w:val="9"/>
          </w:tcPr>
          <w:p>
            <w:pPr>
              <w:spacing w:after="0" w:line="196"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Oxley Act of 2002</w:t>
              </w:r>
            </w:hyperlink>
          </w:p>
        </w:tc>
        <w:tc>
          <w:tcPr>
            <w:tcW w:w="24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gridSpan w:val="7"/>
          </w:tcPr>
          <w:p>
            <w:pPr>
              <w:spacing w:after="0"/>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Certification of Chief Financial Officer</w:t>
              </w:r>
            </w:hyperlink>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80" w:type="dxa"/>
            <w:vAlign w:val="bottom"/>
          </w:tcPr>
          <w:p>
            <w:pPr>
              <w:spacing w:after="0"/>
              <w:rPr>
                <w:sz w:val="17"/>
                <w:szCs w:val="17"/>
                <w:color w:val="auto"/>
              </w:rPr>
            </w:pPr>
          </w:p>
        </w:tc>
        <w:tc>
          <w:tcPr>
            <w:tcW w:w="28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pursuant to Rule 13a-14(a) as adopted</w:t>
              </w:r>
            </w:hyperlink>
          </w:p>
        </w:tc>
        <w:tc>
          <w:tcPr>
            <w:tcW w:w="2460" w:type="dxa"/>
            <w:vAlign w:val="bottom"/>
            <w:gridSpan w:val="3"/>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21">
              <w:r>
                <w:rPr>
                  <w:rFonts w:ascii="Times New Roman" w:cs="Times New Roman" w:eastAsia="Times New Roman" w:hAnsi="Times New Roman"/>
                  <w:sz w:val="18"/>
                  <w:szCs w:val="18"/>
                  <w:color w:val="0000EE"/>
                  <w:w w:val="99"/>
                </w:rPr>
                <w:t>pursuant to Section 302 of the Sarbanes-</w:t>
              </w:r>
            </w:hyperlink>
          </w:p>
        </w:tc>
        <w:tc>
          <w:tcPr>
            <w:tcW w:w="2360" w:type="dxa"/>
            <w:vAlign w:val="bottom"/>
            <w:gridSpan w:val="2"/>
          </w:tcPr>
          <w:p>
            <w:pPr>
              <w:spacing w:after="0"/>
              <w:rPr>
                <w:sz w:val="17"/>
                <w:szCs w:val="17"/>
                <w:color w:val="auto"/>
              </w:rPr>
            </w:pPr>
          </w:p>
        </w:tc>
        <w:tc>
          <w:tcPr>
            <w:tcW w:w="24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280" w:type="dxa"/>
            <w:vAlign w:val="bottom"/>
            <w:gridSpan w:val="7"/>
          </w:tcPr>
          <w:p>
            <w:pPr>
              <w:spacing w:after="0" w:line="196" w:lineRule="exact"/>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Oxley Act of 2002</w:t>
              </w:r>
            </w:hyperlink>
          </w:p>
        </w:tc>
        <w:tc>
          <w:tcPr>
            <w:tcW w:w="24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18 U.S.C. Section 1350, as adopted</w:t>
              </w:r>
            </w:hyperlink>
          </w:p>
        </w:tc>
        <w:tc>
          <w:tcPr>
            <w:tcW w:w="2720" w:type="dxa"/>
            <w:vAlign w:val="bottom"/>
            <w:gridSpan w:val="5"/>
          </w:tcPr>
          <w:p>
            <w:pPr>
              <w:spacing w:after="0"/>
              <w:rPr>
                <w:sz w:val="24"/>
                <w:szCs w:val="24"/>
                <w:color w:val="auto"/>
              </w:rPr>
            </w:pP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22">
              <w:r>
                <w:rPr>
                  <w:rFonts w:ascii="Times New Roman" w:cs="Times New Roman" w:eastAsia="Times New Roman" w:hAnsi="Times New Roman"/>
                  <w:sz w:val="18"/>
                  <w:szCs w:val="18"/>
                  <w:color w:val="0000EE"/>
                  <w:w w:val="99"/>
                </w:rPr>
                <w:t>pursuant to Section 906 of the Sarbanes-</w:t>
              </w:r>
            </w:hyperlink>
          </w:p>
        </w:tc>
        <w:tc>
          <w:tcPr>
            <w:tcW w:w="2360" w:type="dxa"/>
            <w:vAlign w:val="bottom"/>
            <w:gridSpan w:val="2"/>
          </w:tcPr>
          <w:p>
            <w:pPr>
              <w:spacing w:after="0"/>
              <w:rPr>
                <w:sz w:val="17"/>
                <w:szCs w:val="17"/>
                <w:color w:val="auto"/>
              </w:rPr>
            </w:pPr>
          </w:p>
        </w:tc>
        <w:tc>
          <w:tcPr>
            <w:tcW w:w="24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280" w:type="dxa"/>
            <w:vAlign w:val="bottom"/>
            <w:gridSpan w:val="7"/>
          </w:tcPr>
          <w:p>
            <w:pPr>
              <w:spacing w:after="0" w:line="196"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Oxley Act of 2002, Certification of Chief</w:t>
              </w:r>
            </w:hyperlink>
          </w:p>
        </w:tc>
        <w:tc>
          <w:tcPr>
            <w:tcW w:w="24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Executive Officer</w:t>
              </w:r>
            </w:hyperlink>
          </w:p>
        </w:tc>
        <w:tc>
          <w:tcPr>
            <w:tcW w:w="23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18 U.S.C. Section 1350, as adopted</w:t>
              </w:r>
            </w:hyperlink>
          </w:p>
        </w:tc>
        <w:tc>
          <w:tcPr>
            <w:tcW w:w="2720" w:type="dxa"/>
            <w:vAlign w:val="bottom"/>
            <w:gridSpan w:val="5"/>
          </w:tcPr>
          <w:p>
            <w:pPr>
              <w:spacing w:after="0"/>
              <w:rPr>
                <w:sz w:val="24"/>
                <w:szCs w:val="24"/>
                <w:color w:val="auto"/>
              </w:rPr>
            </w:pP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pursuant to Section 906 of the Sarbanes-</w:t>
              </w:r>
            </w:hyperlink>
          </w:p>
        </w:tc>
        <w:tc>
          <w:tcPr>
            <w:tcW w:w="2360" w:type="dxa"/>
            <w:vAlign w:val="bottom"/>
            <w:gridSpan w:val="2"/>
          </w:tcPr>
          <w:p>
            <w:pPr>
              <w:spacing w:after="0"/>
              <w:rPr>
                <w:sz w:val="17"/>
                <w:szCs w:val="17"/>
                <w:color w:val="auto"/>
              </w:rPr>
            </w:pPr>
          </w:p>
        </w:tc>
        <w:tc>
          <w:tcPr>
            <w:tcW w:w="24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280" w:type="dxa"/>
            <w:vAlign w:val="bottom"/>
            <w:gridSpan w:val="7"/>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Oxley Act of 2002, Certification of Chief</w:t>
              </w:r>
            </w:hyperlink>
          </w:p>
        </w:tc>
        <w:tc>
          <w:tcPr>
            <w:tcW w:w="24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Financial Officer</w:t>
              </w:r>
            </w:hyperlink>
          </w:p>
        </w:tc>
        <w:tc>
          <w:tcPr>
            <w:tcW w:w="1700" w:type="dxa"/>
            <w:vAlign w:val="bottom"/>
            <w:tcBorders>
              <w:top w:val="single" w:sz="8" w:color="0000EE"/>
            </w:tcBorders>
            <w:gridSpan w:val="5"/>
          </w:tcPr>
          <w:p>
            <w:pPr>
              <w:spacing w:after="0"/>
              <w:rPr>
                <w:sz w:val="17"/>
                <w:szCs w:val="17"/>
                <w:color w:val="auto"/>
              </w:rPr>
            </w:pPr>
          </w:p>
        </w:tc>
        <w:tc>
          <w:tcPr>
            <w:tcW w:w="23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w:t>
            </w: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80" w:type="dxa"/>
            <w:vAlign w:val="bottom"/>
          </w:tcPr>
          <w:p>
            <w:pPr>
              <w:spacing w:after="0"/>
              <w:rPr>
                <w:sz w:val="18"/>
                <w:szCs w:val="18"/>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24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 because its XBRL</w:t>
            </w:r>
          </w:p>
        </w:tc>
        <w:tc>
          <w:tcPr>
            <w:tcW w:w="24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tags are embedded within the Inline</w:t>
            </w:r>
          </w:p>
        </w:tc>
        <w:tc>
          <w:tcPr>
            <w:tcW w:w="24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242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SHEMA FILE</w:t>
            </w: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FILE</w:t>
            </w: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DEFINITION FILE</w:t>
            </w: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 FILE</w:t>
            </w: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FILE</w:t>
            </w: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w:t>
            </w:r>
          </w:p>
        </w:tc>
        <w:tc>
          <w:tcPr>
            <w:tcW w:w="2420" w:type="dxa"/>
            <w:vAlign w:val="bottom"/>
          </w:tcPr>
          <w:p>
            <w:pPr>
              <w:ind w:left="230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80" w:type="dxa"/>
            <w:vAlign w:val="bottom"/>
          </w:tcPr>
          <w:p>
            <w:pPr>
              <w:spacing w:after="0"/>
              <w:rPr>
                <w:sz w:val="18"/>
                <w:szCs w:val="18"/>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formatted in Inline XBRL and included</w:t>
            </w:r>
          </w:p>
        </w:tc>
        <w:tc>
          <w:tcPr>
            <w:tcW w:w="24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 Exhibit 101</w:t>
            </w:r>
          </w:p>
        </w:tc>
        <w:tc>
          <w:tcPr>
            <w:tcW w:w="2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380" w:right="239" w:hanging="330"/>
        <w:spacing w:after="0" w:line="282" w:lineRule="auto"/>
        <w:tabs>
          <w:tab w:leader="none" w:pos="3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162" w:lineRule="exact"/>
        <w:rPr>
          <w:sz w:val="20"/>
          <w:szCs w:val="20"/>
          <w:color w:val="auto"/>
        </w:rPr>
      </w:pPr>
    </w:p>
    <w:p>
      <w:pPr>
        <w:ind w:left="380" w:right="179" w:hanging="330"/>
        <w:spacing w:after="0" w:line="266" w:lineRule="auto"/>
        <w:tabs>
          <w:tab w:leader="none" w:pos="3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and have been filed separately with the Secretary of the Securities and Exchange Commission pursuant to the Registrant’s application requesting confidential treatment under Rule 24b-2 of the Exchange Act.</w:t>
      </w:r>
    </w:p>
    <w:p>
      <w:pPr>
        <w:spacing w:after="0" w:line="172"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as of March 31, 2022.</w:t>
      </w:r>
    </w:p>
    <w:p>
      <w:pPr>
        <w:spacing w:after="0" w:line="1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PROTALIX BIOTHERAPEUTICS,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26485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Dror Bashan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Dror Bashan and Eyal Rubin, and each of them,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said attorneys-in-fact and agents, or any of them, or their or his substitute or substitutes, may lawfully do or cause to be done by virtue hereof.</w:t>
      </w:r>
    </w:p>
    <w:p>
      <w:pPr>
        <w:spacing w:after="0" w:line="161"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 w:type="dxa"/>
            <w:vAlign w:val="bottom"/>
          </w:tcPr>
          <w:p>
            <w:pPr>
              <w:spacing w:after="0"/>
              <w:rPr>
                <w:sz w:val="20"/>
                <w:szCs w:val="20"/>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0" w:type="dxa"/>
            <w:vAlign w:val="bottom"/>
          </w:tcPr>
          <w:p>
            <w:pPr>
              <w:spacing w:after="0"/>
              <w:rPr>
                <w:sz w:val="20"/>
                <w:szCs w:val="20"/>
                <w:color w:val="auto"/>
              </w:rPr>
            </w:pPr>
          </w:p>
        </w:tc>
        <w:tc>
          <w:tcPr>
            <w:tcW w:w="19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Dror Bashan</w:t>
            </w:r>
          </w:p>
        </w:tc>
        <w:tc>
          <w:tcPr>
            <w:tcW w:w="200" w:type="dxa"/>
            <w:vAlign w:val="bottom"/>
          </w:tcPr>
          <w:p>
            <w:pPr>
              <w:spacing w:after="0"/>
              <w:rPr>
                <w:sz w:val="24"/>
                <w:szCs w:val="24"/>
                <w:color w:val="auto"/>
              </w:rPr>
            </w:pPr>
          </w:p>
        </w:tc>
        <w:tc>
          <w:tcPr>
            <w:tcW w:w="4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Dror Bashan</w:t>
            </w:r>
          </w:p>
        </w:tc>
        <w:tc>
          <w:tcPr>
            <w:tcW w:w="200" w:type="dxa"/>
            <w:vAlign w:val="bottom"/>
          </w:tcPr>
          <w:p>
            <w:pPr>
              <w:spacing w:after="0"/>
              <w:rPr>
                <w:sz w:val="19"/>
                <w:szCs w:val="19"/>
                <w:color w:val="auto"/>
              </w:rPr>
            </w:pPr>
          </w:p>
        </w:tc>
        <w:tc>
          <w:tcPr>
            <w:tcW w:w="4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1900" w:type="dxa"/>
            <w:vAlign w:val="bottom"/>
          </w:tcPr>
          <w:p>
            <w:pPr>
              <w:spacing w:after="0"/>
              <w:rPr>
                <w:sz w:val="19"/>
                <w:szCs w:val="19"/>
                <w:color w:val="auto"/>
              </w:rPr>
            </w:pPr>
          </w:p>
        </w:tc>
      </w:tr>
      <w:tr>
        <w:trPr>
          <w:trHeight w:val="414"/>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Eyal Rubin</w:t>
            </w:r>
          </w:p>
        </w:tc>
        <w:tc>
          <w:tcPr>
            <w:tcW w:w="200" w:type="dxa"/>
            <w:vAlign w:val="bottom"/>
          </w:tcPr>
          <w:p>
            <w:pPr>
              <w:spacing w:after="0"/>
              <w:rPr>
                <w:sz w:val="24"/>
                <w:szCs w:val="24"/>
                <w:color w:val="auto"/>
              </w:rPr>
            </w:pPr>
          </w:p>
        </w:tc>
        <w:tc>
          <w:tcPr>
            <w:tcW w:w="4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 Treasurer and</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r>
      <w:tr>
        <w:trPr>
          <w:trHeight w:val="191"/>
        </w:trPr>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Eyal Rubin</w:t>
            </w:r>
          </w:p>
        </w:tc>
        <w:tc>
          <w:tcPr>
            <w:tcW w:w="200" w:type="dxa"/>
            <w:vAlign w:val="bottom"/>
          </w:tcPr>
          <w:p>
            <w:pPr>
              <w:spacing w:after="0"/>
              <w:rPr>
                <w:sz w:val="16"/>
                <w:szCs w:val="16"/>
                <w:color w:val="auto"/>
              </w:rPr>
            </w:pPr>
          </w:p>
        </w:tc>
        <w:tc>
          <w:tcPr>
            <w:tcW w:w="4180" w:type="dxa"/>
            <w:vAlign w:val="bottom"/>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rPr>
              <w:t>Secretary (Principal Financial</w:t>
            </w:r>
          </w:p>
        </w:tc>
        <w:tc>
          <w:tcPr>
            <w:tcW w:w="190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1900" w:type="dxa"/>
            <w:vAlign w:val="bottom"/>
          </w:tcPr>
          <w:p>
            <w:pPr>
              <w:spacing w:after="0"/>
              <w:rPr>
                <w:sz w:val="20"/>
                <w:szCs w:val="20"/>
                <w:color w:val="auto"/>
              </w:rPr>
            </w:pPr>
          </w:p>
        </w:tc>
      </w:tr>
      <w:tr>
        <w:trPr>
          <w:trHeight w:val="432"/>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Zeev Bronfeld</w:t>
            </w:r>
          </w:p>
        </w:tc>
        <w:tc>
          <w:tcPr>
            <w:tcW w:w="200" w:type="dxa"/>
            <w:vAlign w:val="bottom"/>
          </w:tcPr>
          <w:p>
            <w:pPr>
              <w:spacing w:after="0"/>
              <w:rPr>
                <w:sz w:val="24"/>
                <w:szCs w:val="24"/>
                <w:color w:val="auto"/>
              </w:rPr>
            </w:pPr>
          </w:p>
        </w:tc>
        <w:tc>
          <w:tcPr>
            <w:tcW w:w="4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 of the Board</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Zeev Bronfeld</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Amos Bar Shalev</w:t>
            </w:r>
          </w:p>
        </w:tc>
        <w:tc>
          <w:tcPr>
            <w:tcW w:w="200" w:type="dxa"/>
            <w:vAlign w:val="bottom"/>
          </w:tcPr>
          <w:p>
            <w:pPr>
              <w:spacing w:after="0"/>
              <w:rPr>
                <w:sz w:val="24"/>
                <w:szCs w:val="24"/>
                <w:color w:val="auto"/>
              </w:rPr>
            </w:pPr>
          </w:p>
        </w:tc>
        <w:tc>
          <w:tcPr>
            <w:tcW w:w="4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Amos Bar Shalev</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Pol F. Boudes</w:t>
            </w:r>
          </w:p>
        </w:tc>
        <w:tc>
          <w:tcPr>
            <w:tcW w:w="200" w:type="dxa"/>
            <w:vAlign w:val="bottom"/>
          </w:tcPr>
          <w:p>
            <w:pPr>
              <w:spacing w:after="0"/>
              <w:rPr>
                <w:sz w:val="24"/>
                <w:szCs w:val="24"/>
                <w:color w:val="auto"/>
              </w:rPr>
            </w:pPr>
          </w:p>
        </w:tc>
        <w:tc>
          <w:tcPr>
            <w:tcW w:w="4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 F. Boudes, M.D.</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Granot</w:t>
            </w:r>
          </w:p>
        </w:tc>
        <w:tc>
          <w:tcPr>
            <w:tcW w:w="200" w:type="dxa"/>
            <w:vAlign w:val="bottom"/>
          </w:tcPr>
          <w:p>
            <w:pPr>
              <w:spacing w:after="0"/>
              <w:rPr>
                <w:sz w:val="24"/>
                <w:szCs w:val="24"/>
                <w:color w:val="auto"/>
              </w:rPr>
            </w:pPr>
          </w:p>
        </w:tc>
        <w:tc>
          <w:tcPr>
            <w:tcW w:w="4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Granot</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Gwen A. Melincoff</w:t>
            </w:r>
          </w:p>
        </w:tc>
        <w:tc>
          <w:tcPr>
            <w:tcW w:w="200" w:type="dxa"/>
            <w:vAlign w:val="bottom"/>
          </w:tcPr>
          <w:p>
            <w:pPr>
              <w:spacing w:after="0"/>
              <w:rPr>
                <w:sz w:val="24"/>
                <w:szCs w:val="24"/>
                <w:color w:val="auto"/>
              </w:rPr>
            </w:pPr>
          </w:p>
        </w:tc>
        <w:tc>
          <w:tcPr>
            <w:tcW w:w="4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r>
      <w:tr>
        <w:trPr>
          <w:trHeight w:val="22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Gwen A. Melincoff</w:t>
            </w:r>
          </w:p>
        </w:tc>
        <w:tc>
          <w:tcPr>
            <w:tcW w:w="2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20" w:type="dxa"/>
            <w:vAlign w:val="bottom"/>
            <w:shd w:val="clear" w:color="auto" w:fill="CCEEFF"/>
          </w:tcPr>
          <w:p>
            <w:pPr>
              <w:spacing w:after="0"/>
              <w:rPr>
                <w:sz w:val="13"/>
                <w:szCs w:val="13"/>
                <w:color w:val="auto"/>
              </w:rPr>
            </w:pPr>
          </w:p>
        </w:tc>
        <w:tc>
          <w:tcPr>
            <w:tcW w:w="8240" w:type="dxa"/>
            <w:vAlign w:val="bottom"/>
            <w:gridSpan w:val="8"/>
            <w:shd w:val="clear" w:color="auto" w:fill="CCEEFF"/>
          </w:tcPr>
          <w:p>
            <w:pPr>
              <w:spacing w:after="0" w:line="136" w:lineRule="exact"/>
              <w:rPr>
                <w:rFonts w:ascii="Times New Roman" w:cs="Times New Roman" w:eastAsia="Times New Roman" w:hAnsi="Times New Roman"/>
                <w:sz w:val="15"/>
                <w:szCs w:val="15"/>
                <w:b w:val="1"/>
                <w:bCs w:val="1"/>
                <w:color w:val="0000EE"/>
              </w:rPr>
            </w:pPr>
            <w:hyperlink w:anchor="page81">
              <w:r>
                <w:rPr>
                  <w:rFonts w:ascii="Times New Roman" w:cs="Times New Roman" w:eastAsia="Times New Roman" w:hAnsi="Times New Roman"/>
                  <w:sz w:val="15"/>
                  <w:szCs w:val="15"/>
                  <w:b w:val="1"/>
                  <w:bCs w:val="1"/>
                  <w:color w:val="0000EE"/>
                </w:rPr>
                <w:t xml:space="preserve">REPORT OF INDEPENDENT REGISTERED PUBLIC ACCOUNTING FIRM </w:t>
              </w:r>
            </w:hyperlink>
            <w:r>
              <w:rPr>
                <w:rFonts w:ascii="Times New Roman" w:cs="Times New Roman" w:eastAsia="Times New Roman" w:hAnsi="Times New Roman"/>
                <w:sz w:val="15"/>
                <w:szCs w:val="15"/>
                <w:b w:val="1"/>
                <w:bCs w:val="1"/>
                <w:color w:val="000000"/>
              </w:rPr>
              <w:t>(PCAOB</w:t>
            </w:r>
            <w:r>
              <w:rPr>
                <w:rFonts w:ascii="Times New Roman" w:cs="Times New Roman" w:eastAsia="Times New Roman" w:hAnsi="Times New Roman"/>
                <w:sz w:val="15"/>
                <w:szCs w:val="15"/>
                <w:b w:val="1"/>
                <w:bCs w:val="1"/>
                <w:color w:val="0000EE"/>
              </w:rPr>
              <w:t xml:space="preserve"> </w:t>
            </w:r>
            <w:r>
              <w:rPr>
                <w:rFonts w:ascii="Times New Roman" w:cs="Times New Roman" w:eastAsia="Times New Roman" w:hAnsi="Times New Roman"/>
                <w:sz w:val="15"/>
                <w:szCs w:val="15"/>
                <w:b w:val="1"/>
                <w:bCs w:val="1"/>
                <w:color w:val="000000"/>
              </w:rPr>
              <w:t>name:</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Kesselman &amp; Kesselman C.P.A.s and PCAOB ID: 1309)</w:t>
            </w:r>
          </w:p>
        </w:tc>
        <w:tc>
          <w:tcPr>
            <w:tcW w:w="2080" w:type="dxa"/>
            <w:vAlign w:val="bottom"/>
            <w:tcBorders>
              <w:top w:val="single" w:sz="8" w:color="CCEEFF"/>
            </w:tcBorders>
            <w:gridSpan w:val="4"/>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Consolidated Balance Sheets as of December 31, 2020 and 2021</w:t>
              </w:r>
            </w:hyperlink>
          </w:p>
        </w:tc>
        <w:tc>
          <w:tcPr>
            <w:tcW w:w="36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20" w:type="dxa"/>
            <w:vAlign w:val="bottom"/>
          </w:tcPr>
          <w:p>
            <w:pPr>
              <w:spacing w:after="0"/>
              <w:rPr>
                <w:sz w:val="15"/>
                <w:szCs w:val="15"/>
                <w:color w:val="auto"/>
              </w:rPr>
            </w:pPr>
          </w:p>
        </w:tc>
        <w:tc>
          <w:tcPr>
            <w:tcW w:w="8240" w:type="dxa"/>
            <w:vAlign w:val="bottom"/>
            <w:gridSpan w:val="8"/>
          </w:tcPr>
          <w:p>
            <w:pPr>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Operations for the years ended December 31, 2019, 2020 and 2021</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6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Consolidated Statements of Changes in Capital Deficiency for the years ended December 31, 2019, 2020 and</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196"/>
        </w:trPr>
        <w:tc>
          <w:tcPr>
            <w:tcW w:w="3160" w:type="dxa"/>
            <w:vAlign w:val="bottom"/>
            <w:gridSpan w:val="3"/>
            <w:shd w:val="clear" w:color="auto" w:fill="CCEEFF"/>
          </w:tcPr>
          <w:p>
            <w:pPr>
              <w:ind w:left="20"/>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2021</w:t>
              </w:r>
            </w:hyperlink>
          </w:p>
        </w:tc>
        <w:tc>
          <w:tcPr>
            <w:tcW w:w="15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gridSpan w:val="8"/>
          </w:tcPr>
          <w:p>
            <w:pPr>
              <w:spacing w:after="0" w:line="17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Statements of Cash Flows for the years ended December 31, 2019, 2020 and 2021</w:t>
              </w:r>
            </w:hyperlink>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4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Notes to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985520" cy="7029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right="2360" w:firstLine="2201"/>
        <w:spacing w:after="0" w:line="41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Protalix Biotherapeutics, Inc. </w:t>
      </w:r>
      <w:r>
        <w:rPr>
          <w:rFonts w:ascii="Georgia" w:cs="Georgia" w:eastAsia="Georgia" w:hAnsi="Georgia"/>
          <w:sz w:val="18"/>
          <w:szCs w:val="18"/>
          <w:b w:val="1"/>
          <w:bCs w:val="1"/>
          <w:i w:val="1"/>
          <w:iCs w:val="1"/>
          <w:color w:val="auto"/>
        </w:rPr>
        <w:t>Opinion on the Financial Statements</w:t>
      </w:r>
    </w:p>
    <w:p>
      <w:pPr>
        <w:spacing w:after="0" w:line="1" w:lineRule="exact"/>
        <w:rPr>
          <w:sz w:val="20"/>
          <w:szCs w:val="20"/>
          <w:color w:val="auto"/>
        </w:rPr>
      </w:pPr>
    </w:p>
    <w:p>
      <w:pPr>
        <w:jc w:val="both"/>
        <w:ind w:left="60" w:right="160"/>
        <w:spacing w:after="0" w:line="237" w:lineRule="auto"/>
        <w:rPr>
          <w:sz w:val="20"/>
          <w:szCs w:val="20"/>
          <w:color w:val="auto"/>
        </w:rPr>
      </w:pPr>
      <w:r>
        <w:rPr>
          <w:rFonts w:ascii="Georgia" w:cs="Georgia" w:eastAsia="Georgia" w:hAnsi="Georgia"/>
          <w:sz w:val="18"/>
          <w:szCs w:val="18"/>
          <w:color w:val="auto"/>
        </w:rPr>
        <w:t>We have audited the accompanying consolidated balance sheets of Protalix BioTherapeutics, Inc. and its subsidiaries (the “Company”) as of December 31, 2021 and 2020, and the related consolidated statements of operations, changes in capital deficiency and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51"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Basis for Opinion</w:t>
      </w:r>
    </w:p>
    <w:p>
      <w:pPr>
        <w:spacing w:after="0" w:line="148" w:lineRule="exact"/>
        <w:rPr>
          <w:sz w:val="20"/>
          <w:szCs w:val="20"/>
          <w:color w:val="auto"/>
        </w:rPr>
      </w:pPr>
    </w:p>
    <w:p>
      <w:pPr>
        <w:jc w:val="both"/>
        <w:ind w:left="60" w:right="180"/>
        <w:spacing w:after="0" w:line="237" w:lineRule="auto"/>
        <w:rPr>
          <w:sz w:val="20"/>
          <w:szCs w:val="20"/>
          <w:color w:val="auto"/>
        </w:rPr>
      </w:pPr>
      <w:r>
        <w:rPr>
          <w:rFonts w:ascii="Georgia" w:cs="Georgia" w:eastAsia="Georgia" w:hAnsi="Georgia"/>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left="60" w:right="160"/>
        <w:spacing w:after="0" w:line="237" w:lineRule="auto"/>
        <w:rPr>
          <w:sz w:val="20"/>
          <w:szCs w:val="20"/>
          <w:color w:val="auto"/>
        </w:rPr>
      </w:pPr>
      <w:r>
        <w:rPr>
          <w:rFonts w:ascii="Georgia" w:cs="Georgia" w:eastAsia="Georgia" w:hAnsi="Georgia"/>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ind w:left="60" w:right="160"/>
        <w:spacing w:after="0" w:line="237" w:lineRule="auto"/>
        <w:rPr>
          <w:sz w:val="20"/>
          <w:szCs w:val="20"/>
          <w:color w:val="auto"/>
        </w:rPr>
      </w:pPr>
      <w:r>
        <w:rPr>
          <w:rFonts w:ascii="Georgia" w:cs="Georgia" w:eastAsia="Georgia" w:hAnsi="Georgia"/>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ind w:left="60"/>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34" w:lineRule="exact"/>
        <w:rPr>
          <w:sz w:val="20"/>
          <w:szCs w:val="20"/>
          <w:color w:val="auto"/>
        </w:rPr>
      </w:pPr>
    </w:p>
    <w:p>
      <w:pPr>
        <w:jc w:val="both"/>
        <w:ind w:left="60"/>
        <w:spacing w:after="0" w:line="255" w:lineRule="auto"/>
        <w:rPr>
          <w:sz w:val="20"/>
          <w:szCs w:val="20"/>
          <w:color w:val="auto"/>
        </w:rPr>
      </w:pPr>
      <w:r>
        <w:rPr>
          <w:rFonts w:ascii="Georgia" w:cs="Georgia" w:eastAsia="Georgia" w:hAnsi="Georgia"/>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440" w:top="513" w:right="1339" w:bottom="1440" w:gutter="0" w:footer="0" w:header="0"/>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643255</wp:posOffset>
            </wp:positionV>
            <wp:extent cx="985520" cy="7029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spacing w:after="0" w:line="244" w:lineRule="auto"/>
        <w:rPr>
          <w:sz w:val="20"/>
          <w:szCs w:val="20"/>
          <w:color w:val="auto"/>
        </w:rPr>
      </w:pPr>
      <w:r>
        <w:rPr>
          <w:rFonts w:ascii="Georgia" w:cs="Georgia" w:eastAsia="Georgia" w:hAnsi="Georgia"/>
          <w:sz w:val="18"/>
          <w:szCs w:val="18"/>
          <w:color w:val="auto"/>
        </w:rPr>
        <w:t>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6" w:lineRule="exact"/>
        <w:rPr>
          <w:sz w:val="20"/>
          <w:szCs w:val="20"/>
          <w:color w:val="auto"/>
        </w:rPr>
      </w:pPr>
    </w:p>
    <w:p>
      <w:pPr>
        <w:ind w:left="60" w:right="240"/>
        <w:spacing w:after="0" w:line="237" w:lineRule="auto"/>
        <w:rPr>
          <w:sz w:val="20"/>
          <w:szCs w:val="20"/>
          <w:color w:val="auto"/>
        </w:rPr>
      </w:pPr>
      <w:r>
        <w:rPr>
          <w:rFonts w:ascii="Georgia" w:cs="Georgia" w:eastAsia="Georgia" w:hAnsi="Georgia"/>
          <w:sz w:val="18"/>
          <w:szCs w:val="18"/>
          <w:i w:val="1"/>
          <w:iCs w:val="1"/>
          <w:color w:val="auto"/>
        </w:rPr>
        <w:t>Revenue Recognition - Estimated Costs to Complete License and Research and Development ("R&amp;D") Services Performance Obligation</w:t>
      </w:r>
    </w:p>
    <w:p>
      <w:pPr>
        <w:spacing w:after="0" w:line="150" w:lineRule="exact"/>
        <w:rPr>
          <w:sz w:val="20"/>
          <w:szCs w:val="20"/>
          <w:color w:val="auto"/>
        </w:rPr>
      </w:pPr>
    </w:p>
    <w:p>
      <w:pPr>
        <w:jc w:val="both"/>
        <w:ind w:left="60" w:right="160"/>
        <w:spacing w:after="0" w:line="237" w:lineRule="auto"/>
        <w:rPr>
          <w:sz w:val="20"/>
          <w:szCs w:val="20"/>
          <w:color w:val="auto"/>
        </w:rPr>
      </w:pPr>
      <w:r>
        <w:rPr>
          <w:rFonts w:ascii="Georgia" w:cs="Georgia" w:eastAsia="Georgia" w:hAnsi="Georgia"/>
          <w:sz w:val="18"/>
          <w:szCs w:val="18"/>
          <w:color w:val="auto"/>
        </w:rPr>
        <w:t>As discussed in Notes 2(b) and 8 to the consolidated financial statements, $21.6 million of the Company’s total revenues for the year ended December 31, 2021 was generated from license and R&amp;D services. For the Company’s license and R&amp;D services, control transfers over time; accordingly, management recognizes revenue based on the extent of progress in each period towards completion of the performance obligation. The selection of the measure of progress towards completion requires management judgment and is based on the nature of the products or services to be provided. As disclosed by management, the Company uses the cost-to-cost method to measure progress for its contracts because management believes that measure best depicts the transfer of control to the customer, which occurs as the Company incurs costs on the contracts.</w:t>
      </w:r>
    </w:p>
    <w:p>
      <w:pPr>
        <w:spacing w:after="0" w:line="139" w:lineRule="exact"/>
        <w:rPr>
          <w:sz w:val="20"/>
          <w:szCs w:val="20"/>
          <w:color w:val="auto"/>
        </w:rPr>
      </w:pPr>
    </w:p>
    <w:p>
      <w:pPr>
        <w:jc w:val="both"/>
        <w:ind w:left="60" w:right="160"/>
        <w:spacing w:after="0" w:line="237" w:lineRule="auto"/>
        <w:rPr>
          <w:sz w:val="20"/>
          <w:szCs w:val="20"/>
          <w:color w:val="auto"/>
        </w:rPr>
      </w:pPr>
      <w:r>
        <w:rPr>
          <w:rFonts w:ascii="Georgia" w:cs="Georgia" w:eastAsia="Georgia" w:hAnsi="Georgia"/>
          <w:sz w:val="18"/>
          <w:szCs w:val="18"/>
          <w:color w:val="auto"/>
        </w:rPr>
        <w:t>Under the cost-to-cost method, the extent of progress towards completion is based on the ratio of costs incurred to date to the total estimated costs at completion of the performance obligation, which includes both the actual costs already incurred and the estimated costs to complete. Revenues are recognized proportionately as costs are incurred. Due to the nature of the work required to be performed on the performance obligation, management’s estimation of costs at completion is complex and requires significant judgment. Management has disclosed that there are many factors that can affect the accuracy of cost estimates, including, but not limited to, the availability and costs of labor and materials resources, and productivity.</w:t>
      </w:r>
    </w:p>
    <w:p>
      <w:pPr>
        <w:spacing w:after="0" w:line="150" w:lineRule="exact"/>
        <w:rPr>
          <w:sz w:val="20"/>
          <w:szCs w:val="20"/>
          <w:color w:val="auto"/>
        </w:rPr>
      </w:pPr>
    </w:p>
    <w:p>
      <w:pPr>
        <w:ind w:left="60"/>
        <w:spacing w:after="0"/>
        <w:rPr>
          <w:sz w:val="20"/>
          <w:szCs w:val="20"/>
          <w:color w:val="auto"/>
        </w:rPr>
      </w:pPr>
      <w:r>
        <w:rPr>
          <w:rFonts w:ascii="Georgia" w:cs="Georgia" w:eastAsia="Georgia" w:hAnsi="Georgia"/>
          <w:sz w:val="18"/>
          <w:szCs w:val="18"/>
          <w:color w:val="auto"/>
        </w:rPr>
        <w:t>The principal considerations for our determination that performing procedures relating to revenue recognition</w:t>
      </w:r>
    </w:p>
    <w:p>
      <w:pPr>
        <w:jc w:val="both"/>
        <w:ind w:left="60" w:right="160"/>
        <w:spacing w:after="0" w:line="237" w:lineRule="auto"/>
        <w:rPr>
          <w:sz w:val="20"/>
          <w:szCs w:val="20"/>
          <w:color w:val="auto"/>
        </w:rPr>
      </w:pPr>
      <w:r>
        <w:rPr>
          <w:rFonts w:ascii="Georgia" w:cs="Georgia" w:eastAsia="Georgia" w:hAnsi="Georgia"/>
          <w:sz w:val="18"/>
          <w:szCs w:val="18"/>
          <w:color w:val="auto"/>
        </w:rPr>
        <w:t>– estimated costs to complete license and R&amp;D services performance obligation is a critical audit matter are the significant judgment by management when developing the estimated costs to complete the performance obligation. This in turn led to significant auditor judgment, subjectivity and effort in performing procedures to evaluate management's estimate of the costs to complete the performance obligation.</w:t>
      </w:r>
    </w:p>
    <w:p>
      <w:pPr>
        <w:spacing w:after="0" w:line="151" w:lineRule="exact"/>
        <w:rPr>
          <w:sz w:val="20"/>
          <w:szCs w:val="20"/>
          <w:color w:val="auto"/>
        </w:rPr>
      </w:pPr>
    </w:p>
    <w:p>
      <w:pPr>
        <w:jc w:val="both"/>
        <w:ind w:left="60" w:right="16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among others, evaluating and testing management’s process for determining the estimate of costs at completion, which included evaluating the reasonableness of significant assumptions, including the estimated expected labor costs used by management and considering the factors that can affect the accuracy of those estimates. Evaluating the reasonableness of significant assumptions used involved assessing management’s ability to reasonably estimate costs to complete the performance obligation by (i) performing a comparison of the originally estimated costs and actual costs incurred; (ii) evaluating the timely identification of circumstances that may warrant a modification to the estimated costs to complete, including actual costs in excess of estimates; and (iii) testing management’s process for evaluating the Company’s ability to properly execute the work plan and design phases consistent with customer expectations for completing the performance obligation.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 Kesselman &amp; Kesselman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Certified Public Accountants (Isr.)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member of PricewaterhouseCoopers International Limited</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 Aviv, Israel</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513" w:right="1339" w:bottom="1440" w:gutter="0" w:footer="0" w:header="0"/>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60" w:type="dxa"/>
            <w:vAlign w:val="bottom"/>
          </w:tcPr>
          <w:p>
            <w:pPr>
              <w:spacing w:after="0"/>
              <w:rPr>
                <w:sz w:val="18"/>
                <w:szCs w:val="18"/>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60" w:type="dxa"/>
            <w:vAlign w:val="bottom"/>
          </w:tcPr>
          <w:p>
            <w:pPr>
              <w:spacing w:after="0"/>
              <w:rPr>
                <w:sz w:val="18"/>
                <w:szCs w:val="18"/>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67,934</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NET OF CAPITAL DEFICIENCY</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Contracts liability</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Promissory note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liability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DEFICIENCY</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as of December 31, 2020 and 2021,</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120,000,000 shares; issued and outstanding - as of December 31, 2020 and 2021,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34,765,280 and 45,556,647 shares, respectively</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(347,352)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capital deficiency</w:t>
            </w: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 net of capital deficiency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67,934</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amounts)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38,827</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EXPENSES,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INCOME</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EXPENSES –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FOR THE YEAR</w:t>
            </w:r>
          </w:p>
        </w:tc>
        <w:tc>
          <w:tcPr>
            <w:tcW w:w="3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w:t>
            </w:r>
          </w:p>
        </w:tc>
        <w:tc>
          <w:tcPr>
            <w:tcW w:w="42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LOSS PER SHARE OF COMMON STOCK – BASIC AND DILUTED</w:t>
            </w: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USED IN COMPUTING LOSS PER SHARE – BASIC AND DILUTED</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14,838,213</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29,148,047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44,140,233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500" w:right="13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CONSOLIDATED STATEMENTS OF CHANGES IN CAPITAL DEFICIENCY </w:t>
      </w:r>
      <w:r>
        <w:rPr>
          <w:rFonts w:ascii="Times New Roman" w:cs="Times New Roman" w:eastAsia="Times New Roman" w:hAnsi="Times New Roman"/>
          <w:sz w:val="18"/>
          <w:szCs w:val="18"/>
          <w:color w:val="auto"/>
        </w:rPr>
        <w:t>(U.S. dollars in thousands)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14,838,213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$ 269,657</w:t>
            </w:r>
          </w:p>
        </w:tc>
        <w:tc>
          <w:tcPr>
            <w:tcW w:w="1180" w:type="dxa"/>
            <w:vAlign w:val="bottom"/>
            <w:tcBorders>
              <w:top w:val="single" w:sz="8" w:color="auto"/>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(322,553)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(52,881)</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2019:</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(18,276)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(18,276)</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14,838,213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$ 270,492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(340,829)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(70,322)</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and warrants,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17,604,423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41,343</w:t>
            </w: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1,428,571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(6,523)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34,765,280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$ 320,280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(347,352)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(27,037)</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during 2021: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issuance cost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8,749,999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Sales Agreement,</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related to stock options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 restricted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Reacquisition of equity component of convertible notes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(12,019)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0" w:type="dxa"/>
            <w:vAlign w:val="bottom"/>
          </w:tcPr>
          <w:p>
            <w:pPr>
              <w:spacing w:after="0"/>
              <w:rPr>
                <w:sz w:val="1"/>
                <w:szCs w:val="1"/>
                <w:color w:val="auto"/>
              </w:rPr>
            </w:pPr>
          </w:p>
        </w:tc>
      </w:tr>
      <w:tr>
        <w:trPr>
          <w:trHeight w:val="198"/>
        </w:trPr>
        <w:tc>
          <w:tcPr>
            <w:tcW w:w="4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component of convertible notes, net of transaction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(27,582)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45,556,647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$ 368,852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(374,934)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Represents an amount less than $1.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r>
      <w:tr>
        <w:trPr>
          <w:trHeight w:val="198"/>
        </w:trPr>
        <w:tc>
          <w:tcPr>
            <w:tcW w:w="6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loss to net cash used in operating</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income, net (mainly exchange differences)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contracts liability (including non-current portion)</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(9,580)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(26,205)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r>
      <w:tr>
        <w:trPr>
          <w:trHeight w:val="216"/>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 and other assets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right of use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r>
      <w:tr>
        <w:trPr>
          <w:trHeight w:val="216"/>
        </w:trPr>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in accounts payable and accruals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 other long term liabilities</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0"/>
        </w:trPr>
        <w:tc>
          <w:tcPr>
            <w:tcW w:w="61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10"/>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(37,835)</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short-term deposits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57,835</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restricted deposit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0"/>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w:t>
            </w:r>
          </w:p>
        </w:tc>
      </w:tr>
      <w:tr>
        <w:trPr>
          <w:trHeight w:val="210"/>
        </w:trPr>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convertible notes redemption and transactions costs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(30,036)</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promissory note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r>
      <w:tr>
        <w:trPr>
          <w:trHeight w:val="210"/>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w:t>
            </w:r>
          </w:p>
        </w:tc>
      </w:tr>
      <w:tr>
        <w:trPr>
          <w:trHeight w:val="174"/>
        </w:trPr>
        <w:tc>
          <w:tcPr>
            <w:tcW w:w="6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(20,016)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w:t>
            </w:r>
          </w:p>
        </w:tc>
      </w:tr>
      <w:tr>
        <w:trPr>
          <w:trHeight w:val="194"/>
        </w:trPr>
        <w:tc>
          <w:tcPr>
            <w:tcW w:w="6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OF CASH AND CASH EQUIVALENTS AT BEGINNING OF</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3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38,985</w:t>
            </w: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1500" w:right="1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CONSOLIDATED STATEMENTS OF CASH FLOWS </w:t>
      </w:r>
      <w:r>
        <w:rPr>
          <w:rFonts w:ascii="Times New Roman" w:cs="Times New Roman" w:eastAsia="Times New Roman" w:hAnsi="Times New Roman"/>
          <w:sz w:val="16"/>
          <w:szCs w:val="16"/>
          <w:b w:val="1"/>
          <w:bCs w:val="1"/>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74"/>
        </w:trPr>
        <w:tc>
          <w:tcPr>
            <w:tcW w:w="6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3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ACTIVITIES NOT INVOLVING CASH FLOWS:</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56"/>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197"/>
        </w:trPr>
        <w:tc>
          <w:tcPr>
            <w:tcW w:w="60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Right of use assets obtained in exchange for new operating lease liabilities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632</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309</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7"/>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56"/>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197"/>
        </w:trPr>
        <w:tc>
          <w:tcPr>
            <w:tcW w:w="60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Interest received</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379</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to extinguishment of convertible notes see Note 10.</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1020" w:hanging="322"/>
        <w:spacing w:after="0"/>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3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(collectively with its subsidiaries, the “Company”) and its wholly-owned subsidiaries, Protalix Ltd. and Protalix B.V. (collectively, the “Subsidiaries”), are biopharmaceutical companies focused on the development and commercialization of recombinant therapeutic proteins based on the Company’s proprietary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protein expression system (“ProCellEx”). To date, the Company has successfully developed taliglucerase alfa (marketed under the name BioManguinhos alfataliglicerase in Brazil and certain other Latin American countries and 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rest of the territories) for the treatment of Gaucher disease that has been approved for marketing in the United States, Brazil, Israel and other markets. The Company has a number of product candidates in varying stages of the clinical development process. The Company’s strategy is to develop proprietary recombinant proteins that are therapeutically superior to existing recombinant proteins currently marketed for the same indications.</w:t>
      </w:r>
    </w:p>
    <w:p>
      <w:pPr>
        <w:spacing w:after="0" w:line="179" w:lineRule="exact"/>
        <w:rPr>
          <w:rFonts w:ascii="Times New Roman" w:cs="Times New Roman" w:eastAsia="Times New Roman" w:hAnsi="Times New Roman"/>
          <w:sz w:val="18"/>
          <w:szCs w:val="18"/>
          <w:b w:val="1"/>
          <w:bCs w:val="1"/>
          <w:color w:val="auto"/>
        </w:rPr>
      </w:pPr>
    </w:p>
    <w:p>
      <w:pPr>
        <w:ind w:left="1020" w:right="319"/>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August 25, 2021, the Company completed exchanges (the “Exchanges”) of the Company’s outstanding 7.50% Senior Secured Convertible Notes due 2021 (the “2021 Notes”) with institutional note holders of a substantial majority of the 2021 Notes. The Exchanges involved the exchange of an aggregate of</w:t>
      </w:r>
    </w:p>
    <w:p>
      <w:pPr>
        <w:spacing w:after="0" w:line="1" w:lineRule="exact"/>
        <w:rPr>
          <w:rFonts w:ascii="Times New Roman" w:cs="Times New Roman" w:eastAsia="Times New Roman" w:hAnsi="Times New Roman"/>
          <w:sz w:val="18"/>
          <w:szCs w:val="18"/>
          <w:b w:val="1"/>
          <w:bCs w:val="1"/>
          <w:color w:val="auto"/>
        </w:rPr>
      </w:pPr>
    </w:p>
    <w:p>
      <w:pPr>
        <w:ind w:left="1020" w:right="7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$54.65 million principal amount of the Company’s outstanding 2021 Notes for an aggregate of $28.75 million principal amount of newly issued 7.50% Senior Secured Convertible Notes due 2024 (the “2024 Notes”), $25.90 million in cash, and approximately $1.1 million in cash representing accrued and unpaid interest through the closing date. The initial conversion rate for the 2024 Notes is 563.2216 shares of common stock, par value $0.001 per share (the “Common Stock”), for each $1,000 principal amount of 2024 Notes (equivalent to an initial conversion price of approximately $1.7755 per share of the Common Stock), subject to adjustment in certain circumstances. This initial conversion price represents a premium of approximately 32.5% relative to the closing price of the Common Stock on the NYSE American on August 13, 2021. See also note 10.</w:t>
      </w:r>
    </w:p>
    <w:p>
      <w:pPr>
        <w:spacing w:after="0" w:line="152" w:lineRule="exact"/>
        <w:rPr>
          <w:rFonts w:ascii="Times New Roman" w:cs="Times New Roman" w:eastAsia="Times New Roman" w:hAnsi="Times New Roman"/>
          <w:sz w:val="18"/>
          <w:szCs w:val="18"/>
          <w:b w:val="1"/>
          <w:bCs w:val="1"/>
          <w:color w:val="auto"/>
        </w:rPr>
      </w:pPr>
    </w:p>
    <w:p>
      <w:pPr>
        <w:ind w:left="1020" w:right="11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most advanced investigational drug in the Company’s product pipeline is pegunigalsidase alfa, or PRX-102, a therapeutic protein candidate for the treatment of Fabry disease, a rare, genetic lysosomal disorder, which is the subject of a phase III clinical program. The PRX-102 phase III clinical program includes three separate studies which are referred to as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BRIDGE</w:t>
      </w:r>
      <w:r>
        <w:rPr>
          <w:rFonts w:ascii="Times New Roman" w:cs="Times New Roman" w:eastAsia="Times New Roman" w:hAnsi="Times New Roman"/>
          <w:sz w:val="18"/>
          <w:szCs w:val="18"/>
          <w:color w:val="auto"/>
        </w:rPr>
        <w:t xml:space="preserve"> study and the </w:t>
      </w:r>
      <w:r>
        <w:rPr>
          <w:rFonts w:ascii="Times New Roman" w:cs="Times New Roman" w:eastAsia="Times New Roman" w:hAnsi="Times New Roman"/>
          <w:sz w:val="18"/>
          <w:szCs w:val="18"/>
          <w:i w:val="1"/>
          <w:iCs w:val="1"/>
          <w:color w:val="auto"/>
        </w:rPr>
        <w:t>BRIGHT</w:t>
      </w:r>
      <w:r>
        <w:rPr>
          <w:rFonts w:ascii="Times New Roman" w:cs="Times New Roman" w:eastAsia="Times New Roman" w:hAnsi="Times New Roman"/>
          <w:sz w:val="18"/>
          <w:szCs w:val="18"/>
          <w:color w:val="auto"/>
        </w:rPr>
        <w:t xml:space="preserve"> study. The </w:t>
      </w:r>
      <w:r>
        <w:rPr>
          <w:rFonts w:ascii="Times New Roman" w:cs="Times New Roman" w:eastAsia="Times New Roman" w:hAnsi="Times New Roman"/>
          <w:sz w:val="18"/>
          <w:szCs w:val="18"/>
          <w:i w:val="1"/>
          <w:iCs w:val="1"/>
          <w:color w:val="auto"/>
        </w:rPr>
        <w:t xml:space="preserve">BRIDGE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BRIGHT </w:t>
      </w:r>
      <w:r>
        <w:rPr>
          <w:rFonts w:ascii="Times New Roman" w:cs="Times New Roman" w:eastAsia="Times New Roman" w:hAnsi="Times New Roman"/>
          <w:sz w:val="18"/>
          <w:szCs w:val="18"/>
          <w:color w:val="auto"/>
        </w:rPr>
        <w:t>studies have been completed, and the last patient from the BALANCE study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dose of the study in October 2021. In addition, the phase III clinical program includes two extension studies in which subjects that participated in our phase I/II clinical trials and our phase III clinical trials may enroll and continue to be treated with PRX-102. The studies are designed to evaluate the potential superiority of PRX-102 over current therapies in a head-to-head study and a switch-over study, evaluate the potential for improved efficacy and better quality of life for patients with Fabry disease and evaluate the safety of our drug/therapy.</w:t>
      </w:r>
    </w:p>
    <w:p>
      <w:pPr>
        <w:spacing w:after="0" w:line="151" w:lineRule="exact"/>
        <w:rPr>
          <w:rFonts w:ascii="Times New Roman" w:cs="Times New Roman" w:eastAsia="Times New Roman" w:hAnsi="Times New Roman"/>
          <w:sz w:val="18"/>
          <w:szCs w:val="18"/>
          <w:b w:val="1"/>
          <w:bCs w:val="1"/>
          <w:color w:val="auto"/>
        </w:rPr>
      </w:pPr>
    </w:p>
    <w:p>
      <w:pPr>
        <w:ind w:left="1020" w:right="13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7, 2022, a Marketing Authorization Application (“MAA”) for PRX-102 was submitted to, and subsequently validated by, the European Medicines Agency (“EMA”). The submission was made after the October 8, 2021 meeting the Company held, together with Chiesi, with the Rapporteur and Co-Rapporteur of the EMA regarding PRX-102. At the meeting, Chiesi and the Company discussed the scope of the then anticipated MAA submission for the European Union, and the Rapporteur and Co-Rapporteur were generally supportive of the planned MAA submission for PRX-102.</w:t>
      </w:r>
    </w:p>
    <w:p>
      <w:pPr>
        <w:spacing w:after="0" w:line="160" w:lineRule="exact"/>
        <w:rPr>
          <w:rFonts w:ascii="Times New Roman" w:cs="Times New Roman" w:eastAsia="Times New Roman" w:hAnsi="Times New Roman"/>
          <w:sz w:val="18"/>
          <w:szCs w:val="18"/>
          <w:b w:val="1"/>
          <w:bCs w:val="1"/>
          <w:color w:val="auto"/>
        </w:rPr>
      </w:pPr>
    </w:p>
    <w:p>
      <w:pPr>
        <w:ind w:left="1020" w:right="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28, 2021, the Company, together with its development and commercialization partner for PRX-102, Chiesi Farmaceutici S.p.A. (“Chiesi”), announced that the receipt of a Complete Response Letter (CRL) from the U.S. Food and Drug Administration (the “FDA”) regarding the biologics license application (“BLA”) for PRX-102 for the treatment of adult patients with Fabry disease. The PRX-102 BLA was submitted to the FDA on May 27, 2020 under the FDA’s Accelerated Approval pathway,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9"/>
        <w:spacing w:after="0" w:line="252" w:lineRule="auto"/>
        <w:rPr>
          <w:sz w:val="20"/>
          <w:szCs w:val="20"/>
          <w:color w:val="auto"/>
        </w:rPr>
      </w:pPr>
      <w:r>
        <w:rPr>
          <w:rFonts w:ascii="Times New Roman" w:cs="Times New Roman" w:eastAsia="Times New Roman" w:hAnsi="Times New Roman"/>
          <w:sz w:val="18"/>
          <w:szCs w:val="18"/>
          <w:color w:val="auto"/>
        </w:rPr>
        <w:t>was subsequently accepted by the FDA and granted Priority Review designation. The CRL did not report any concerns relating to the potential safety or efficacy of PRX-102 in the submitted data package. In the CRL, the FDA noted that an inspection of the Company’s manufacturing facility in Carmiel, Israel, including the FDA’s subsequent assessment of any related FDA findings, is required before the FDA can approve a resubmitted BLA. Due to travel restrictions, the FDA was unable to conduct the required inspection during the review cycle. The FDA explained in the letter that it will continue to monitor the public health situation as well as travel restrictions, and is actively working to define an approach for scheduling outstanding inspections. With respect to the third-party facility in Europe at which fill and finish processes are performed for PRX-102, due to the novel coronavirus disease (“COVID-19”), the FDA reviewed records under Section 704(a)(4) of the Federal Food, Drug, and Cosmetic Act in lieu of a pre-licensing inspection. In the CRL, the FDA stated that it will communicate remaining issues to the facility in order to seek prompt resolution of any pending items. In addition to the foregoing, in the CRL, the FDA noted that Fabrazyme (agalsidase beta), a therapy used to treat Fabry patients, was recently converted to full approval and is now an “available therapy,” which must be addressed in the context of any potential resubmission of a BLA for PRX-102.</w:t>
      </w:r>
    </w:p>
    <w:p>
      <w:pPr>
        <w:spacing w:after="0" w:line="157" w:lineRule="exact"/>
        <w:rPr>
          <w:sz w:val="20"/>
          <w:szCs w:val="20"/>
          <w:color w:val="auto"/>
        </w:rPr>
      </w:pPr>
    </w:p>
    <w:p>
      <w:pPr>
        <w:ind w:left="1020" w:right="199"/>
        <w:spacing w:after="0" w:line="254" w:lineRule="auto"/>
        <w:rPr>
          <w:sz w:val="20"/>
          <w:szCs w:val="20"/>
          <w:color w:val="auto"/>
        </w:rPr>
      </w:pPr>
      <w:r>
        <w:rPr>
          <w:rFonts w:ascii="Times New Roman" w:cs="Times New Roman" w:eastAsia="Times New Roman" w:hAnsi="Times New Roman"/>
          <w:sz w:val="18"/>
          <w:szCs w:val="18"/>
          <w:color w:val="auto"/>
        </w:rPr>
        <w:t xml:space="preserve">The Company and Chiesi participated in a Type A (End of Review) meeting with the FDA on September 9, 2021. As part of the meeting minutes provided by the FDA, which included the preliminary comments and meeting discussion, the FDA, in principle, agreed that the data package proposed to the FDA for a BLA resubmission has the potential to support a traditional approval of PRX-102 for the treatment of Fabry disease. The planned data package for the BLA resubmission, given the changed regulatory landscape in the United States, will include the final two-year analyses of the </w:t>
      </w:r>
      <w:r>
        <w:rPr>
          <w:rFonts w:ascii="Times New Roman" w:cs="Times New Roman" w:eastAsia="Times New Roman" w:hAnsi="Times New Roman"/>
          <w:sz w:val="18"/>
          <w:szCs w:val="18"/>
          <w:i w:val="1"/>
          <w:iCs w:val="1"/>
          <w:color w:val="auto"/>
        </w:rPr>
        <w:t>BALANCE</w:t>
      </w:r>
      <w:r>
        <w:rPr>
          <w:rFonts w:ascii="Times New Roman" w:cs="Times New Roman" w:eastAsia="Times New Roman" w:hAnsi="Times New Roman"/>
          <w:sz w:val="18"/>
          <w:szCs w:val="18"/>
          <w:color w:val="auto"/>
        </w:rPr>
        <w:t xml:space="preserve"> study. The Company intends to continue to work collaboratively with the FDA to resolve the issues noted in the CRL and provide a new, alternative drug to Fabry patients.</w:t>
      </w:r>
    </w:p>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addition to PRX-102, the Company’s product pipeline currently includes, among other candidates:</w:t>
      </w:r>
    </w:p>
    <w:p>
      <w:pPr>
        <w:spacing w:after="0" w:line="198" w:lineRule="exact"/>
        <w:rPr>
          <w:sz w:val="20"/>
          <w:szCs w:val="20"/>
          <w:color w:val="auto"/>
        </w:rPr>
      </w:pPr>
    </w:p>
    <w:p>
      <w:pPr>
        <w:ind w:left="1380" w:right="119" w:hanging="331"/>
        <w:spacing w:after="0" w:line="273" w:lineRule="auto"/>
        <w:tabs>
          <w:tab w:leader="none" w:pos="13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alidornase alfa, or PRX-110, a proprietary plant cell recombinant human Deoxyribonuclease 1, or DNase, which has successfully completed a phase II efficacy and safety study; the Company’s exclusive worldwide license agreement with SarcoMed USA Inc. with respect to PRX-110 for use in the treatment of any human respiratory disease or condition including, but not limited to, sarcoidosis, pulmonary fibrosis, and other related diseases via inhaled delivery expired during 2021; we are continuing to evaluate potential strategic marketing partnerships and collaboration programs with biotechnology and pharmaceutical companies for this product candidate for various respiratory indications;</w:t>
      </w:r>
    </w:p>
    <w:p>
      <w:pPr>
        <w:spacing w:after="0" w:line="130" w:lineRule="exact"/>
        <w:rPr>
          <w:rFonts w:ascii="Times New Roman" w:cs="Times New Roman" w:eastAsia="Times New Roman" w:hAnsi="Times New Roman"/>
          <w:sz w:val="17"/>
          <w:szCs w:val="17"/>
          <w:color w:val="auto"/>
        </w:rPr>
      </w:pPr>
    </w:p>
    <w:p>
      <w:pPr>
        <w:ind w:left="1380" w:right="619" w:hanging="331"/>
        <w:spacing w:after="0" w:line="282"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PRX-115, the Company’s plant cell-expressed recombinant PEGylated uricase (urate oxidase) – a chemically modified enzyme to treat refractory gout; and</w:t>
      </w:r>
    </w:p>
    <w:p>
      <w:pPr>
        <w:spacing w:after="0" w:line="121" w:lineRule="exact"/>
        <w:rPr>
          <w:rFonts w:ascii="Times New Roman" w:cs="Times New Roman" w:eastAsia="Times New Roman" w:hAnsi="Times New Roman"/>
          <w:sz w:val="18"/>
          <w:szCs w:val="18"/>
          <w:color w:val="auto"/>
        </w:rPr>
      </w:pPr>
    </w:p>
    <w:p>
      <w:pPr>
        <w:ind w:left="1380" w:right="779" w:hanging="331"/>
        <w:spacing w:after="0" w:line="312" w:lineRule="auto"/>
        <w:tabs>
          <w:tab w:leader="none" w:pos="13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PRX-119, the Company’s plant cell-expressed PEGylated recombinant human DNase I product candidate being designed to elongate half-life in the circulation for NETs-related diseases.</w:t>
      </w:r>
    </w:p>
    <w:p>
      <w:pPr>
        <w:spacing w:after="0" w:line="113" w:lineRule="exact"/>
        <w:rPr>
          <w:sz w:val="20"/>
          <w:szCs w:val="20"/>
          <w:color w:val="auto"/>
        </w:rPr>
      </w:pPr>
    </w:p>
    <w:p>
      <w:pPr>
        <w:ind w:left="1020" w:right="559"/>
        <w:spacing w:after="0" w:line="266" w:lineRule="auto"/>
        <w:rPr>
          <w:sz w:val="20"/>
          <w:szCs w:val="20"/>
          <w:color w:val="auto"/>
        </w:rPr>
      </w:pPr>
      <w:r>
        <w:rPr>
          <w:rFonts w:ascii="Times New Roman" w:cs="Times New Roman" w:eastAsia="Times New Roman" w:hAnsi="Times New Roman"/>
          <w:sz w:val="18"/>
          <w:szCs w:val="18"/>
          <w:color w:val="auto"/>
        </w:rPr>
        <w:t>Obtaining marketing approval with respect to any product candidate in any country is dependent on the Company’s ability to implement the necessary regulatory steps required to obtain such approvals. The Company cannot reasonably predict the outcome of these activities.</w:t>
      </w:r>
    </w:p>
    <w:p>
      <w:pPr>
        <w:spacing w:after="0" w:line="135" w:lineRule="exact"/>
        <w:rPr>
          <w:sz w:val="20"/>
          <w:szCs w:val="20"/>
          <w:color w:val="auto"/>
        </w:rPr>
      </w:pPr>
    </w:p>
    <w:p>
      <w:pPr>
        <w:ind w:left="1020" w:right="159"/>
        <w:spacing w:after="0" w:line="236" w:lineRule="auto"/>
        <w:rPr>
          <w:sz w:val="20"/>
          <w:szCs w:val="20"/>
          <w:color w:val="auto"/>
        </w:rPr>
      </w:pPr>
      <w:r>
        <w:rPr>
          <w:rFonts w:ascii="Times New Roman" w:cs="Times New Roman" w:eastAsia="Times New Roman" w:hAnsi="Times New Roman"/>
          <w:sz w:val="18"/>
          <w:szCs w:val="18"/>
          <w:color w:val="auto"/>
        </w:rPr>
        <w:t>On July 2, 2021, the Company entered into an At The Market Offering Agreement (the “Sales Agreement”) with H.C. Wainwright &amp; Co., LLC, as the Company’s sales agent (the “Agent”). Pursuant to the terms of the Sales Agreement, the Company may sell from time to time through the Agent shares of its Common Stock having an aggregate offering price of up to $20.0 million (the “ATM Shares”). Upon execution of the Sales Agreement, the Company terminated the ATM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“BofA Agreement”) it had entered into on October 1, 2020 with BofA Securities, Inc. (“BofA Securities”). During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659"/>
        <w:spacing w:after="0" w:line="282" w:lineRule="auto"/>
        <w:rPr>
          <w:sz w:val="20"/>
          <w:szCs w:val="20"/>
          <w:color w:val="auto"/>
        </w:rPr>
      </w:pPr>
      <w:r>
        <w:rPr>
          <w:rFonts w:ascii="Times New Roman" w:cs="Times New Roman" w:eastAsia="Times New Roman" w:hAnsi="Times New Roman"/>
          <w:sz w:val="18"/>
          <w:szCs w:val="18"/>
          <w:color w:val="auto"/>
        </w:rPr>
        <w:t>the term of the sales agreement with BofA Securities, the Company sold a total of 3,296,123 shares of Common Stock for total gross proceeds of approximately $13.8 million.</w:t>
      </w:r>
    </w:p>
    <w:p>
      <w:pPr>
        <w:spacing w:after="0" w:line="121" w:lineRule="exact"/>
        <w:rPr>
          <w:sz w:val="20"/>
          <w:szCs w:val="20"/>
          <w:color w:val="auto"/>
        </w:rPr>
      </w:pPr>
    </w:p>
    <w:p>
      <w:pPr>
        <w:ind w:left="1020" w:right="139"/>
        <w:spacing w:after="0" w:line="261" w:lineRule="auto"/>
        <w:rPr>
          <w:sz w:val="20"/>
          <w:szCs w:val="20"/>
          <w:color w:val="auto"/>
        </w:rPr>
      </w:pPr>
      <w:r>
        <w:rPr>
          <w:rFonts w:ascii="Times New Roman" w:cs="Times New Roman" w:eastAsia="Times New Roman" w:hAnsi="Times New Roman"/>
          <w:sz w:val="18"/>
          <w:szCs w:val="18"/>
          <w:color w:val="auto"/>
        </w:rPr>
        <w:t>On February 17, 2021, the Company closed a public offering of its Common Stock, raising gross proceeds of approximately $40.2 million at a price equal to $4.60 per share, before deducting the underwriting discount and estimated expenses of the offering. BofA Securities acted as book-running manager for the offering with Oppenheimer &amp; Co. acting as co-manager.</w:t>
      </w:r>
    </w:p>
    <w:p>
      <w:pPr>
        <w:spacing w:after="0" w:line="139" w:lineRule="exact"/>
        <w:rPr>
          <w:sz w:val="20"/>
          <w:szCs w:val="20"/>
          <w:color w:val="auto"/>
        </w:rPr>
      </w:pPr>
    </w:p>
    <w:p>
      <w:pPr>
        <w:ind w:left="1020" w:right="119"/>
        <w:spacing w:after="0" w:line="254" w:lineRule="auto"/>
        <w:rPr>
          <w:sz w:val="20"/>
          <w:szCs w:val="20"/>
          <w:color w:val="auto"/>
        </w:rPr>
      </w:pPr>
      <w:r>
        <w:rPr>
          <w:rFonts w:ascii="Times New Roman" w:cs="Times New Roman" w:eastAsia="Times New Roman" w:hAnsi="Times New Roman"/>
          <w:sz w:val="18"/>
          <w:szCs w:val="18"/>
          <w:color w:val="auto"/>
        </w:rPr>
        <w:t>On March 18, 2020, the Company completed a private placement of its Common Stock and warrants. In connection with the offering, the Company issued 17,604,423 unregistered shares of Common Stock at a purchase price per share of $2.485 and warrants to purchase an additional 17,604,423 shares of Common Stock at an exercise price of $2.36 per share. The warrants were exercisable commencing six months following their issuance for a period of five years from the date of issuance. For accounting purposes, the warrants are classified as equity considering the warrants’ terms. The net proceeds generated from the private placement were approximately $41.3 million, after deducting advisory fees and other estimated offering expenses.</w:t>
      </w:r>
    </w:p>
    <w:p>
      <w:pPr>
        <w:spacing w:after="0" w:line="165" w:lineRule="exact"/>
        <w:rPr>
          <w:sz w:val="20"/>
          <w:szCs w:val="20"/>
          <w:color w:val="auto"/>
        </w:rPr>
      </w:pPr>
    </w:p>
    <w:p>
      <w:pPr>
        <w:ind w:left="1020" w:right="159"/>
        <w:spacing w:after="0" w:line="258" w:lineRule="auto"/>
        <w:rPr>
          <w:sz w:val="20"/>
          <w:szCs w:val="20"/>
          <w:color w:val="auto"/>
        </w:rPr>
      </w:pPr>
      <w:r>
        <w:rPr>
          <w:rFonts w:ascii="Times New Roman" w:cs="Times New Roman" w:eastAsia="Times New Roman" w:hAnsi="Times New Roman"/>
          <w:sz w:val="18"/>
          <w:szCs w:val="18"/>
          <w:color w:val="auto"/>
        </w:rPr>
        <w:t>On October 19, 2017, Protalix Ltd. and Chiesi entered into an Exclusive License and Supply Agreement (the “Chiesi Ex-US Agreement”) pursuant to which Protalix Ltd. granted to Chiesi an exclusive license for all markets outside of the United States to commercialize pegunigalsidase alfa. On July 23, 2018, Protalix Ltd. entered into an Exclusive License and Supply Agreement with Chiesi (the “Chiesi US Agreement”) with respect to the commercialization of pegunigalsidase alfa in the United States.</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Under each of the Chiesi Ex-US Agreement and the Chiesi US Agreement (collectively, the “Chiesi</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Agreements”), Chiesi made an upfront payment to Protalix Ltd. of $25.0 million in connection with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execution of each agreement. In addition, under the Chiesi Ex-US Agreement, Protalix Ltd. is entitled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 payments of up to $25.0 million in pegunigalsidase alfa development costs, and to receive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 payments of up to $320.0 million, in the aggregate, in regulatory and commercial milestone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payments. Under the Chiesi US Agreement, Protalix Ltd. is entitled to payments of up to a maximum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$20.0 million to cover development costs for pegunigalsidase alfa, and to receive additional payments of up</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to a maximum of $760.0 million, in the aggregate, in regulatory and commercial milestone payments.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date, Protalix Ltd. has received the complete amount of development costs to which it is entitled under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Chiesi Agreements.</w:t>
      </w:r>
    </w:p>
    <w:p>
      <w:pPr>
        <w:spacing w:after="0" w:line="166" w:lineRule="exact"/>
        <w:rPr>
          <w:sz w:val="20"/>
          <w:szCs w:val="20"/>
          <w:color w:val="auto"/>
        </w:rPr>
      </w:pPr>
    </w:p>
    <w:p>
      <w:pPr>
        <w:ind w:left="1020" w:right="79"/>
        <w:spacing w:after="0" w:line="255" w:lineRule="auto"/>
        <w:rPr>
          <w:sz w:val="20"/>
          <w:szCs w:val="20"/>
          <w:color w:val="auto"/>
        </w:rPr>
      </w:pPr>
      <w:r>
        <w:rPr>
          <w:rFonts w:ascii="Times New Roman" w:cs="Times New Roman" w:eastAsia="Times New Roman" w:hAnsi="Times New Roman"/>
          <w:sz w:val="18"/>
          <w:szCs w:val="18"/>
          <w:color w:val="auto"/>
        </w:rPr>
        <w:t>Under the terms of both of the Chiesi Agreements, Protalix Ltd. will manufacture all of the pegunigalsidase alfa needed under the agreements, subject to certain exceptions, and Chiesi will purchase pegunigalsidase alfa from Protalix, subject to certain terms and conditions. Under the Chiesi Ex-US Agreement, Chiesi is required to make tiered payments of 15% to 35% of its net sales, depending on the amount of annual sales outside of the United States, as consideration for product supply. Under the Chiesi US Agreement, Chiesi is required to make tiered payments of 15% to 40% of its net sales, depending on the amount of annual sales in the United States, as consideration for product supply.</w:t>
      </w:r>
    </w:p>
    <w:p>
      <w:pPr>
        <w:spacing w:after="0" w:line="162" w:lineRule="exact"/>
        <w:rPr>
          <w:sz w:val="20"/>
          <w:szCs w:val="20"/>
          <w:color w:val="auto"/>
        </w:rPr>
      </w:pPr>
    </w:p>
    <w:p>
      <w:pPr>
        <w:ind w:left="1020" w:right="139"/>
        <w:spacing w:after="0" w:line="255" w:lineRule="auto"/>
        <w:rPr>
          <w:sz w:val="20"/>
          <w:szCs w:val="20"/>
          <w:color w:val="auto"/>
        </w:rPr>
      </w:pPr>
      <w:r>
        <w:rPr>
          <w:rFonts w:ascii="Times New Roman" w:cs="Times New Roman" w:eastAsia="Times New Roman" w:hAnsi="Times New Roman"/>
          <w:sz w:val="18"/>
          <w:szCs w:val="18"/>
          <w:color w:val="auto"/>
        </w:rPr>
        <w:t>On May 13, 2021, the Company signed a binding term sheet with Chiesi pursuant to which the Company and Chiesi amended the Chiesi Agreements in order to provide the Company with near-term capital. Chiesi agreed to make a $10.0 million payment to the Company before the end of the second quarter of 2021 in exchange for a $25.0 million reduction in a longer term regulatory milestone payment provided in the Chiesi EX-US Agreement. All other regulatory and commercial milestone payments remain unchanged. The Company received the payment in June 2021. The Company also agreed to negotiate certain manufacturing related matters.</w:t>
      </w:r>
    </w:p>
    <w:p>
      <w:pPr>
        <w:spacing w:after="0" w:line="108" w:lineRule="exact"/>
        <w:rPr>
          <w:sz w:val="20"/>
          <w:szCs w:val="20"/>
          <w:color w:val="auto"/>
        </w:rPr>
      </w:pPr>
    </w:p>
    <w:p>
      <w:pPr>
        <w:ind w:left="1020" w:right="299"/>
        <w:spacing w:after="0" w:line="282" w:lineRule="auto"/>
        <w:rPr>
          <w:sz w:val="20"/>
          <w:szCs w:val="20"/>
          <w:color w:val="auto"/>
        </w:rPr>
      </w:pPr>
      <w:r>
        <w:rPr>
          <w:rFonts w:ascii="Times New Roman" w:cs="Times New Roman" w:eastAsia="Times New Roman" w:hAnsi="Times New Roman"/>
          <w:sz w:val="18"/>
          <w:szCs w:val="18"/>
          <w:color w:val="auto"/>
        </w:rPr>
        <w:t>Since its approval by the FDA, taliglucerase alfa has been marketed by Pfizer Inc. (“Pfizer”) in accordance with the exclusive license and supply agreement entered into between Protalix Ltd. and Pfizer, which 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9"/>
        <w:spacing w:after="0" w:line="255" w:lineRule="auto"/>
        <w:rPr>
          <w:sz w:val="20"/>
          <w:szCs w:val="20"/>
          <w:color w:val="auto"/>
        </w:rPr>
      </w:pPr>
      <w:r>
        <w:rPr>
          <w:rFonts w:ascii="Times New Roman" w:cs="Times New Roman" w:eastAsia="Times New Roman" w:hAnsi="Times New Roman"/>
          <w:sz w:val="18"/>
          <w:szCs w:val="18"/>
          <w:color w:val="auto"/>
        </w:rPr>
        <w:t>referred to herein as the Pfizer Agreement. In October 2015, Protalix Ltd. and Pfizer entered into an amended exclusive license and supply agreement, which is referred to herein as the Amended Pfizer Agreement, pursuant to which the Company sold to Pfizer its share in the collaboration created under the Pfizer Agreement for the commercialization of Elelyso. As part of the sale, the Company agreed to transfer its rights to Elelyso in Israel to Pfizer while gaining full rights to it in Brazil. Under the Amended Pfizer Agreement, Pfizer is entitled to all of the revenues, and is responsible for 100% of expenses globally for Elelyso, excluding Brazil where the Company is responsible for all expenses and retains all revenues.</w:t>
      </w:r>
    </w:p>
    <w:p>
      <w:pPr>
        <w:spacing w:after="0" w:line="148" w:lineRule="exact"/>
        <w:rPr>
          <w:sz w:val="20"/>
          <w:szCs w:val="20"/>
          <w:color w:val="auto"/>
        </w:rPr>
      </w:pPr>
    </w:p>
    <w:p>
      <w:pPr>
        <w:ind w:left="1020" w:right="119"/>
        <w:spacing w:after="0" w:line="255" w:lineRule="auto"/>
        <w:rPr>
          <w:sz w:val="20"/>
          <w:szCs w:val="20"/>
          <w:color w:val="auto"/>
        </w:rPr>
      </w:pPr>
      <w:r>
        <w:rPr>
          <w:rFonts w:ascii="Times New Roman" w:cs="Times New Roman" w:eastAsia="Times New Roman" w:hAnsi="Times New Roman"/>
          <w:sz w:val="18"/>
          <w:szCs w:val="18"/>
          <w:color w:val="auto"/>
        </w:rPr>
        <w:t>On June 18, 2013, the Company entered into a Supply and Technology Transfer Agreement (the “Brazil Agreement”) with Fundação Oswaldo Cruz (“Fiocruz”), an arm of the Brazilian Ministry of Health (the “Brazilian MoH”), for taliglucerase alfa. Fiocruz’s purchases of BioManguinhos alfataliglicerase to date have been significantly below certain agreed upon purchase milestones and, accordingly, the Company has the right to terminate the Brazil Agreement. Notwithstanding the termination right, the Company is, at this time, continuing to supply BioManguinhos alfataliglicerase to Fiocruz under the Brazil Agreement, and patients continue to be treated with BioManguinhos alfataliglicerase in Brazil.</w:t>
      </w:r>
    </w:p>
    <w:p>
      <w:pPr>
        <w:spacing w:after="0" w:line="148" w:lineRule="exact"/>
        <w:rPr>
          <w:sz w:val="20"/>
          <w:szCs w:val="20"/>
          <w:color w:val="auto"/>
        </w:rPr>
      </w:pPr>
    </w:p>
    <w:p>
      <w:pPr>
        <w:ind w:left="1020" w:right="79"/>
        <w:spacing w:after="0" w:line="254" w:lineRule="auto"/>
        <w:rPr>
          <w:sz w:val="20"/>
          <w:szCs w:val="20"/>
          <w:color w:val="auto"/>
        </w:rPr>
      </w:pPr>
      <w:r>
        <w:rPr>
          <w:rFonts w:ascii="Times New Roman" w:cs="Times New Roman" w:eastAsia="Times New Roman" w:hAnsi="Times New Roman"/>
          <w:sz w:val="18"/>
          <w:szCs w:val="18"/>
          <w:color w:val="auto"/>
        </w:rPr>
        <w:t>COVID-19, which was declared by the World Health Organization to be a global pandemic on March 11, 2020, has had numerous adverse effects on the global economy. To date, the Company's clinical trials have not been adversely affected by COVID-19, although certain practices the Company has adopted in its offices and facilities in an effort to promote social distancing have resulted in minor delays in the performance of administrative activities outside of the clinical programs. The Company continues to face uncertainty as to the degree and duration of that impact going forward. The Company does not know the length of time that the pandemic and related disruptions will continue, the impact of governmental regulations or easement of regulations in response to the strengthening or weakening of the pandemic, or the degree of overall potentially permanent changes in consumer behavior that may be caused by the pandemic.</w:t>
      </w:r>
    </w:p>
    <w:p>
      <w:pPr>
        <w:spacing w:after="0" w:line="161" w:lineRule="exact"/>
        <w:rPr>
          <w:sz w:val="20"/>
          <w:szCs w:val="20"/>
          <w:color w:val="auto"/>
        </w:rPr>
      </w:pPr>
    </w:p>
    <w:p>
      <w:pPr>
        <w:ind w:left="1020" w:right="119"/>
        <w:spacing w:after="0" w:line="282" w:lineRule="auto"/>
        <w:rPr>
          <w:sz w:val="20"/>
          <w:szCs w:val="20"/>
          <w:color w:val="auto"/>
        </w:rPr>
      </w:pPr>
      <w:r>
        <w:rPr>
          <w:rFonts w:ascii="Times New Roman" w:cs="Times New Roman" w:eastAsia="Times New Roman" w:hAnsi="Times New Roman"/>
          <w:sz w:val="18"/>
          <w:szCs w:val="18"/>
          <w:color w:val="auto"/>
        </w:rPr>
        <w:t>The Company believes that its cash and cash equivalents as of December 31, 2021 are sufficient to satisfy the Company’s capital needs for at least 12 months from the date that these financial statements are issued.</w:t>
      </w:r>
    </w:p>
    <w:p>
      <w:pPr>
        <w:spacing w:after="0" w:line="117" w:lineRule="exact"/>
        <w:rPr>
          <w:sz w:val="20"/>
          <w:szCs w:val="20"/>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in the United States (“U.S. GAAP”).</w:t>
      </w:r>
    </w:p>
    <w:p>
      <w:pPr>
        <w:spacing w:after="0" w:line="130"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188" w:lineRule="exact"/>
        <w:rPr>
          <w:rFonts w:ascii="Times New Roman" w:cs="Times New Roman" w:eastAsia="Times New Roman" w:hAnsi="Times New Roman"/>
          <w:sz w:val="18"/>
          <w:szCs w:val="18"/>
          <w:b w:val="1"/>
          <w:bCs w:val="1"/>
          <w:color w:val="auto"/>
        </w:rPr>
      </w:pPr>
    </w:p>
    <w:p>
      <w:pPr>
        <w:ind w:left="1020" w:right="2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may differ from those estimates. As applicable to these consolidated financial statements, the most significant estimates relate to revenue recognition.</w:t>
      </w:r>
    </w:p>
    <w:p>
      <w:pPr>
        <w:spacing w:after="0" w:line="142" w:lineRule="exact"/>
        <w:rPr>
          <w:rFonts w:ascii="Times New Roman" w:cs="Times New Roman" w:eastAsia="Times New Roman" w:hAnsi="Times New Roman"/>
          <w:sz w:val="18"/>
          <w:szCs w:val="18"/>
          <w:b w:val="1"/>
          <w:bCs w:val="1"/>
          <w:color w:val="auto"/>
        </w:rPr>
      </w:pPr>
    </w:p>
    <w:p>
      <w:pPr>
        <w:ind w:left="1020" w:right="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severity, magnitude and duration, as well as the economic consequences, of the COVID-19 pandemic, are uncertain, rapidly changing and difficult to predict. As a result, the accounting estimates and assumptions may change over time in response to COVID-19.</w:t>
      </w:r>
    </w:p>
    <w:p>
      <w:pPr>
        <w:spacing w:after="0" w:line="144"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188" w:lineRule="exact"/>
        <w:rPr>
          <w:rFonts w:ascii="Times New Roman" w:cs="Times New Roman" w:eastAsia="Times New Roman" w:hAnsi="Times New Roman"/>
          <w:sz w:val="18"/>
          <w:szCs w:val="18"/>
          <w:b w:val="1"/>
          <w:bCs w:val="1"/>
          <w:color w:val="auto"/>
        </w:rPr>
      </w:pPr>
    </w:p>
    <w:p>
      <w:pPr>
        <w:ind w:left="1020" w:right="1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dollar is the currency of the primary economic environment in which the operations of the Company and its Subsidiaries are conducted. The Company’s revenues are derived in dollars. Most of the Company’s expenses and capital expenditures are incurred in dollars, and the major source of the Company’s financing has been provided in dollars.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119"/>
        <w:spacing w:after="0" w:line="255" w:lineRule="auto"/>
        <w:rPr>
          <w:sz w:val="20"/>
          <w:szCs w:val="20"/>
          <w:color w:val="auto"/>
        </w:rPr>
      </w:pPr>
      <w:r>
        <w:rPr>
          <w:rFonts w:ascii="Times New Roman" w:cs="Times New Roman" w:eastAsia="Times New Roman" w:hAnsi="Times New Roman"/>
          <w:sz w:val="18"/>
          <w:szCs w:val="18"/>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(stated below) reflected in the statements of operations, the following exchange rates are used: (i) for transactions – exchange rates at the transaction dates or average rates; and (ii) for other items (derived from non-monetary balance sheet items such as depreciation and amortization, etc.) – historical exchange rates. Currency translation gains and losses are recorded as financial income or expenses, as appropriate.</w:t>
      </w:r>
    </w:p>
    <w:p>
      <w:pPr>
        <w:spacing w:after="0" w:line="144" w:lineRule="exact"/>
        <w:rPr>
          <w:sz w:val="20"/>
          <w:szCs w:val="20"/>
          <w:color w:val="auto"/>
        </w:rPr>
      </w:pPr>
    </w:p>
    <w:p>
      <w:pPr>
        <w:ind w:left="1000" w:hanging="302"/>
        <w:spacing w:after="0"/>
        <w:tabs>
          <w:tab w:leader="none" w:pos="10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equivalents</w:t>
      </w:r>
    </w:p>
    <w:p>
      <w:pPr>
        <w:spacing w:after="0" w:line="188" w:lineRule="exact"/>
        <w:rPr>
          <w:rFonts w:ascii="Times New Roman" w:cs="Times New Roman" w:eastAsia="Times New Roman" w:hAnsi="Times New Roman"/>
          <w:sz w:val="18"/>
          <w:szCs w:val="18"/>
          <w:b w:val="1"/>
          <w:bCs w:val="1"/>
          <w:color w:val="auto"/>
        </w:rPr>
      </w:pPr>
    </w:p>
    <w:p>
      <w:pPr>
        <w:ind w:left="1020" w:right="3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all short-term, highly liquid investments, which include short-term bank deposits with original maturities of three months or less from the date of purchase, that are not restricted as to withdrawal or use and are readily convertible to known amounts of cash, to be cash equivalents.</w:t>
      </w:r>
    </w:p>
    <w:p>
      <w:pPr>
        <w:spacing w:after="0" w:line="144"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w:t>
      </w:r>
    </w:p>
    <w:p>
      <w:pPr>
        <w:spacing w:after="0" w:line="189" w:lineRule="exact"/>
        <w:rPr>
          <w:sz w:val="20"/>
          <w:szCs w:val="20"/>
          <w:color w:val="auto"/>
        </w:rPr>
      </w:pPr>
    </w:p>
    <w:p>
      <w:pPr>
        <w:ind w:left="1140" w:right="119"/>
        <w:spacing w:after="0" w:line="256" w:lineRule="auto"/>
        <w:rPr>
          <w:sz w:val="20"/>
          <w:szCs w:val="20"/>
          <w:color w:val="auto"/>
        </w:rPr>
      </w:pPr>
      <w:r>
        <w:rPr>
          <w:rFonts w:ascii="Times New Roman" w:cs="Times New Roman" w:eastAsia="Times New Roman" w:hAnsi="Times New Roman"/>
          <w:sz w:val="18"/>
          <w:szCs w:val="18"/>
          <w:color w:val="auto"/>
        </w:rPr>
        <w:t>Accounts receivable have been reduced by an allowance for doubtful accounts.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 write-off activity and recoveries for the periods presented were recognized.</w:t>
      </w:r>
    </w:p>
    <w:p>
      <w:pPr>
        <w:spacing w:after="0" w:line="194" w:lineRule="exact"/>
        <w:rPr>
          <w:sz w:val="20"/>
          <w:szCs w:val="20"/>
          <w:color w:val="auto"/>
        </w:rPr>
      </w:pPr>
    </w:p>
    <w:p>
      <w:pPr>
        <w:ind w:left="1020" w:hanging="322"/>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88" w:lineRule="exact"/>
        <w:rPr>
          <w:rFonts w:ascii="Times New Roman" w:cs="Times New Roman" w:eastAsia="Times New Roman" w:hAnsi="Times New Roman"/>
          <w:sz w:val="18"/>
          <w:szCs w:val="18"/>
          <w:b w:val="1"/>
          <w:bCs w:val="1"/>
          <w:color w:val="auto"/>
        </w:rPr>
      </w:pPr>
    </w:p>
    <w:p>
      <w:pPr>
        <w:ind w:left="102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valued at the lower of cost or net realizable value. Cost of raw and packaging materials and purchased products is determined using the “moving average” basis.</w:t>
      </w:r>
    </w:p>
    <w:p>
      <w:pPr>
        <w:spacing w:after="0" w:line="121" w:lineRule="exact"/>
        <w:rPr>
          <w:rFonts w:ascii="Times New Roman" w:cs="Times New Roman" w:eastAsia="Times New Roman" w:hAnsi="Times New Roman"/>
          <w:sz w:val="18"/>
          <w:szCs w:val="18"/>
          <w:b w:val="1"/>
          <w:bCs w:val="1"/>
          <w:color w:val="auto"/>
        </w:rPr>
      </w:pPr>
    </w:p>
    <w:p>
      <w:pPr>
        <w:jc w:val="both"/>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finished products is determined as follows: the value of the raw and packaging materials component is determined primarily using the “moving average” basis; the value of the labor and overhead component is determined on an average basis over the production period.</w:t>
      </w:r>
    </w:p>
    <w:p>
      <w:pPr>
        <w:spacing w:after="0" w:line="148" w:lineRule="exact"/>
        <w:rPr>
          <w:rFonts w:ascii="Times New Roman" w:cs="Times New Roman" w:eastAsia="Times New Roman" w:hAnsi="Times New Roman"/>
          <w:sz w:val="18"/>
          <w:szCs w:val="18"/>
          <w:b w:val="1"/>
          <w:bCs w:val="1"/>
          <w:color w:val="auto"/>
        </w:rPr>
      </w:pPr>
    </w:p>
    <w:p>
      <w:pPr>
        <w:ind w:left="1020" w:right="4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is written down for estimated obsolescence based upon management assumptions about future demand and market conditions.</w:t>
      </w:r>
    </w:p>
    <w:p>
      <w:pPr>
        <w:spacing w:after="0" w:line="117"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88"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w:t>
      </w:r>
    </w:p>
    <w:p>
      <w:pPr>
        <w:spacing w:after="0" w:line="198" w:lineRule="exact"/>
        <w:rPr>
          <w:rFonts w:ascii="Times New Roman" w:cs="Times New Roman" w:eastAsia="Times New Roman" w:hAnsi="Times New Roman"/>
          <w:sz w:val="18"/>
          <w:szCs w:val="18"/>
          <w:color w:val="auto"/>
        </w:rPr>
      </w:pPr>
    </w:p>
    <w:p>
      <w:pPr>
        <w:ind w:left="1340" w:right="259" w:hanging="318"/>
        <w:spacing w:after="0" w:line="282" w:lineRule="auto"/>
        <w:tabs>
          <w:tab w:leader="none" w:pos="132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are depreciated by the straight-line method on the basis of their estimated useful lives as follows:</w:t>
      </w:r>
    </w:p>
    <w:p>
      <w:pPr>
        <w:spacing w:after="0" w:line="12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bl>
    <w:p>
      <w:pPr>
        <w:spacing w:after="0" w:line="198" w:lineRule="exact"/>
        <w:rPr>
          <w:sz w:val="20"/>
          <w:szCs w:val="20"/>
          <w:color w:val="auto"/>
        </w:rPr>
      </w:pPr>
    </w:p>
    <w:p>
      <w:pPr>
        <w:ind w:left="1020" w:right="219"/>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(i) the expected lease term and (ii) the estimated useful life of the improvements.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980" w:hanging="282"/>
        <w:spacing w:after="0"/>
        <w:tabs>
          <w:tab w:leader="none" w:pos="9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in value of long-lived assets</w:t>
      </w:r>
    </w:p>
    <w:p>
      <w:pPr>
        <w:spacing w:after="0" w:line="189" w:lineRule="exact"/>
        <w:rPr>
          <w:sz w:val="20"/>
          <w:szCs w:val="20"/>
          <w:color w:val="auto"/>
        </w:rPr>
      </w:pPr>
    </w:p>
    <w:p>
      <w:pPr>
        <w:ind w:left="1020" w:right="239"/>
        <w:spacing w:after="0" w:line="261" w:lineRule="auto"/>
        <w:rPr>
          <w:sz w:val="20"/>
          <w:szCs w:val="20"/>
          <w:color w:val="auto"/>
        </w:rPr>
      </w:pPr>
      <w:r>
        <w:rPr>
          <w:rFonts w:ascii="Times New Roman" w:cs="Times New Roman" w:eastAsia="Times New Roman" w:hAnsi="Times New Roman"/>
          <w:sz w:val="18"/>
          <w:szCs w:val="18"/>
          <w:color w:val="auto"/>
        </w:rPr>
        <w:t>The Company tests long-lived assets for impairment if an indication of impairment exists. If the sum of expected future cash flows of definite life assets (undiscounted and without interest charges) is less than the carrying amount of such assets, the Company recognizes an impairment loss, and writes down the assets to their estimated fair values.</w:t>
      </w:r>
    </w:p>
    <w:p>
      <w:pPr>
        <w:spacing w:after="0" w:line="135" w:lineRule="exact"/>
        <w:rPr>
          <w:sz w:val="20"/>
          <w:szCs w:val="20"/>
          <w:color w:val="auto"/>
        </w:rPr>
      </w:pPr>
    </w:p>
    <w:p>
      <w:pPr>
        <w:ind w:left="980" w:hanging="282"/>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w:t>
      </w:r>
    </w:p>
    <w:p>
      <w:pPr>
        <w:spacing w:after="0" w:line="184" w:lineRule="exact"/>
        <w:rPr>
          <w:rFonts w:ascii="Times New Roman" w:cs="Times New Roman" w:eastAsia="Times New Roman" w:hAnsi="Times New Roman"/>
          <w:sz w:val="18"/>
          <w:szCs w:val="18"/>
          <w:color w:val="auto"/>
        </w:rPr>
      </w:pPr>
    </w:p>
    <w:p>
      <w:pPr>
        <w:ind w:left="1340" w:right="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are determined utilizing the assets and liabilities method based on the estimated future tax effects of the differences between the financial accounting and tax bases of assets and liabilities under the applicable tax laws. Deferred tax balances are computed using the tax rates expected to be in effect when those differences reverse. A valuation allowance in respect of deferred tax assets is provided if, based upon the weight of available evidence, it is more likely than not that some or all of the deferred tax assets will not be realized. The Company has provided a full valuation allowance with respect to its deferred tax assets. The Company used statutory tax rates of 21% and 23%. See also Note 12.</w:t>
      </w:r>
    </w:p>
    <w:p>
      <w:pPr>
        <w:spacing w:after="0" w:line="148"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income taxes</w:t>
      </w:r>
    </w:p>
    <w:p>
      <w:pPr>
        <w:spacing w:after="0" w:line="198" w:lineRule="exact"/>
        <w:rPr>
          <w:rFonts w:ascii="Times New Roman" w:cs="Times New Roman" w:eastAsia="Times New Roman" w:hAnsi="Times New Roman"/>
          <w:sz w:val="18"/>
          <w:szCs w:val="18"/>
          <w:color w:val="auto"/>
        </w:rPr>
      </w:pPr>
    </w:p>
    <w:p>
      <w:pPr>
        <w:ind w:left="1340" w:right="1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recognized in the financial statements are those that the Company’s management deems at least more likely than not to be sustained, based on technical merits. The amount of benefits recorded for these tax benefits is measured as the largest benefit the Company’s management deems more likely than not to be sustained.</w:t>
      </w:r>
    </w:p>
    <w:p>
      <w:pPr>
        <w:spacing w:after="0" w:line="13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revenue pursuant to Accounting Standards Codification, Topic 606, Revenue from Contracts with Customers (“ASC 606”). Under ASC 606, a contract with a customer exists only when: the parties to the contract have approved it and are committed to perform their respective obligations, the Company can identify each party’s rights regarding the distinct goods or services to be transferred (“performance obligations”), the Company can determine the transaction price for the goods or services to be transferred, the contract has commercial substance and it is probable that the Company will collect the consideration to which it will be entitled in exchange for the goods or services that will be transferred to the customer.</w:t>
      </w:r>
    </w:p>
    <w:p>
      <w:pPr>
        <w:spacing w:after="0" w:line="164" w:lineRule="exact"/>
        <w:rPr>
          <w:rFonts w:ascii="Times New Roman" w:cs="Times New Roman" w:eastAsia="Times New Roman" w:hAnsi="Times New Roman"/>
          <w:sz w:val="18"/>
          <w:szCs w:val="18"/>
          <w:b w:val="1"/>
          <w:bCs w:val="1"/>
          <w:color w:val="auto"/>
        </w:rPr>
      </w:pPr>
    </w:p>
    <w:p>
      <w:pPr>
        <w:ind w:left="1020" w:right="6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are recorded in the amount of consideration to which the Company expects to be entitled in exchange for performance obligations upon transfer of control to the customer.</w:t>
      </w:r>
    </w:p>
    <w:p>
      <w:pPr>
        <w:spacing w:after="0" w:line="121" w:lineRule="exact"/>
        <w:rPr>
          <w:rFonts w:ascii="Times New Roman" w:cs="Times New Roman" w:eastAsia="Times New Roman" w:hAnsi="Times New Roman"/>
          <w:sz w:val="18"/>
          <w:szCs w:val="18"/>
          <w:b w:val="1"/>
          <w:bCs w:val="1"/>
          <w:color w:val="auto"/>
        </w:rPr>
      </w:pPr>
    </w:p>
    <w:p>
      <w:pPr>
        <w:ind w:left="1340" w:hanging="318"/>
        <w:spacing w:after="0"/>
        <w:tabs>
          <w:tab w:leader="none" w:pos="13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selling products</w:t>
      </w:r>
    </w:p>
    <w:p>
      <w:pPr>
        <w:spacing w:after="0" w:line="184" w:lineRule="exact"/>
        <w:rPr>
          <w:rFonts w:ascii="Times New Roman" w:cs="Times New Roman" w:eastAsia="Times New Roman" w:hAnsi="Times New Roman"/>
          <w:sz w:val="18"/>
          <w:szCs w:val="18"/>
          <w:color w:val="auto"/>
        </w:rPr>
      </w:pPr>
    </w:p>
    <w:p>
      <w:pPr>
        <w:ind w:left="1340" w:right="1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revenues from selling goods at a point in time when control over the product is transferred to customers (upon delivery).</w:t>
      </w:r>
    </w:p>
    <w:p>
      <w:pPr>
        <w:spacing w:after="0" w:line="134"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Chiesi Agreements</w:t>
      </w:r>
    </w:p>
    <w:p>
      <w:pPr>
        <w:spacing w:after="0" w:line="184" w:lineRule="exact"/>
        <w:rPr>
          <w:rFonts w:ascii="Times New Roman" w:cs="Times New Roman" w:eastAsia="Times New Roman" w:hAnsi="Times New Roman"/>
          <w:sz w:val="18"/>
          <w:szCs w:val="18"/>
          <w:color w:val="auto"/>
        </w:rPr>
      </w:pPr>
    </w:p>
    <w:p>
      <w:pPr>
        <w:ind w:left="1340" w:right="2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identified two performance obligations in the Chiesi agreements as follows: (1) the license and research and development services and (2) the contingent performance obligation regarding future manufacturing.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right="5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license together with the research and development services should be combined into single performance obligation since Chiesi cannot benefit from the license without the research and development services. The research and development services are highly specialized and are dependent on the supply of the drug.</w:t>
      </w:r>
    </w:p>
    <w:p>
      <w:pPr>
        <w:spacing w:after="0" w:line="139" w:lineRule="exact"/>
        <w:rPr>
          <w:sz w:val="20"/>
          <w:szCs w:val="20"/>
          <w:color w:val="auto"/>
        </w:rPr>
      </w:pPr>
    </w:p>
    <w:p>
      <w:pPr>
        <w:ind w:left="1340" w:right="279"/>
        <w:spacing w:after="0" w:line="261" w:lineRule="auto"/>
        <w:rPr>
          <w:sz w:val="20"/>
          <w:szCs w:val="20"/>
          <w:color w:val="auto"/>
        </w:rPr>
      </w:pPr>
      <w:r>
        <w:rPr>
          <w:rFonts w:ascii="Times New Roman" w:cs="Times New Roman" w:eastAsia="Times New Roman" w:hAnsi="Times New Roman"/>
          <w:sz w:val="18"/>
          <w:szCs w:val="18"/>
          <w:color w:val="auto"/>
        </w:rPr>
        <w:t>The future manufacturing is contingent on regulatory approvals of the drug and the Company deems these services to be separately identifiable from other performance obligations in the contract. Manufacturing services post-regulatory approval are not interdependent or interrelated with the license and research and development services.</w:t>
      </w:r>
    </w:p>
    <w:p>
      <w:pPr>
        <w:spacing w:after="0" w:line="139" w:lineRule="exact"/>
        <w:rPr>
          <w:sz w:val="20"/>
          <w:szCs w:val="20"/>
          <w:color w:val="auto"/>
        </w:rPr>
      </w:pPr>
    </w:p>
    <w:p>
      <w:pPr>
        <w:ind w:left="1340" w:right="179"/>
        <w:spacing w:after="0" w:line="254" w:lineRule="auto"/>
        <w:rPr>
          <w:sz w:val="20"/>
          <w:szCs w:val="20"/>
          <w:color w:val="auto"/>
        </w:rPr>
      </w:pPr>
      <w:r>
        <w:rPr>
          <w:rFonts w:ascii="Times New Roman" w:cs="Times New Roman" w:eastAsia="Times New Roman" w:hAnsi="Times New Roman"/>
          <w:sz w:val="18"/>
          <w:szCs w:val="18"/>
          <w:color w:val="auto"/>
        </w:rPr>
        <w:t>The transaction price was comprised of fixed consideration and variable consideration (capped research and development reimbursements). Under ASC 606, the consideration to which the Company would be entitled upon the achievement of contractual milestones, which are contingent upon the occurrence of future events, are a form of variable consideration. The Company estimates variable consideration using the most likely method. Amounts included in the transaction price are recognized only when it is probable that a significant reversal of cumulative revenues will not occur. Prior to recognizing revenue from variable consideration, the Company uses significant judgment to determine the probability of significant reversal of such revenue.</w:t>
      </w:r>
    </w:p>
    <w:p>
      <w:pPr>
        <w:spacing w:after="0" w:line="165" w:lineRule="exact"/>
        <w:rPr>
          <w:sz w:val="20"/>
          <w:szCs w:val="20"/>
          <w:color w:val="auto"/>
        </w:rPr>
      </w:pPr>
    </w:p>
    <w:p>
      <w:pPr>
        <w:ind w:left="1340" w:right="59"/>
        <w:spacing w:after="0" w:line="261" w:lineRule="auto"/>
        <w:rPr>
          <w:sz w:val="20"/>
          <w:szCs w:val="20"/>
          <w:color w:val="auto"/>
        </w:rPr>
      </w:pPr>
      <w:r>
        <w:rPr>
          <w:rFonts w:ascii="Times New Roman" w:cs="Times New Roman" w:eastAsia="Times New Roman" w:hAnsi="Times New Roman"/>
          <w:sz w:val="18"/>
          <w:szCs w:val="18"/>
          <w:color w:val="auto"/>
        </w:rPr>
        <w:t>Since the customer benefits from the research and development services as the entity performs the service, revenue from granting the license and the research and development services is recognized over time using the cost-to-cost method. The Company used significant judgment when it determined the costs expected to be incurred upon satisfying the identified performance obligation.</w:t>
      </w:r>
    </w:p>
    <w:p>
      <w:pPr>
        <w:spacing w:after="0" w:line="139" w:lineRule="exact"/>
        <w:rPr>
          <w:sz w:val="20"/>
          <w:szCs w:val="20"/>
          <w:color w:val="auto"/>
        </w:rPr>
      </w:pPr>
    </w:p>
    <w:p>
      <w:pPr>
        <w:ind w:left="1340" w:right="239"/>
        <w:spacing w:after="0" w:line="282" w:lineRule="auto"/>
        <w:rPr>
          <w:sz w:val="20"/>
          <w:szCs w:val="20"/>
          <w:color w:val="auto"/>
        </w:rPr>
      </w:pPr>
      <w:r>
        <w:rPr>
          <w:rFonts w:ascii="Times New Roman" w:cs="Times New Roman" w:eastAsia="Times New Roman" w:hAnsi="Times New Roman"/>
          <w:sz w:val="18"/>
          <w:szCs w:val="18"/>
          <w:color w:val="auto"/>
        </w:rPr>
        <w:t>Revenue from additional research and development services ordered by Chiesi, is recognized over time using the cost-to-cost method.</w:t>
      </w:r>
    </w:p>
    <w:p>
      <w:pPr>
        <w:spacing w:after="0" w:line="121" w:lineRule="exact"/>
        <w:rPr>
          <w:sz w:val="20"/>
          <w:szCs w:val="20"/>
          <w:color w:val="auto"/>
        </w:rPr>
      </w:pPr>
    </w:p>
    <w:p>
      <w:pPr>
        <w:ind w:left="1340" w:hanging="318"/>
        <w:spacing w:after="0"/>
        <w:tabs>
          <w:tab w:leader="none" w:pos="1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R&amp;D services</w:t>
      </w:r>
    </w:p>
    <w:p>
      <w:pPr>
        <w:spacing w:after="0" w:line="198" w:lineRule="exact"/>
        <w:rPr>
          <w:rFonts w:ascii="Times New Roman" w:cs="Times New Roman" w:eastAsia="Times New Roman" w:hAnsi="Times New Roman"/>
          <w:sz w:val="18"/>
          <w:szCs w:val="18"/>
          <w:color w:val="auto"/>
        </w:rPr>
      </w:pPr>
    </w:p>
    <w:p>
      <w:pPr>
        <w:ind w:left="1340" w:right="3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research and development services is recognized over time using the cost-to-cost method since the customer benefits from the research and development services as the entity performs the service.</w:t>
      </w:r>
    </w:p>
    <w:p>
      <w:pPr>
        <w:spacing w:after="0" w:line="131" w:lineRule="exact"/>
        <w:rPr>
          <w:rFonts w:ascii="Times New Roman" w:cs="Times New Roman" w:eastAsia="Times New Roman" w:hAnsi="Times New Roman"/>
          <w:sz w:val="18"/>
          <w:szCs w:val="18"/>
          <w:color w:val="auto"/>
        </w:rPr>
      </w:pPr>
    </w:p>
    <w:p>
      <w:pPr>
        <w:ind w:left="980" w:hanging="282"/>
        <w:spacing w:after="0"/>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89" w:lineRule="exact"/>
        <w:rPr>
          <w:sz w:val="20"/>
          <w:szCs w:val="20"/>
          <w:color w:val="auto"/>
        </w:rPr>
      </w:pPr>
    </w:p>
    <w:p>
      <w:pPr>
        <w:ind w:left="1020" w:right="59"/>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subcontractors and consultants (mainly in connection with clinical trials), facilities, equipment and supplies for research and development activities. Grants received by the Israeli Subsidiary from the National Authority for Technological Innovation (“NATI”) are recognized when the grant becomes receivable, provided there is reasonable assurance that the Company or the Subsidiaries will comply with the conditions attached to the grant and there is reasonable assurance the grant will be received. The grant is deducted from the research and development expenses as the applicable costs are incurred. In connection with purchases of assets, amounts assigned to intangible assets to be used in a particular research and development project that have no alternative future use are charged to research and development costs at the purchase date. Costs incurred for performing research and development services are included in research and development expenses.</w:t>
      </w:r>
    </w:p>
    <w:p>
      <w:pPr>
        <w:spacing w:after="0" w:line="163" w:lineRule="exact"/>
        <w:rPr>
          <w:sz w:val="20"/>
          <w:szCs w:val="20"/>
          <w:color w:val="auto"/>
        </w:rPr>
      </w:pPr>
    </w:p>
    <w:p>
      <w:pPr>
        <w:ind w:left="70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m.</w:t>
      </w:r>
      <w:r>
        <w:rPr>
          <w:sz w:val="20"/>
          <w:szCs w:val="20"/>
          <w:color w:val="auto"/>
        </w:rPr>
        <w:tab/>
      </w:r>
      <w:r>
        <w:rPr>
          <w:rFonts w:ascii="Times New Roman" w:cs="Times New Roman" w:eastAsia="Times New Roman" w:hAnsi="Times New Roman"/>
          <w:sz w:val="17"/>
          <w:szCs w:val="17"/>
          <w:b w:val="1"/>
          <w:bCs w:val="1"/>
          <w:color w:val="auto"/>
        </w:rPr>
        <w:t>Concentration of credit risks and trade receivable</w:t>
      </w:r>
    </w:p>
    <w:p>
      <w:pPr>
        <w:spacing w:after="0" w:line="189" w:lineRule="exact"/>
        <w:rPr>
          <w:sz w:val="20"/>
          <w:szCs w:val="20"/>
          <w:color w:val="auto"/>
        </w:rPr>
      </w:pPr>
    </w:p>
    <w:p>
      <w:pPr>
        <w:ind w:left="1020" w:right="13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bank deposits. The Company’s deposits are instruments with highly rated financial institutions, mainly in Israeli banks, and, as a matter of policy, limits the amounts of credit exposure to any one financial institution. The Company has not experienced any credit losses in these accounts and does not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1020" w:right="399"/>
        <w:spacing w:after="0" w:line="266" w:lineRule="auto"/>
        <w:rPr>
          <w:sz w:val="20"/>
          <w:szCs w:val="20"/>
          <w:color w:val="auto"/>
        </w:rPr>
      </w:pPr>
      <w:r>
        <w:rPr>
          <w:rFonts w:ascii="Times New Roman" w:cs="Times New Roman" w:eastAsia="Times New Roman" w:hAnsi="Times New Roman"/>
          <w:sz w:val="18"/>
          <w:szCs w:val="18"/>
          <w:color w:val="auto"/>
        </w:rPr>
        <w:t>believe it is exposed to any significant credit risk on these instruments. The Company’s trade receivables represent amounts to be received from its customers. The Company does not require its customers to post collateral with respect to receivables.</w:t>
      </w:r>
    </w:p>
    <w:p>
      <w:pPr>
        <w:spacing w:after="0" w:line="135" w:lineRule="exact"/>
        <w:rPr>
          <w:sz w:val="20"/>
          <w:szCs w:val="20"/>
          <w:color w:val="auto"/>
        </w:rPr>
      </w:pPr>
    </w:p>
    <w:p>
      <w:pPr>
        <w:ind w:left="1020" w:right="199"/>
        <w:spacing w:after="0" w:line="282" w:lineRule="auto"/>
        <w:rPr>
          <w:sz w:val="20"/>
          <w:szCs w:val="20"/>
          <w:color w:val="auto"/>
        </w:rPr>
      </w:pPr>
      <w:r>
        <w:rPr>
          <w:rFonts w:ascii="Times New Roman" w:cs="Times New Roman" w:eastAsia="Times New Roman" w:hAnsi="Times New Roman"/>
          <w:sz w:val="18"/>
          <w:szCs w:val="18"/>
          <w:color w:val="auto"/>
        </w:rPr>
        <w:t>As of December 31, 2021, the accounts receivables balance was composed of $2.2 million from Fiocruz and $1.2 million from Chiesi.</w:t>
      </w:r>
    </w:p>
    <w:p>
      <w:pPr>
        <w:spacing w:after="0" w:line="117" w:lineRule="exact"/>
        <w:rPr>
          <w:sz w:val="20"/>
          <w:szCs w:val="20"/>
          <w:color w:val="auto"/>
        </w:rPr>
      </w:pPr>
    </w:p>
    <w:p>
      <w:pPr>
        <w:ind w:left="1020" w:hanging="322"/>
        <w:spacing w:after="0"/>
        <w:tabs>
          <w:tab w:leader="none" w:pos="10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02" w:lineRule="exact"/>
        <w:rPr>
          <w:rFonts w:ascii="Times New Roman" w:cs="Times New Roman" w:eastAsia="Times New Roman" w:hAnsi="Times New Roman"/>
          <w:sz w:val="18"/>
          <w:szCs w:val="18"/>
          <w:b w:val="1"/>
          <w:bCs w:val="1"/>
          <w:color w:val="auto"/>
        </w:rPr>
      </w:pPr>
    </w:p>
    <w:p>
      <w:pPr>
        <w:ind w:left="1020" w:right="1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share-based payment awards classified as equity awards, including stock-based option awards and restricted stock units, using the grant-date fair value method. The fair value of share-based payment transactions is recognized as an expense over the requisite service period.</w:t>
      </w:r>
    </w:p>
    <w:p>
      <w:pPr>
        <w:spacing w:after="0" w:line="135" w:lineRule="exact"/>
        <w:rPr>
          <w:rFonts w:ascii="Times New Roman" w:cs="Times New Roman" w:eastAsia="Times New Roman" w:hAnsi="Times New Roman"/>
          <w:sz w:val="18"/>
          <w:szCs w:val="18"/>
          <w:b w:val="1"/>
          <w:bCs w:val="1"/>
          <w:color w:val="auto"/>
        </w:rPr>
      </w:pPr>
    </w:p>
    <w:p>
      <w:pPr>
        <w:ind w:left="1020" w:right="2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the fair value of stock-based option awards on the date of grant using the Black-Scholes option pricing model. This option pricing model requires estimates as to the option’s expected term and the price volatility of the underlying stock.</w:t>
      </w:r>
    </w:p>
    <w:p>
      <w:pPr>
        <w:spacing w:after="0" w:line="135" w:lineRule="exact"/>
        <w:rPr>
          <w:rFonts w:ascii="Times New Roman" w:cs="Times New Roman" w:eastAsia="Times New Roman" w:hAnsi="Times New Roman"/>
          <w:sz w:val="18"/>
          <w:szCs w:val="18"/>
          <w:b w:val="1"/>
          <w:bCs w:val="1"/>
          <w:color w:val="auto"/>
        </w:rPr>
      </w:pPr>
    </w:p>
    <w:p>
      <w:pPr>
        <w:ind w:left="1020" w:right="1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compensation expense for the restricted stock units based on the market value of the underlying stock at the date of grant.</w:t>
      </w:r>
    </w:p>
    <w:p>
      <w:pPr>
        <w:spacing w:after="0" w:line="134" w:lineRule="exact"/>
        <w:rPr>
          <w:rFonts w:ascii="Times New Roman" w:cs="Times New Roman" w:eastAsia="Times New Roman" w:hAnsi="Times New Roman"/>
          <w:sz w:val="18"/>
          <w:szCs w:val="18"/>
          <w:b w:val="1"/>
          <w:bCs w:val="1"/>
          <w:color w:val="auto"/>
        </w:rPr>
      </w:pPr>
    </w:p>
    <w:p>
      <w:pPr>
        <w:ind w:left="1020" w:right="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to recognize compensation cost for awards to employees with only service conditions that has a graded vesting schedule using the accelerated method based on the multiple-option award approach. Options granted to consultants and other service providers are recognized over the related service period using the straight-line method.</w:t>
      </w:r>
    </w:p>
    <w:p>
      <w:pPr>
        <w:spacing w:after="0" w:line="139"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elects to account for forfeitures as they occur.</w:t>
      </w:r>
    </w:p>
    <w:p>
      <w:pPr>
        <w:spacing w:after="0" w:line="180"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02" w:lineRule="exact"/>
        <w:rPr>
          <w:rFonts w:ascii="Times New Roman" w:cs="Times New Roman" w:eastAsia="Times New Roman" w:hAnsi="Times New Roman"/>
          <w:sz w:val="18"/>
          <w:szCs w:val="18"/>
          <w:b w:val="1"/>
          <w:bCs w:val="1"/>
          <w:color w:val="auto"/>
        </w:rPr>
      </w:pPr>
    </w:p>
    <w:p>
      <w:pPr>
        <w:ind w:left="1020" w:right="1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(“LPS”) are computed by dividing net loss by the weighted average number of shares of the Company’s Common Stock outstanding for each period. The calculation of diluted LPS does not include approximately 7,838,120, 22,850,682 and 28,502,017 shares of Common Stock underlying outstanding options, warrants and convertible notes for the fiscal years ended December 31, 2019, 2020 and 2021, respectively, because the effect would be anti-dilutive.</w:t>
      </w:r>
    </w:p>
    <w:p>
      <w:pPr>
        <w:spacing w:after="0" w:line="138"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88" w:lineRule="exact"/>
        <w:rPr>
          <w:rFonts w:ascii="Times New Roman" w:cs="Times New Roman" w:eastAsia="Times New Roman" w:hAnsi="Times New Roman"/>
          <w:sz w:val="18"/>
          <w:szCs w:val="18"/>
          <w:b w:val="1"/>
          <w:bCs w:val="1"/>
          <w:color w:val="auto"/>
        </w:rPr>
      </w:pPr>
    </w:p>
    <w:p>
      <w:pPr>
        <w:ind w:left="1020" w:right="17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outstanding convertible notes are accounted for using the guidance set forth in the Financial Accounting Standards Board (“FASB”) Accounting Standards Codification (“ASC”) 815 requiring that the Company determine whether the embedded conversion option must be separated and accounted for separately. ASC 470-20 regarding debt with conversion and other options requires the issuer of a convertible debt instrument that may be settled in cash upon conversion to separately account for the liability (debt) and equity (conversion option) components of the instrument in a manner that reflects the issuer’s nonconvertible debt borrowing rate. The 2021 Notes were accounted for partially as liability and equity components of the instrument and partially as a debt host contract with an embedded derivative resulting from the conversion feature. During the year ended December 31, 2017, the embedded derivative was reclassified to additional paid in capital. The 2024 Notes were accounted for as a liability (debt) and equity component (conversion option) as the convertible notes may be settled wholly or partly in cash, at the option of the Company, when converted.</w:t>
      </w:r>
    </w:p>
    <w:p>
      <w:pPr>
        <w:spacing w:after="0" w:line="162" w:lineRule="exact"/>
        <w:rPr>
          <w:rFonts w:ascii="Times New Roman" w:cs="Times New Roman" w:eastAsia="Times New Roman" w:hAnsi="Times New Roman"/>
          <w:sz w:val="18"/>
          <w:szCs w:val="18"/>
          <w:b w:val="1"/>
          <w:bCs w:val="1"/>
          <w:color w:val="auto"/>
        </w:rPr>
      </w:pPr>
    </w:p>
    <w:p>
      <w:pPr>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Issuance costs regarding the issuance of the 2021 Notes, as well as the debt discount and debt issuance costs from the issuance of the 2024 Notes, were deferred and amortized over the applicable convertible notes period using the effective interest rate.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579"/>
        <w:spacing w:after="0" w:line="282" w:lineRule="auto"/>
        <w:rPr>
          <w:sz w:val="20"/>
          <w:szCs w:val="20"/>
          <w:color w:val="auto"/>
        </w:rPr>
      </w:pPr>
      <w:r>
        <w:rPr>
          <w:rFonts w:ascii="Times New Roman" w:cs="Times New Roman" w:eastAsia="Times New Roman" w:hAnsi="Times New Roman"/>
          <w:sz w:val="18"/>
          <w:szCs w:val="18"/>
          <w:color w:val="auto"/>
        </w:rPr>
        <w:t>As of December 31, 2021, a total of $28.75 million aggregate principal amount of the 2024 Notes were outstanding. In addition, as of December 31, 2021, none of the 2021 Notes were outstanding.</w:t>
      </w:r>
    </w:p>
    <w:p>
      <w:pPr>
        <w:spacing w:after="0" w:line="117" w:lineRule="exact"/>
        <w:rPr>
          <w:sz w:val="20"/>
          <w:szCs w:val="20"/>
          <w:color w:val="auto"/>
        </w:rPr>
      </w:pPr>
    </w:p>
    <w:p>
      <w:pPr>
        <w:ind w:left="1020" w:hanging="322"/>
        <w:spacing w:after="0"/>
        <w:tabs>
          <w:tab w:leader="none" w:pos="10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8" w:lineRule="exact"/>
        <w:rPr>
          <w:rFonts w:ascii="Times New Roman" w:cs="Times New Roman" w:eastAsia="Times New Roman" w:hAnsi="Times New Roman"/>
          <w:sz w:val="18"/>
          <w:szCs w:val="18"/>
          <w:b w:val="1"/>
          <w:bCs w:val="1"/>
          <w:color w:val="auto"/>
        </w:rPr>
      </w:pPr>
    </w:p>
    <w:p>
      <w:pPr>
        <w:ind w:left="1020" w:right="1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ASC 842 on January 1, 2019, using a modified retrospective transition approach, with certain practical expedients, and as a result did not adjust prior periods.</w:t>
      </w:r>
    </w:p>
    <w:p>
      <w:pPr>
        <w:spacing w:after="0" w:line="134" w:lineRule="exact"/>
        <w:rPr>
          <w:rFonts w:ascii="Times New Roman" w:cs="Times New Roman" w:eastAsia="Times New Roman" w:hAnsi="Times New Roman"/>
          <w:sz w:val="18"/>
          <w:szCs w:val="18"/>
          <w:b w:val="1"/>
          <w:bCs w:val="1"/>
          <w:color w:val="auto"/>
        </w:rPr>
      </w:pPr>
    </w:p>
    <w:p>
      <w:pPr>
        <w:ind w:left="1020" w:right="13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are classified as finance or operating, with classification affecting the pattern and classification of expense recognition in the statement of operations. The Company determines if an arrangement is a lease at inception. Lease classification is governed by five criteria in ASC 842-10-25-2. If any of these five criteria is met, the Company classifies the lease as a finance lease. Otherwise, the Company classifies the lease as an operating lease. The Company does not have any finance leases.</w:t>
      </w:r>
    </w:p>
    <w:p>
      <w:pPr>
        <w:spacing w:after="0" w:line="142" w:lineRule="exact"/>
        <w:rPr>
          <w:rFonts w:ascii="Times New Roman" w:cs="Times New Roman" w:eastAsia="Times New Roman" w:hAnsi="Times New Roman"/>
          <w:sz w:val="18"/>
          <w:szCs w:val="18"/>
          <w:b w:val="1"/>
          <w:bCs w:val="1"/>
          <w:color w:val="auto"/>
        </w:rPr>
      </w:pPr>
    </w:p>
    <w:p>
      <w:pPr>
        <w:ind w:left="1020" w:right="1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leases are included in operating lease right-of-use (“ROU”) assets and operating lease liabilities in the consolidated balance sheets.</w:t>
      </w:r>
    </w:p>
    <w:p>
      <w:pPr>
        <w:spacing w:after="0" w:line="121" w:lineRule="exact"/>
        <w:rPr>
          <w:rFonts w:ascii="Times New Roman" w:cs="Times New Roman" w:eastAsia="Times New Roman" w:hAnsi="Times New Roman"/>
          <w:sz w:val="18"/>
          <w:szCs w:val="18"/>
          <w:b w:val="1"/>
          <w:bCs w:val="1"/>
          <w:color w:val="auto"/>
        </w:rPr>
      </w:pPr>
    </w:p>
    <w:p>
      <w:pPr>
        <w:ind w:left="1020" w:right="1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and finance lease 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w:t>
      </w:r>
    </w:p>
    <w:p>
      <w:pPr>
        <w:spacing w:after="0" w:line="156" w:lineRule="exact"/>
        <w:rPr>
          <w:rFonts w:ascii="Times New Roman" w:cs="Times New Roman" w:eastAsia="Times New Roman" w:hAnsi="Times New Roman"/>
          <w:sz w:val="18"/>
          <w:szCs w:val="18"/>
          <w:b w:val="1"/>
          <w:bCs w:val="1"/>
          <w:color w:val="auto"/>
        </w:rPr>
      </w:pPr>
    </w:p>
    <w:p>
      <w:pPr>
        <w:jc w:val="both"/>
        <w:ind w:left="1020" w:right="1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elected the package of transition practical expedients permitted under the transition guidance within the new standard which, among other things, allows the Company to carryforward the historical lease classification.</w:t>
      </w:r>
    </w:p>
    <w:p>
      <w:pPr>
        <w:spacing w:after="0" w:line="135" w:lineRule="exact"/>
        <w:rPr>
          <w:rFonts w:ascii="Times New Roman" w:cs="Times New Roman" w:eastAsia="Times New Roman" w:hAnsi="Times New Roman"/>
          <w:sz w:val="18"/>
          <w:szCs w:val="18"/>
          <w:b w:val="1"/>
          <w:bCs w:val="1"/>
          <w:color w:val="auto"/>
        </w:rPr>
      </w:pPr>
    </w:p>
    <w:p>
      <w:pPr>
        <w:ind w:left="1020" w:right="4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lease standard also provides practical expedients for an entity’s ongoing accounting. The Company elected the short-term lease recognition exemption for all leases with a term shorter than 12 months. This means, for those leases, the Company does not recognize ROU assets or lease liabilities, including not recognizing ROU assets or lease liabilities for existing short-term leases of those assets in transition.</w:t>
      </w:r>
    </w:p>
    <w:p>
      <w:pPr>
        <w:spacing w:after="0" w:line="139" w:lineRule="exact"/>
        <w:rPr>
          <w:rFonts w:ascii="Times New Roman" w:cs="Times New Roman" w:eastAsia="Times New Roman" w:hAnsi="Times New Roman"/>
          <w:sz w:val="18"/>
          <w:szCs w:val="18"/>
          <w:b w:val="1"/>
          <w:bCs w:val="1"/>
          <w:color w:val="auto"/>
        </w:rPr>
      </w:pPr>
    </w:p>
    <w:p>
      <w:pPr>
        <w:ind w:left="1020" w:right="1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terms include options to extend or terminate the lease when it is reasonably certain that the Company will either exercise or not exercise the option to renew or terminate the lease. The Company recognizes lease expenses over the lease term on a straight-line basis.</w:t>
      </w:r>
    </w:p>
    <w:p>
      <w:pPr>
        <w:spacing w:after="0" w:line="148" w:lineRule="exact"/>
        <w:rPr>
          <w:rFonts w:ascii="Times New Roman" w:cs="Times New Roman" w:eastAsia="Times New Roman" w:hAnsi="Times New Roman"/>
          <w:sz w:val="18"/>
          <w:szCs w:val="18"/>
          <w:b w:val="1"/>
          <w:bCs w:val="1"/>
          <w:color w:val="auto"/>
        </w:rPr>
      </w:pPr>
    </w:p>
    <w:p>
      <w:pPr>
        <w:ind w:left="1020" w:right="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depreciable life of leasehold improvements is limited by the expected lease term, unless there is a transfer of title or a purchase option for the leased asset reasonably certain of exercise.</w:t>
      </w:r>
    </w:p>
    <w:p>
      <w:pPr>
        <w:spacing w:after="0" w:line="121" w:lineRule="exact"/>
        <w:rPr>
          <w:rFonts w:ascii="Times New Roman" w:cs="Times New Roman" w:eastAsia="Times New Roman" w:hAnsi="Times New Roman"/>
          <w:sz w:val="18"/>
          <w:szCs w:val="18"/>
          <w:b w:val="1"/>
          <w:bCs w:val="1"/>
          <w:color w:val="auto"/>
        </w:rPr>
      </w:pPr>
    </w:p>
    <w:p>
      <w:pPr>
        <w:ind w:left="1020" w:right="1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following the adoption of ASC 842 and in subsequent measurements, the Company applies the portfolio approach to account for the operating lease ROU assets and liabilities for certain car leases and incremental borrowing rates.</w:t>
      </w:r>
    </w:p>
    <w:p>
      <w:pPr>
        <w:spacing w:after="0" w:line="131"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02" w:lineRule="exact"/>
        <w:rPr>
          <w:sz w:val="20"/>
          <w:szCs w:val="20"/>
          <w:color w:val="auto"/>
        </w:rPr>
      </w:pPr>
    </w:p>
    <w:p>
      <w:pPr>
        <w:ind w:left="1020" w:right="179"/>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 – 40).” This guidance simplifies the accounting for certain financial instruments with characteristics of liabilities and equity, including convertible instruments and contracts on an entity’s own equity. The amendments to this guidance are effective for fiscal years beginning after December 15, 2023, and interim periods within those fiscal years. Early adoption is permitted, but no earlier than fiscal years beginning after December 15, 2020, including interim periods within those fiscal years. The Company is currently evaluating the impact of the adoption of this standard on its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79"/>
        <w:spacing w:after="0" w:line="252"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 Facilitation of the Effects of Reference Rate Reform on Financial Reporting.” In addition, in January 2021, the FASB issued ASU 2021-01, “Reference Rate Reform (Topic 848) - Scope.” The amendments in these ASUs apply to all entities that have contracts, hedging relationships, and other transactions that reference LIBOR or another reference rate expected to be discontinued because of reference rate reform. Together, these ASUs provide optional expedients and exceptions for applying generally accepted accounting principles (GAAP) to contracts, hedging relationships, and other transactions affected by reference rate reform if certain criteria are met.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These ASUs were effective upon issuance and may be applied prospectively to contract modifications and hedging relationships entered into or evaluated through December 31, 2022. The adoption of this standard is not expected to have material impact on the Company's consolidated financial statements.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COMMERCIALIZATION AGREEMENTS</w:t>
      </w:r>
    </w:p>
    <w:p>
      <w:pPr>
        <w:spacing w:after="0" w:line="189" w:lineRule="exact"/>
        <w:rPr>
          <w:sz w:val="20"/>
          <w:szCs w:val="20"/>
          <w:color w:val="auto"/>
        </w:rPr>
      </w:pPr>
    </w:p>
    <w:p>
      <w:pPr>
        <w:ind w:left="1340" w:right="239" w:hanging="318"/>
        <w:spacing w:after="0" w:line="261" w:lineRule="auto"/>
        <w:tabs>
          <w:tab w:leader="none" w:pos="133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2009, Protalix Ltd. and Pfizer entered into the Pfizer Agreement (as amended in June 2013) pursuant to which Pfizer was granted an exclusive, worldwide license to develop and commercialize taliglucerase alfa, except for Israel and Brazil. Under the Pfizer Agreement Protalix was entitled to 40% of the results (profits or losses) earned on Pfizer’s sales of taliglucerase alfa.</w:t>
      </w:r>
    </w:p>
    <w:p>
      <w:pPr>
        <w:spacing w:after="0" w:line="152" w:lineRule="exact"/>
        <w:rPr>
          <w:rFonts w:ascii="Times New Roman" w:cs="Times New Roman" w:eastAsia="Times New Roman" w:hAnsi="Times New Roman"/>
          <w:sz w:val="18"/>
          <w:szCs w:val="18"/>
          <w:b w:val="1"/>
          <w:bCs w:val="1"/>
          <w:color w:val="auto"/>
        </w:rPr>
      </w:pPr>
    </w:p>
    <w:p>
      <w:pPr>
        <w:ind w:left="1340" w:right="1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2015, the Company entered into the Amended Pfizer Agreement with Pfizer. Pursuant to the amendment, the Company granted Pfizer an exclusive license in the entire world, including Israel but excluding Brazil. Pfizer acquired all the information, knowledge and permission to manufacture and sell Elelyso.</w:t>
      </w:r>
    </w:p>
    <w:p>
      <w:pPr>
        <w:spacing w:after="0" w:line="139" w:lineRule="exact"/>
        <w:rPr>
          <w:rFonts w:ascii="Times New Roman" w:cs="Times New Roman" w:eastAsia="Times New Roman" w:hAnsi="Times New Roman"/>
          <w:sz w:val="18"/>
          <w:szCs w:val="18"/>
          <w:b w:val="1"/>
          <w:bCs w:val="1"/>
          <w:color w:val="auto"/>
        </w:rPr>
      </w:pPr>
    </w:p>
    <w:p>
      <w:pPr>
        <w:ind w:left="1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Ltd. also agreed to provide Pfizer with:</w:t>
      </w:r>
    </w:p>
    <w:p>
      <w:pPr>
        <w:spacing w:after="0" w:line="184" w:lineRule="exact"/>
        <w:rPr>
          <w:rFonts w:ascii="Times New Roman" w:cs="Times New Roman" w:eastAsia="Times New Roman" w:hAnsi="Times New Roman"/>
          <w:sz w:val="18"/>
          <w:szCs w:val="18"/>
          <w:b w:val="1"/>
          <w:bCs w:val="1"/>
          <w:color w:val="auto"/>
        </w:rPr>
      </w:pPr>
    </w:p>
    <w:p>
      <w:pPr>
        <w:ind w:left="1620" w:right="439" w:hanging="247"/>
        <w:spacing w:after="0" w:line="282" w:lineRule="auto"/>
        <w:tabs>
          <w:tab w:leader="none" w:pos="16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supply of the drug substance for its incorporation into the licensed product in consideration of an agreed price per unit.</w:t>
      </w:r>
    </w:p>
    <w:p>
      <w:pPr>
        <w:spacing w:after="0" w:line="134" w:lineRule="exact"/>
        <w:rPr>
          <w:rFonts w:ascii="Times New Roman" w:cs="Times New Roman" w:eastAsia="Times New Roman" w:hAnsi="Times New Roman"/>
          <w:sz w:val="18"/>
          <w:szCs w:val="18"/>
          <w:color w:val="auto"/>
        </w:rPr>
      </w:pPr>
    </w:p>
    <w:p>
      <w:pPr>
        <w:ind w:left="1700" w:right="139" w:hanging="327"/>
        <w:spacing w:after="0" w:line="312" w:lineRule="auto"/>
        <w:tabs>
          <w:tab w:leader="none" w:pos="170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Assistance in arranging for the manufacture of the drug substance by Pfizer or by alternative supplier chosen by Pfizer in consideration of an agreed hourly rate plus reimbursement of expenses.</w:t>
      </w:r>
    </w:p>
    <w:p>
      <w:pPr>
        <w:spacing w:after="0" w:line="99" w:lineRule="exact"/>
        <w:rPr>
          <w:sz w:val="20"/>
          <w:szCs w:val="20"/>
          <w:color w:val="auto"/>
        </w:rPr>
      </w:pPr>
    </w:p>
    <w:p>
      <w:pPr>
        <w:ind w:left="1340" w:right="99"/>
        <w:spacing w:after="0" w:line="253" w:lineRule="auto"/>
        <w:rPr>
          <w:sz w:val="20"/>
          <w:szCs w:val="20"/>
          <w:color w:val="auto"/>
        </w:rPr>
      </w:pPr>
      <w:r>
        <w:rPr>
          <w:rFonts w:ascii="Times New Roman" w:cs="Times New Roman" w:eastAsia="Times New Roman" w:hAnsi="Times New Roman"/>
          <w:sz w:val="18"/>
          <w:szCs w:val="18"/>
          <w:color w:val="auto"/>
        </w:rPr>
        <w:t>Promissory note – as of the date of the amendment, the Company owed Pfizer $4.3 million as a result of the accumulated losses incurred by the Collaboration Operation. Following the new agreements, the Company committed to pay Pfizer the principal sum of the debt at the earlier of (a) November 12, 2020 and (b) the date upon which it becomes due pursuant to any event of default, as defined. In September 2020, the Company amended the outstanding $4.3 million promissory note payable to Pfizer by November 2020 to extend the maturity date to the earlier of (a) January 31, 2022 and (b) the date that the Company receives any milestone payment from Chiesi, if at all, subject to certain conditions and exceptions. The amendment also provides that the Company shall make a payment of $430,000 to Pfizer. The payment was creditable against the principal amount of the note, in whole or in part, if the Company satisfied the note in full on or prior to September 30, 2021, depending on the date the note is satisfied. As of December 31, 2020, the promissory note was classified to current liabilities. On March 29, 2021, the Company paid approximately $4.0 million to Pfizer satisfying the promissory note in full.</w:t>
      </w:r>
    </w:p>
    <w:p>
      <w:pPr>
        <w:spacing w:after="0" w:line="149" w:lineRule="exact"/>
        <w:rPr>
          <w:sz w:val="20"/>
          <w:szCs w:val="20"/>
          <w:color w:val="auto"/>
        </w:rPr>
      </w:pPr>
    </w:p>
    <w:p>
      <w:pPr>
        <w:ind w:left="1340" w:right="539" w:hanging="318"/>
        <w:spacing w:after="0" w:line="282" w:lineRule="auto"/>
        <w:tabs>
          <w:tab w:leader="none" w:pos="1341"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2017, Protalix Ltd. entered into the Chiesi Ex-U.S. Agreement with respect to the commercialization of pegunigalsidase alfa (hereafter – the drug) for the treatment of Fabry disease.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right="299"/>
        <w:spacing w:after="0" w:line="261" w:lineRule="auto"/>
        <w:rPr>
          <w:sz w:val="20"/>
          <w:szCs w:val="20"/>
          <w:color w:val="auto"/>
        </w:rPr>
      </w:pPr>
      <w:r>
        <w:rPr>
          <w:rFonts w:ascii="Times New Roman" w:cs="Times New Roman" w:eastAsia="Times New Roman" w:hAnsi="Times New Roman"/>
          <w:sz w:val="18"/>
          <w:szCs w:val="18"/>
          <w:color w:val="auto"/>
        </w:rPr>
        <w:t>Under the terms of the Chiesi Agreement, Protalix Ltd. granted to Chiesi exclusive licensing rights for the commercialization of the drug for all markets outside of the United States. At the effective date, Protalix Ltd. had maintained the exclusive commercialization rights to the drug in the United States, which rights were subsequently granted to Chiesi in July 2018.</w:t>
      </w:r>
    </w:p>
    <w:p>
      <w:pPr>
        <w:spacing w:after="0" w:line="139" w:lineRule="exact"/>
        <w:rPr>
          <w:sz w:val="20"/>
          <w:szCs w:val="20"/>
          <w:color w:val="auto"/>
        </w:rPr>
      </w:pPr>
    </w:p>
    <w:p>
      <w:pPr>
        <w:ind w:left="1340" w:right="179"/>
        <w:spacing w:after="0" w:line="312" w:lineRule="auto"/>
        <w:rPr>
          <w:sz w:val="20"/>
          <w:szCs w:val="20"/>
          <w:color w:val="auto"/>
        </w:rPr>
      </w:pPr>
      <w:r>
        <w:rPr>
          <w:rFonts w:ascii="Times New Roman" w:cs="Times New Roman" w:eastAsia="Times New Roman" w:hAnsi="Times New Roman"/>
          <w:sz w:val="17"/>
          <w:szCs w:val="17"/>
          <w:color w:val="auto"/>
        </w:rPr>
        <w:t>Protalix Ltd. will be mainly responsible for (i) continuing the development of the drug until a regulatory approval is granted and (ii) manufacture and supply the drug to Chiesi, based on Chiesi’s requests.</w:t>
      </w:r>
    </w:p>
    <w:p>
      <w:pPr>
        <w:spacing w:after="0" w:line="9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consideration consists of the following:</w:t>
      </w:r>
    </w:p>
    <w:p>
      <w:pPr>
        <w:spacing w:after="0" w:line="198" w:lineRule="exact"/>
        <w:rPr>
          <w:sz w:val="20"/>
          <w:szCs w:val="20"/>
          <w:color w:val="auto"/>
        </w:rPr>
      </w:pPr>
    </w:p>
    <w:p>
      <w:pPr>
        <w:ind w:left="1700" w:hanging="327"/>
        <w:spacing w:after="0"/>
        <w:tabs>
          <w:tab w:leader="none" w:pos="1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$25.0 million in development costs, capped at $10.0 million per year.</w:t>
      </w:r>
    </w:p>
    <w:p>
      <w:pPr>
        <w:spacing w:after="0" w:line="18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98" w:lineRule="exact"/>
        <w:rPr>
          <w:rFonts w:ascii="Times New Roman" w:cs="Times New Roman" w:eastAsia="Times New Roman" w:hAnsi="Times New Roman"/>
          <w:sz w:val="18"/>
          <w:szCs w:val="18"/>
          <w:color w:val="auto"/>
        </w:rPr>
      </w:pPr>
    </w:p>
    <w:p>
      <w:pPr>
        <w:ind w:left="1700" w:right="539" w:hanging="327"/>
        <w:spacing w:after="0" w:line="282" w:lineRule="auto"/>
        <w:tabs>
          <w:tab w:leader="none" w:pos="1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of up to $320.0 million with respect to certain regulatory and commercial events as defined in the Chiesi Agreement.</w:t>
      </w:r>
    </w:p>
    <w:p>
      <w:pPr>
        <w:spacing w:after="0" w:line="121" w:lineRule="exact"/>
        <w:rPr>
          <w:rFonts w:ascii="Times New Roman" w:cs="Times New Roman" w:eastAsia="Times New Roman" w:hAnsi="Times New Roman"/>
          <w:sz w:val="18"/>
          <w:szCs w:val="18"/>
          <w:color w:val="auto"/>
        </w:rPr>
      </w:pPr>
    </w:p>
    <w:p>
      <w:pPr>
        <w:ind w:left="1700" w:right="239" w:hanging="327"/>
        <w:spacing w:after="0" w:line="312" w:lineRule="auto"/>
        <w:tabs>
          <w:tab w:leader="none" w:pos="1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payments as consideration for the supply of the drug. The payment will vary from 15% to 35% of Chiesi’s average selling price of the drug, depending on the amount of annual sales.</w:t>
      </w:r>
    </w:p>
    <w:p>
      <w:pPr>
        <w:spacing w:after="0" w:line="99" w:lineRule="exact"/>
        <w:rPr>
          <w:rFonts w:ascii="Times New Roman" w:cs="Times New Roman" w:eastAsia="Times New Roman" w:hAnsi="Times New Roman"/>
          <w:sz w:val="17"/>
          <w:szCs w:val="17"/>
          <w:color w:val="auto"/>
        </w:rPr>
      </w:pPr>
    </w:p>
    <w:p>
      <w:pPr>
        <w:ind w:left="1700" w:hanging="327"/>
        <w:spacing w:after="0"/>
        <w:tabs>
          <w:tab w:leader="none" w:pos="1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Ltd. will be the sole manufacturer of the drug.</w:t>
      </w:r>
    </w:p>
    <w:p>
      <w:pPr>
        <w:spacing w:after="0" w:line="19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Chiesi does not have sublicensing rights (except for certain territories).</w:t>
      </w:r>
    </w:p>
    <w:p>
      <w:pPr>
        <w:spacing w:after="0" w:line="185" w:lineRule="exact"/>
        <w:rPr>
          <w:sz w:val="20"/>
          <w:szCs w:val="20"/>
          <w:color w:val="auto"/>
        </w:rPr>
      </w:pPr>
    </w:p>
    <w:p>
      <w:pPr>
        <w:ind w:left="1340" w:right="59"/>
        <w:spacing w:after="0" w:line="255" w:lineRule="auto"/>
        <w:rPr>
          <w:sz w:val="20"/>
          <w:szCs w:val="20"/>
          <w:color w:val="auto"/>
        </w:rPr>
      </w:pPr>
      <w:r>
        <w:rPr>
          <w:rFonts w:ascii="Times New Roman" w:cs="Times New Roman" w:eastAsia="Times New Roman" w:hAnsi="Times New Roman"/>
          <w:sz w:val="18"/>
          <w:szCs w:val="18"/>
          <w:color w:val="auto"/>
        </w:rPr>
        <w:t>In July 2018, Protalix Ltd. entered into the Chiesi U.S. Agreement with respect to the commercialization of the drug for the treatment of Fabry disease. Under the terms of the Chiesi U.S. Agreement, Protalix Ltd. granted to Chiesi exclusive licensing rights for the commercialization of the drug for all markets in the United States. Protalix Ltd. will be mainly responsible for (i) continuing the development of the drug until a regulatory approval is granted, (ii) continuing certain clinical development efforts in relation to the drug after a regulatory approval is granted and (iii) manufacture and supply the drug to Chiesi, based on Chiesi’s requests.</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consideration consists of the following:</w:t>
      </w:r>
    </w:p>
    <w:p>
      <w:pPr>
        <w:spacing w:after="0" w:line="198" w:lineRule="exact"/>
        <w:rPr>
          <w:sz w:val="20"/>
          <w:szCs w:val="20"/>
          <w:color w:val="auto"/>
        </w:rPr>
      </w:pPr>
    </w:p>
    <w:p>
      <w:pPr>
        <w:ind w:left="1700" w:hanging="327"/>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non-refundable payment of $25.0 million.</w:t>
      </w:r>
    </w:p>
    <w:p>
      <w:pPr>
        <w:spacing w:after="0" w:line="18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payments of up to $20.0 million in development costs, capped at $7.5 million per year.</w:t>
      </w:r>
    </w:p>
    <w:p>
      <w:pPr>
        <w:spacing w:after="0" w:line="18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additional studies, as may be approved from time to time by Chiesi.</w:t>
      </w:r>
    </w:p>
    <w:p>
      <w:pPr>
        <w:spacing w:after="0" w:line="198" w:lineRule="exact"/>
        <w:rPr>
          <w:rFonts w:ascii="Times New Roman" w:cs="Times New Roman" w:eastAsia="Times New Roman" w:hAnsi="Times New Roman"/>
          <w:sz w:val="18"/>
          <w:szCs w:val="18"/>
          <w:color w:val="auto"/>
        </w:rPr>
      </w:pPr>
    </w:p>
    <w:p>
      <w:pPr>
        <w:ind w:left="1700" w:right="539" w:hanging="327"/>
        <w:spacing w:after="0" w:line="312" w:lineRule="auto"/>
        <w:tabs>
          <w:tab w:leader="none" w:pos="17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Milestone payments of up to $760.0 million with respect to certain regulatory and commercial events as defined in the Chiesi Agreement, which has been reduced to $735.0 million.</w:t>
      </w:r>
    </w:p>
    <w:p>
      <w:pPr>
        <w:spacing w:after="0" w:line="99" w:lineRule="exact"/>
        <w:rPr>
          <w:rFonts w:ascii="Times New Roman" w:cs="Times New Roman" w:eastAsia="Times New Roman" w:hAnsi="Times New Roman"/>
          <w:sz w:val="17"/>
          <w:szCs w:val="17"/>
          <w:color w:val="auto"/>
        </w:rPr>
      </w:pPr>
    </w:p>
    <w:p>
      <w:pPr>
        <w:ind w:left="1700" w:right="239" w:hanging="327"/>
        <w:spacing w:after="0" w:line="312" w:lineRule="auto"/>
        <w:tabs>
          <w:tab w:leader="none" w:pos="17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payments as consideration for the supply of the drug. The payment will vary from 15% to 40% of Chiesi’s average selling price of the drug, depending on the amount of annual sales.</w:t>
      </w:r>
    </w:p>
    <w:p>
      <w:pPr>
        <w:spacing w:after="0" w:line="99" w:lineRule="exact"/>
        <w:rPr>
          <w:rFonts w:ascii="Times New Roman" w:cs="Times New Roman" w:eastAsia="Times New Roman" w:hAnsi="Times New Roman"/>
          <w:sz w:val="17"/>
          <w:szCs w:val="17"/>
          <w:color w:val="auto"/>
        </w:rPr>
      </w:pPr>
    </w:p>
    <w:p>
      <w:pPr>
        <w:ind w:left="1700" w:hanging="327"/>
        <w:spacing w:after="0"/>
        <w:tabs>
          <w:tab w:leader="none" w:pos="1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Protalix will be the sole manufacturer of the drug.</w:t>
      </w:r>
    </w:p>
    <w:p>
      <w:pPr>
        <w:spacing w:after="0" w:line="19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Chiesi does not have sublicensing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right="299"/>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received, or is entitled to receive, the following payments from Chiesi:</w:t>
      </w:r>
    </w:p>
    <w:p>
      <w:pPr>
        <w:spacing w:after="0" w:line="121" w:lineRule="exact"/>
        <w:rPr>
          <w:sz w:val="20"/>
          <w:szCs w:val="20"/>
          <w:color w:val="auto"/>
        </w:rPr>
      </w:pPr>
    </w:p>
    <w:p>
      <w:pPr>
        <w:ind w:left="1700" w:hanging="327"/>
        <w:spacing w:after="0"/>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payments equal to $50.0 million, in the aggregate.</w:t>
      </w:r>
    </w:p>
    <w:p>
      <w:pPr>
        <w:spacing w:after="0" w:line="184"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equal to $45.0 million in consideration for development services performed.</w:t>
      </w:r>
    </w:p>
    <w:p>
      <w:pPr>
        <w:spacing w:after="0" w:line="198" w:lineRule="exact"/>
        <w:rPr>
          <w:rFonts w:ascii="Times New Roman" w:cs="Times New Roman" w:eastAsia="Times New Roman" w:hAnsi="Times New Roman"/>
          <w:sz w:val="18"/>
          <w:szCs w:val="18"/>
          <w:color w:val="auto"/>
        </w:rPr>
      </w:pPr>
    </w:p>
    <w:p>
      <w:pPr>
        <w:ind w:left="1700" w:right="379" w:hanging="327"/>
        <w:spacing w:after="0" w:line="282" w:lineRule="auto"/>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equal to approximately $33.6 million in connection with the performance of extension studies.</w:t>
      </w:r>
    </w:p>
    <w:p>
      <w:pPr>
        <w:spacing w:after="0" w:line="121"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equal to $10.0 million in lieu of certain milestone payments.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During 2019, 2020 and 2021, the Company recognized revenues of approximately $4.5 million,</w:t>
      </w:r>
    </w:p>
    <w:p>
      <w:pPr>
        <w:spacing w:after="0" w:line="27" w:lineRule="exact"/>
        <w:rPr>
          <w:sz w:val="20"/>
          <w:szCs w:val="20"/>
          <w:color w:val="auto"/>
        </w:rPr>
      </w:pPr>
    </w:p>
    <w:p>
      <w:pPr>
        <w:ind w:left="1340" w:right="199"/>
        <w:spacing w:after="0" w:line="253" w:lineRule="auto"/>
        <w:rPr>
          <w:sz w:val="20"/>
          <w:szCs w:val="20"/>
          <w:color w:val="auto"/>
        </w:rPr>
      </w:pPr>
      <w:r>
        <w:rPr>
          <w:rFonts w:ascii="Times New Roman" w:cs="Times New Roman" w:eastAsia="Times New Roman" w:hAnsi="Times New Roman"/>
          <w:sz w:val="18"/>
          <w:szCs w:val="18"/>
          <w:color w:val="auto"/>
        </w:rPr>
        <w:t>$3.5 million and $0.6 million, respectively, related to the then $10.0 million future milestone payment. The Company assessed the likelihood of achieving the milestone using the most likely amount method and evaluated for the constraint by including in the transaction price variable consideration to the extent that it is probable that a significant reversal in the amount of cumulative revenue recognized will not occur. The $10.0 million payment was received in June 2021.</w:t>
      </w:r>
    </w:p>
    <w:p>
      <w:pPr>
        <w:spacing w:after="0" w:line="160" w:lineRule="exact"/>
        <w:rPr>
          <w:sz w:val="20"/>
          <w:szCs w:val="20"/>
          <w:color w:val="auto"/>
        </w:rPr>
      </w:pPr>
    </w:p>
    <w:p>
      <w:pPr>
        <w:ind w:left="1340" w:right="319" w:hanging="318"/>
        <w:spacing w:after="0" w:line="253" w:lineRule="auto"/>
        <w:tabs>
          <w:tab w:leader="none" w:pos="132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18, 2013, Protalix Ltd. entered into the Brazil Agreement with Fiocruz for BioManguinhos. Fiocruz’s purchases of BioManguinhos alfataliglicerase to date have been significantly below certain agreed upon purchase milestones and, accordingly, the Company has the right to terminate the Brazil Agreement. Notwithstanding, the Company is, at this time, continuing to supply BioManguinhos alfataliglicerase to Fiocruz under the Brazil Agreement, and patients continue to be treated with BioManguinhos alfataliglicerase in Brazil. Approximately 25% of adult Gaucher patients in Brazil are currently treated with BioManguinhos alfataliglicerase. The Company is discussing with Fiocruz potential actions that Fiocruz may take to comply with its purchase obligations and, based on such discussions, the Company will determine what it believes to be the course of action that is in the best interest of the Company.</w:t>
      </w:r>
    </w:p>
    <w:p>
      <w:pPr>
        <w:spacing w:after="0" w:line="153" w:lineRule="exact"/>
        <w:rPr>
          <w:rFonts w:ascii="Times New Roman" w:cs="Times New Roman" w:eastAsia="Times New Roman" w:hAnsi="Times New Roman"/>
          <w:sz w:val="18"/>
          <w:szCs w:val="18"/>
          <w:b w:val="1"/>
          <w:bCs w:val="1"/>
          <w:color w:val="auto"/>
        </w:rPr>
      </w:pPr>
    </w:p>
    <w:p>
      <w:pPr>
        <w:ind w:left="1340" w:right="79" w:hanging="318"/>
        <w:spacing w:after="0" w:line="250" w:lineRule="auto"/>
        <w:tabs>
          <w:tab w:leader="none" w:pos="134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2020, the Company agreed to conduct a feasibility study with Kirin Holdings Company, Limited (“Kirin”) to evaluate the production of a novel complex protein utilizing ProCellEx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the Company’s proprietary plant cell-based protein expression system. Under the agreement, Kirin was obligated to bear the costs of conducting cell line engineering and protein expression studies on the target protein. In addition, the contract provided Kirin with an option to a future service for which the Company received a non-refundable payment in the amount of $1.0 million. During the year ended December 31, 2021, the Company </w:t>
      </w:r>
      <w:r>
        <w:rPr>
          <w:rFonts w:ascii="Times New Roman" w:cs="Times New Roman" w:eastAsia="Times New Roman" w:hAnsi="Times New Roman"/>
          <w:sz w:val="18"/>
          <w:szCs w:val="18"/>
          <w:color w:val="212529"/>
        </w:rPr>
        <w:t>completed its obligations under the agreement and the agreement expired,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o</w:t>
      </w:r>
      <w:r>
        <w:rPr>
          <w:rFonts w:ascii="Times New Roman" w:cs="Times New Roman" w:eastAsia="Times New Roman" w:hAnsi="Times New Roman"/>
          <w:sz w:val="18"/>
          <w:szCs w:val="18"/>
          <w:color w:val="212529"/>
        </w:rPr>
        <w:t>ption to provide additional services. Following the expiration of the option, the Company recognized as revenue the $1.0 million received in March 2020</w:t>
      </w:r>
      <w:r>
        <w:rPr>
          <w:rFonts w:ascii="Times New Roman" w:cs="Times New Roman" w:eastAsia="Times New Roman" w:hAnsi="Times New Roman"/>
          <w:sz w:val="18"/>
          <w:szCs w:val="18"/>
          <w:color w:val="000000"/>
        </w:rPr>
        <w:t>.</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PROPERTY AND EQUIPMENT</w:t>
      </w:r>
    </w:p>
    <w:p>
      <w:pPr>
        <w:spacing w:after="0" w:line="229" w:lineRule="exact"/>
        <w:rPr>
          <w:sz w:val="20"/>
          <w:szCs w:val="20"/>
          <w:color w:val="auto"/>
        </w:rPr>
      </w:pPr>
    </w:p>
    <w:p>
      <w:pPr>
        <w:ind w:left="1020" w:hanging="322"/>
        <w:spacing w:after="0"/>
        <w:tabs>
          <w:tab w:leader="none" w:pos="10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Composition of property and equipment grouped by major classifications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computer equipment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80" w:type="dxa"/>
            <w:vAlign w:val="bottom"/>
            <w:vMerge w:val="restart"/>
          </w:tcPr>
          <w:p>
            <w:pPr>
              <w:ind w:left="3380"/>
              <w:spacing w:after="0"/>
              <w:rPr>
                <w:sz w:val="20"/>
                <w:szCs w:val="20"/>
                <w:color w:val="auto"/>
              </w:rPr>
            </w:pPr>
            <w:r>
              <w:rPr>
                <w:rFonts w:ascii="Times New Roman" w:cs="Times New Roman" w:eastAsia="Times New Roman" w:hAnsi="Times New Roman"/>
                <w:sz w:val="18"/>
                <w:szCs w:val="18"/>
                <w:color w:val="auto"/>
              </w:rPr>
              <w:t>F-20</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1020" w:right="559" w:hanging="322"/>
        <w:spacing w:after="0" w:line="282" w:lineRule="auto"/>
        <w:tabs>
          <w:tab w:leader="none" w:pos="102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in respect of property and equipment totaled approximately $1.6 million, $1.3 million and $1.1 million for the years ended December 31, 2019, 2020 and 2021,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189" w:lineRule="exact"/>
        <w:rPr>
          <w:sz w:val="20"/>
          <w:szCs w:val="20"/>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at December 31, 2020 and 2021 consisted of the following:</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w:t>
            </w:r>
          </w:p>
        </w:tc>
        <w:tc>
          <w:tcPr>
            <w:tcW w:w="0" w:type="dxa"/>
            <w:vAlign w:val="bottom"/>
          </w:tcPr>
          <w:p>
            <w:pPr>
              <w:spacing w:after="0"/>
              <w:rPr>
                <w:sz w:val="1"/>
                <w:szCs w:val="1"/>
                <w:color w:val="auto"/>
              </w:rPr>
            </w:pP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hanging="322"/>
        <w:spacing w:after="0"/>
        <w:tabs>
          <w:tab w:leader="none" w:pos="10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2019, 2020 and 2021, the Company recorded approximately</w:t>
      </w:r>
    </w:p>
    <w:p>
      <w:pPr>
        <w:spacing w:after="0" w:line="27" w:lineRule="exact"/>
        <w:rPr>
          <w:rFonts w:ascii="Times New Roman" w:cs="Times New Roman" w:eastAsia="Times New Roman" w:hAnsi="Times New Roman"/>
          <w:sz w:val="18"/>
          <w:szCs w:val="18"/>
          <w:b w:val="1"/>
          <w:bCs w:val="1"/>
          <w:color w:val="auto"/>
        </w:rPr>
      </w:pPr>
    </w:p>
    <w:p>
      <w:pPr>
        <w:ind w:left="1020" w:right="39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$0.5 million, $0.3 million and $0.4 million, respectively, for write-down of inventory under cost of goods sold.</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LIABILITY FOR EMPLOYEE RIGHTS UPON RETIREMENT</w:t>
      </w:r>
    </w:p>
    <w:p>
      <w:pPr>
        <w:spacing w:after="0" w:line="202" w:lineRule="exact"/>
        <w:rPr>
          <w:sz w:val="20"/>
          <w:szCs w:val="20"/>
          <w:color w:val="auto"/>
        </w:rPr>
      </w:pPr>
    </w:p>
    <w:p>
      <w:pPr>
        <w:ind w:left="700" w:right="199"/>
        <w:spacing w:after="0" w:line="258" w:lineRule="auto"/>
        <w:rPr>
          <w:sz w:val="20"/>
          <w:szCs w:val="20"/>
          <w:color w:val="auto"/>
        </w:rPr>
      </w:pPr>
      <w:r>
        <w:rPr>
          <w:rFonts w:ascii="Times New Roman" w:cs="Times New Roman" w:eastAsia="Times New Roman" w:hAnsi="Times New Roman"/>
          <w:sz w:val="18"/>
          <w:szCs w:val="18"/>
          <w:color w:val="auto"/>
        </w:rPr>
        <w:t>The Israeli Subsidiary is required to make a severance payment upon dismissal of an employee or upon termination of employment in certain circumstances. The severance pay liability to the employees (based upon length of service and the latest monthly salary - one month’s salary for each year employed) is recorded on the Company’s balance sheets under “Liability for employee rights upon retirement.” The liability is recorded as if it were payable at each balance sheet date on an undiscounted basis.</w:t>
      </w:r>
    </w:p>
    <w:p>
      <w:pPr>
        <w:spacing w:after="0" w:line="143" w:lineRule="exact"/>
        <w:rPr>
          <w:sz w:val="20"/>
          <w:szCs w:val="20"/>
          <w:color w:val="auto"/>
        </w:rPr>
      </w:pPr>
    </w:p>
    <w:p>
      <w:pPr>
        <w:ind w:left="700" w:right="299"/>
        <w:spacing w:after="0" w:line="255" w:lineRule="auto"/>
        <w:rPr>
          <w:sz w:val="20"/>
          <w:szCs w:val="20"/>
          <w:color w:val="auto"/>
        </w:rPr>
      </w:pPr>
      <w:r>
        <w:rPr>
          <w:rFonts w:ascii="Times New Roman" w:cs="Times New Roman" w:eastAsia="Times New Roman" w:hAnsi="Times New Roman"/>
          <w:sz w:val="18"/>
          <w:szCs w:val="18"/>
          <w:color w:val="auto"/>
        </w:rPr>
        <w:t>The liability is funded in part from the purchase of insurance policies or by the establishment of pension funds with dedicated deposits in the funds. The amounts used to fund these liabilities are included in the Company’s balance sheets under “Funds in respect of employee rights upon retirement.” These policies are the Company’s assets. However, under labor agreements and subject to certain limitations, any policy may be transferred to the ownership of the individual employee for whose benefit the funds were deposited. In the years ended December 31, 2019, 2020 and 2021, the Company deposited approximately $143,000, $121,000 and $108,000, respectively, with insurance companies in connection with its severance payment obligations.</w:t>
      </w:r>
    </w:p>
    <w:p>
      <w:pPr>
        <w:spacing w:after="0" w:line="148" w:lineRule="exact"/>
        <w:rPr>
          <w:sz w:val="20"/>
          <w:szCs w:val="20"/>
          <w:color w:val="auto"/>
        </w:rPr>
      </w:pPr>
    </w:p>
    <w:p>
      <w:pPr>
        <w:ind w:left="700" w:right="119"/>
        <w:spacing w:after="0" w:line="254" w:lineRule="auto"/>
        <w:rPr>
          <w:sz w:val="20"/>
          <w:szCs w:val="20"/>
          <w:color w:val="auto"/>
        </w:rPr>
      </w:pPr>
      <w:r>
        <w:rPr>
          <w:rFonts w:ascii="Times New Roman" w:cs="Times New Roman" w:eastAsia="Times New Roman" w:hAnsi="Times New Roman"/>
          <w:sz w:val="18"/>
          <w:szCs w:val="18"/>
          <w:color w:val="auto"/>
        </w:rPr>
        <w:t>In accordance with the current employment agreements with certain employees, the Company makes regular deposits with certain insurance companies for accounts controlled by each applicable employee in order to secure the employee’s rights upon retirement.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Company’s balance sheets, as the amounts funded are not under the control and management of the Company and the pension or severance pay risks have been irrevocably transferred to the applicable insurance companies (the “Contribution Plans”).</w:t>
      </w:r>
    </w:p>
    <w:p>
      <w:pPr>
        <w:spacing w:after="0" w:line="165" w:lineRule="exact"/>
        <w:rPr>
          <w:sz w:val="20"/>
          <w:szCs w:val="20"/>
          <w:color w:val="auto"/>
        </w:rPr>
      </w:pPr>
    </w:p>
    <w:p>
      <w:pPr>
        <w:ind w:left="700" w:right="159"/>
        <w:spacing w:after="0" w:line="277" w:lineRule="auto"/>
        <w:rPr>
          <w:sz w:val="20"/>
          <w:szCs w:val="20"/>
          <w:color w:val="auto"/>
        </w:rPr>
      </w:pPr>
      <w:r>
        <w:rPr>
          <w:rFonts w:ascii="Times New Roman" w:cs="Times New Roman" w:eastAsia="Times New Roman" w:hAnsi="Times New Roman"/>
          <w:sz w:val="17"/>
          <w:szCs w:val="17"/>
          <w:color w:val="auto"/>
        </w:rPr>
        <w:t>The amounts of severance pay expenses were approximately $784,000, $885,000 and $990,000 for each of the years ended December 31, 2019, 2020 and 2021, respectively, of which approximately $642,000, $747,000 and $857,000 in the years ended December 31, 2019, 2020 and 2021, respectively, were in respect of the Contribution Plans. Gain on amounts funded in respect of employee rights upon retirement totaled approximately $58,000, $28,000 and $100,000 for the years ended December 31, 2019, 2020 and 2021, respectively.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700" w:right="239"/>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approximately $984,000 in the year ending December 31, 2022 to insurance companies in connection with its severance liabilities for its operations for that year, approximately $868,000 of which will be contributed to one or more Contribution Plans.</w:t>
      </w:r>
    </w:p>
    <w:p>
      <w:pPr>
        <w:spacing w:after="0" w:line="135" w:lineRule="exact"/>
        <w:rPr>
          <w:sz w:val="20"/>
          <w:szCs w:val="20"/>
          <w:color w:val="auto"/>
        </w:rPr>
      </w:pPr>
    </w:p>
    <w:p>
      <w:pPr>
        <w:ind w:left="700" w:right="179"/>
        <w:spacing w:after="0" w:line="266" w:lineRule="auto"/>
        <w:rPr>
          <w:sz w:val="20"/>
          <w:szCs w:val="20"/>
          <w:color w:val="auto"/>
        </w:rPr>
      </w:pPr>
      <w:r>
        <w:rPr>
          <w:rFonts w:ascii="Times New Roman" w:cs="Times New Roman" w:eastAsia="Times New Roman" w:hAnsi="Times New Roman"/>
          <w:sz w:val="18"/>
          <w:szCs w:val="18"/>
          <w:color w:val="auto"/>
        </w:rPr>
        <w:t>During the five-year period following December 31, 2021, the Company expects to pay future benefits to four employees upon each such employee’s normal retirement age. The Company anticipates that the benefits payable will be approximately $72,000.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185" w:lineRule="exact"/>
        <w:rPr>
          <w:sz w:val="20"/>
          <w:szCs w:val="20"/>
          <w:color w:val="auto"/>
        </w:rPr>
      </w:pPr>
    </w:p>
    <w:p>
      <w:pPr>
        <w:ind w:left="1020" w:hanging="322"/>
        <w:spacing w:after="0"/>
        <w:tabs>
          <w:tab w:leader="none" w:pos="10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Royalty Commitments</w:t>
      </w:r>
    </w:p>
    <w:p>
      <w:pPr>
        <w:spacing w:after="0" w:line="202" w:lineRule="exact"/>
        <w:rPr>
          <w:rFonts w:ascii="Times New Roman" w:cs="Times New Roman" w:eastAsia="Times New Roman" w:hAnsi="Times New Roman"/>
          <w:sz w:val="18"/>
          <w:szCs w:val="18"/>
          <w:b w:val="1"/>
          <w:bCs w:val="1"/>
          <w:color w:val="auto"/>
        </w:rPr>
      </w:pPr>
    </w:p>
    <w:p>
      <w:pPr>
        <w:ind w:left="1020" w:right="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obligated to pay royalties to NATI on proceeds from the sale of products developed from research and development activities that were funded, partially, by grants from NATI or its predecessor, the Office of the Israeli Innovation Authority (IIA). At the time the grants were received, successful development of the related projects was not assured.</w:t>
      </w:r>
    </w:p>
    <w:p>
      <w:pPr>
        <w:spacing w:after="0" w:line="139" w:lineRule="exact"/>
        <w:rPr>
          <w:rFonts w:ascii="Times New Roman" w:cs="Times New Roman" w:eastAsia="Times New Roman" w:hAnsi="Times New Roman"/>
          <w:sz w:val="18"/>
          <w:szCs w:val="18"/>
          <w:b w:val="1"/>
          <w:bCs w:val="1"/>
          <w:color w:val="auto"/>
        </w:rPr>
      </w:pPr>
    </w:p>
    <w:p>
      <w:pPr>
        <w:ind w:left="1020" w:right="7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failure of a project that was partly financed as described above, the Company is not obligated to pay any such royalties or repay funding received from NATI or the IIA.</w:t>
      </w:r>
    </w:p>
    <w:p>
      <w:pPr>
        <w:spacing w:after="0" w:line="121" w:lineRule="exact"/>
        <w:rPr>
          <w:rFonts w:ascii="Times New Roman" w:cs="Times New Roman" w:eastAsia="Times New Roman" w:hAnsi="Times New Roman"/>
          <w:sz w:val="18"/>
          <w:szCs w:val="18"/>
          <w:b w:val="1"/>
          <w:bCs w:val="1"/>
          <w:color w:val="auto"/>
        </w:rPr>
      </w:pPr>
    </w:p>
    <w:p>
      <w:pPr>
        <w:ind w:left="1020" w:right="7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applicable funding arrangements, royalties of 3% to 6% are payable on the sale of products developed from projects funded by NATI or the IIA, which payments shall not exceed, in the aggregate, 100% of the amount of the grant received (dollar linked), plus, commencing upon January 1, 2001, interest at an annual rate based on LIBOR. In addition, if the Company receives approval to manufacture products developed with government grants outside the State of Israel, it will be required to pay an increased total amount of royalties (possibly up to 300% of the grant amounts plus interest), depending on the manufacturing volume that is performed outside the State of Israel, and, possibly, an increased royalty rate.</w:t>
      </w:r>
    </w:p>
    <w:p>
      <w:pPr>
        <w:spacing w:after="0" w:line="161" w:lineRule="exact"/>
        <w:rPr>
          <w:rFonts w:ascii="Times New Roman" w:cs="Times New Roman" w:eastAsia="Times New Roman" w:hAnsi="Times New Roman"/>
          <w:sz w:val="18"/>
          <w:szCs w:val="18"/>
          <w:b w:val="1"/>
          <w:bCs w:val="1"/>
          <w:color w:val="auto"/>
        </w:rPr>
      </w:pPr>
    </w:p>
    <w:p>
      <w:pPr>
        <w:ind w:left="1020" w:right="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Royalty expenses to NATI or the IIA are included in the statement of operations as a component of the cost of revenues and were approximately $1.4 million, $911,000 and $1.2 million during the years ended December 31, 2019, 2020 and 2021, respectively.</w:t>
      </w:r>
    </w:p>
    <w:p>
      <w:pPr>
        <w:spacing w:after="0" w:line="135" w:lineRule="exact"/>
        <w:rPr>
          <w:rFonts w:ascii="Times New Roman" w:cs="Times New Roman" w:eastAsia="Times New Roman" w:hAnsi="Times New Roman"/>
          <w:sz w:val="18"/>
          <w:szCs w:val="18"/>
          <w:b w:val="1"/>
          <w:bCs w:val="1"/>
          <w:color w:val="auto"/>
        </w:rPr>
      </w:pPr>
    </w:p>
    <w:p>
      <w:pPr>
        <w:ind w:left="1020" w:right="3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2020 and 2021, the maximum total royalty amount payable by the Company under these funding arrangements is approximately $39.8 million and $38.6 million, respectively (without interest, assuming 100% of the funds are payable).</w:t>
      </w:r>
    </w:p>
    <w:p>
      <w:pPr>
        <w:spacing w:after="0" w:line="131"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Subcontracting Agreements</w:t>
      </w:r>
    </w:p>
    <w:p>
      <w:pPr>
        <w:spacing w:after="0" w:line="202" w:lineRule="exact"/>
        <w:rPr>
          <w:rFonts w:ascii="Times New Roman" w:cs="Times New Roman" w:eastAsia="Times New Roman" w:hAnsi="Times New Roman"/>
          <w:sz w:val="18"/>
          <w:szCs w:val="18"/>
          <w:b w:val="1"/>
          <w:bCs w:val="1"/>
          <w:color w:val="auto"/>
        </w:rPr>
      </w:pPr>
    </w:p>
    <w:p>
      <w:pPr>
        <w:ind w:left="1020" w:right="19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sub-contracting agreements with several clinical providers and consultants in Israel, the United States and certain other countries in connection with its primary product development process. As of December 31, 2021, total commitments under said agreements were approximately</w:t>
      </w:r>
    </w:p>
    <w:p>
      <w:pPr>
        <w:spacing w:after="0" w:line="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$0.9 million.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OPERATING LEASES</w:t>
      </w:r>
    </w:p>
    <w:p>
      <w:pPr>
        <w:spacing w:after="0" w:line="189" w:lineRule="exact"/>
        <w:rPr>
          <w:sz w:val="20"/>
          <w:szCs w:val="20"/>
          <w:color w:val="auto"/>
        </w:rPr>
      </w:pPr>
    </w:p>
    <w:p>
      <w:pPr>
        <w:ind w:left="1020" w:right="159"/>
        <w:spacing w:after="0" w:line="256" w:lineRule="auto"/>
        <w:rPr>
          <w:sz w:val="20"/>
          <w:szCs w:val="20"/>
          <w:color w:val="auto"/>
        </w:rPr>
      </w:pPr>
      <w:r>
        <w:rPr>
          <w:rFonts w:ascii="Times New Roman" w:cs="Times New Roman" w:eastAsia="Times New Roman" w:hAnsi="Times New Roman"/>
          <w:sz w:val="18"/>
          <w:szCs w:val="18"/>
          <w:color w:val="auto"/>
        </w:rPr>
        <w:t>The Company is a party to several lease agreements for its facilities, the latest of which has been extended until 2026. The Company has the option to extend certain of such agreements on one additional occasion for an additional five-year period. During the extended lease period, the aggregate monthly rental payments will increase by 7.5%-10% for the option. The Company expects to exercise the final option in future periods. As of December 31, 2021, the Company provided bank guarantees of approximately $496,000, in the aggregate, to secure the fulfillment of its obligations under the lease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59"/>
        <w:spacing w:after="0" w:line="282" w:lineRule="auto"/>
        <w:rPr>
          <w:sz w:val="20"/>
          <w:szCs w:val="20"/>
          <w:color w:val="auto"/>
        </w:rPr>
      </w:pPr>
      <w:r>
        <w:rPr>
          <w:rFonts w:ascii="Times New Roman" w:cs="Times New Roman" w:eastAsia="Times New Roman" w:hAnsi="Times New Roman"/>
          <w:sz w:val="18"/>
          <w:szCs w:val="18"/>
          <w:color w:val="auto"/>
        </w:rPr>
        <w:t>The Company entered into several three-year leases for vehicles which are regularly amended as new vehicles are leased.</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data regarding the Company’s operating leases for the years ended</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2019, 2020 and 2021:</w:t>
      </w:r>
    </w:p>
    <w:p>
      <w:pPr>
        <w:spacing w:after="0" w:line="25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74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8"/>
                <w:szCs w:val="18"/>
                <w:color w:val="auto"/>
              </w:rPr>
            </w:pP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8"/>
                <w:szCs w:val="18"/>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660" w:type="dxa"/>
            <w:vAlign w:val="bottom"/>
            <w:tcBorders>
              <w:bottom w:val="single" w:sz="8" w:color="auto"/>
            </w:tcBorders>
            <w:gridSpan w:val="2"/>
          </w:tcPr>
          <w:p>
            <w:pPr>
              <w:spacing w:after="0" w:line="20" w:lineRule="exact"/>
              <w:rPr>
                <w:sz w:val="1"/>
                <w:szCs w:val="1"/>
                <w:color w:val="auto"/>
              </w:rPr>
            </w:pPr>
          </w:p>
        </w:tc>
        <w:tc>
          <w:tcPr>
            <w:tcW w:w="460" w:type="dxa"/>
            <w:vAlign w:val="bottom"/>
            <w:vMerge w:val="restart"/>
          </w:tcPr>
          <w:p>
            <w:pPr>
              <w:jc w:val="right"/>
              <w:ind w:right="201"/>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line="20" w:lineRule="exact"/>
              <w:rPr>
                <w:sz w:val="1"/>
                <w:szCs w:val="1"/>
                <w:color w:val="auto"/>
              </w:rPr>
            </w:pPr>
          </w:p>
        </w:tc>
      </w:tr>
      <w:tr>
        <w:trPr>
          <w:trHeight w:val="197"/>
        </w:trPr>
        <w:tc>
          <w:tcPr>
            <w:tcW w:w="42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60" w:type="dxa"/>
            <w:vAlign w:val="bottom"/>
            <w:vMerge w:val="continue"/>
          </w:tcPr>
          <w:p>
            <w:pPr>
              <w:spacing w:after="0"/>
              <w:rPr>
                <w:sz w:val="17"/>
                <w:szCs w:val="17"/>
                <w:color w:val="auto"/>
              </w:rPr>
            </w:pPr>
          </w:p>
        </w:tc>
        <w:tc>
          <w:tcPr>
            <w:tcW w:w="6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a maturity analysis of the Company’s operating lease liabilities as of</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160" w:type="dxa"/>
            <w:vAlign w:val="bottom"/>
            <w:tcBorders>
              <w:left w:val="single" w:sz="8" w:color="CCEEFF"/>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9,333</w:t>
            </w:r>
          </w:p>
        </w:tc>
        <w:tc>
          <w:tcPr>
            <w:tcW w:w="0" w:type="dxa"/>
            <w:vAlign w:val="bottom"/>
          </w:tcPr>
          <w:p>
            <w:pPr>
              <w:spacing w:after="0"/>
              <w:rPr>
                <w:sz w:val="1"/>
                <w:szCs w:val="1"/>
                <w:color w:val="auto"/>
              </w:rPr>
            </w:pPr>
          </w:p>
        </w:tc>
      </w:tr>
      <w:tr>
        <w:trPr>
          <w:trHeight w:val="197"/>
        </w:trPr>
        <w:tc>
          <w:tcPr>
            <w:tcW w:w="90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5,583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REVENUE</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disaggregation of revenues: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4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8,105</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50"/>
        </w:trPr>
        <w:tc>
          <w:tcPr>
            <w:tcW w:w="47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16,236</w:t>
            </w:r>
          </w:p>
        </w:tc>
        <w:tc>
          <w:tcPr>
            <w:tcW w:w="2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38,827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right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46,662</w:t>
            </w:r>
          </w:p>
        </w:tc>
        <w:tc>
          <w:tcPr>
            <w:tcW w:w="20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21,601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13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and following the CRL received from the FDA and other understandings with Chiesi, the Company changed its estimate for total costs expected to be incurred until satisfying the performance obligation under the Chiesi Agreements. This resulted in reduced revenues recognized in respect of this performance obligation in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SHARE CAPITAL</w:t>
      </w:r>
    </w:p>
    <w:p>
      <w:pPr>
        <w:spacing w:after="0" w:line="185" w:lineRule="exact"/>
        <w:rPr>
          <w:sz w:val="20"/>
          <w:szCs w:val="20"/>
          <w:color w:val="auto"/>
        </w:rPr>
      </w:pPr>
    </w:p>
    <w:p>
      <w:pPr>
        <w:ind w:left="1020" w:hanging="322"/>
        <w:spacing w:after="0"/>
        <w:tabs>
          <w:tab w:leader="none" w:pos="10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the Company’s Common Stock</w:t>
      </w:r>
    </w:p>
    <w:p>
      <w:pPr>
        <w:spacing w:after="0" w:line="188" w:lineRule="exact"/>
        <w:rPr>
          <w:rFonts w:ascii="Times New Roman" w:cs="Times New Roman" w:eastAsia="Times New Roman" w:hAnsi="Times New Roman"/>
          <w:sz w:val="18"/>
          <w:szCs w:val="18"/>
          <w:b w:val="1"/>
          <w:bCs w:val="1"/>
          <w:color w:val="auto"/>
        </w:rPr>
      </w:pPr>
    </w:p>
    <w:p>
      <w:pPr>
        <w:ind w:left="1020" w:right="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Common Stock is listed on the NYSE American and on the Tel Aviv Stock Exchange. Each share of Common Stock is entitled to one vote. The holders of shares of Common Stock are also entitled to receive dividends whenever funds are legally available, when and if declared by the Board of Directors. Since its inception, the Company has not declared any dividends.</w:t>
      </w:r>
    </w:p>
    <w:p>
      <w:pPr>
        <w:spacing w:after="0" w:line="148" w:lineRule="exact"/>
        <w:rPr>
          <w:rFonts w:ascii="Times New Roman" w:cs="Times New Roman" w:eastAsia="Times New Roman" w:hAnsi="Times New Roman"/>
          <w:sz w:val="18"/>
          <w:szCs w:val="18"/>
          <w:b w:val="1"/>
          <w:bCs w:val="1"/>
          <w:color w:val="auto"/>
        </w:rPr>
      </w:pPr>
    </w:p>
    <w:p>
      <w:pPr>
        <w:ind w:left="1020" w:hanging="322"/>
        <w:spacing w:after="0"/>
        <w:tabs>
          <w:tab w:leader="none" w:pos="10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stock split</w:t>
      </w:r>
    </w:p>
    <w:p>
      <w:pPr>
        <w:spacing w:after="0" w:line="188" w:lineRule="exact"/>
        <w:rPr>
          <w:rFonts w:ascii="Times New Roman" w:cs="Times New Roman" w:eastAsia="Times New Roman" w:hAnsi="Times New Roman"/>
          <w:sz w:val="18"/>
          <w:szCs w:val="18"/>
          <w:b w:val="1"/>
          <w:bCs w:val="1"/>
          <w:color w:val="auto"/>
        </w:rPr>
      </w:pPr>
    </w:p>
    <w:p>
      <w:pPr>
        <w:ind w:left="1020" w:right="1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9, 2019, the Company’s stockholders approved an amendment to the Company’s Certificate of Incorporation, as amended, to, among other things, effect a reverse stock split at a ratio of one-for-ten. The ratio was determined by the Company’s Board of Directors on December 5, 2019 and the reverse stock split became effective at midnight December 19, 2019. All share and per share amounts included in the consolidated financial statements have been adjusted retrospectively to reflect the effect of the reverse stock split.</w:t>
      </w:r>
    </w:p>
    <w:p>
      <w:pPr>
        <w:spacing w:after="0" w:line="142" w:lineRule="exact"/>
        <w:rPr>
          <w:rFonts w:ascii="Times New Roman" w:cs="Times New Roman" w:eastAsia="Times New Roman" w:hAnsi="Times New Roman"/>
          <w:sz w:val="18"/>
          <w:szCs w:val="18"/>
          <w:b w:val="1"/>
          <w:bCs w:val="1"/>
          <w:color w:val="auto"/>
        </w:rPr>
      </w:pPr>
    </w:p>
    <w:p>
      <w:pPr>
        <w:ind w:left="1000" w:hanging="302"/>
        <w:spacing w:after="0"/>
        <w:tabs>
          <w:tab w:leader="none" w:pos="10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02" w:lineRule="exact"/>
        <w:rPr>
          <w:rFonts w:ascii="Times New Roman" w:cs="Times New Roman" w:eastAsia="Times New Roman" w:hAnsi="Times New Roman"/>
          <w:sz w:val="18"/>
          <w:szCs w:val="18"/>
          <w:b w:val="1"/>
          <w:bCs w:val="1"/>
          <w:color w:val="auto"/>
        </w:rPr>
      </w:pPr>
    </w:p>
    <w:p>
      <w:pPr>
        <w:ind w:left="1020" w:right="13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14, 2006, the Board of Directors adopted the Protalix BioTherapeutics, Inc. 2006 Stock Incentive Plan, as amended (the “Plan”). The Plan has since been amended to, among other things, increase the number of shares of Common Stock available under the Plan to 5,725,171 shares. The grant of options to Israeli employees under the Plan is subject to the terms stipulated by Sections 102 and 102A of the Israeli Income Tax Ordinance. Each option grant made to an Israeli citizen is subject to the track chosen by the Company, either Section 102 or Section 102A of the Israeli Income Tax Ordinance, and pursuant to the terms thereof, the Company is not allowed to claim, as an expense for tax purposes, the amounts credited to employees as a benefit, including amounts recorded as salary benefits in the Company’s accounts, in respect of options granted to employees under the Plan, with the exception of the work-income benefit component, if any, determined on the grant date. For Israeli non-employees, the share option plan is subject to Section 3(i) of the Israeli Income Tax Ordinance.</w:t>
      </w:r>
    </w:p>
    <w:p>
      <w:pPr>
        <w:spacing w:after="0" w:line="151"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1,786,256 shares of Common Stock remain available for grant under the Plan.</w:t>
      </w:r>
    </w:p>
    <w:p>
      <w:pPr>
        <w:spacing w:after="0" w:line="184" w:lineRule="exact"/>
        <w:rPr>
          <w:rFonts w:ascii="Times New Roman" w:cs="Times New Roman" w:eastAsia="Times New Roman" w:hAnsi="Times New Roman"/>
          <w:sz w:val="18"/>
          <w:szCs w:val="18"/>
          <w:b w:val="1"/>
          <w:bCs w:val="1"/>
          <w:color w:val="auto"/>
        </w:rPr>
      </w:pPr>
    </w:p>
    <w:p>
      <w:pPr>
        <w:ind w:left="1020" w:right="25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determining the fair value of the options and restricted stock unit granted to employees and non-employees, the Company’s management uses the fair value of the Common Stock.</w:t>
      </w:r>
    </w:p>
    <w:p>
      <w:pPr>
        <w:spacing w:after="0" w:line="134" w:lineRule="exact"/>
        <w:rPr>
          <w:rFonts w:ascii="Times New Roman" w:cs="Times New Roman" w:eastAsia="Times New Roman" w:hAnsi="Times New Roman"/>
          <w:sz w:val="18"/>
          <w:szCs w:val="18"/>
          <w:b w:val="1"/>
          <w:bCs w:val="1"/>
          <w:color w:val="auto"/>
        </w:rPr>
      </w:pPr>
    </w:p>
    <w:p>
      <w:pPr>
        <w:ind w:left="1020" w:right="1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years ended December 31, 2021, the Company granted options and shares of restricted stock to certain employees and non-employees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340" w:hanging="318"/>
        <w:spacing w:after="0"/>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and restricted stock units granted to employees:</w:t>
      </w:r>
    </w:p>
    <w:p>
      <w:pPr>
        <w:spacing w:after="0" w:line="188" w:lineRule="exact"/>
        <w:rPr>
          <w:rFonts w:ascii="Times New Roman" w:cs="Times New Roman" w:eastAsia="Times New Roman" w:hAnsi="Times New Roman"/>
          <w:sz w:val="18"/>
          <w:szCs w:val="18"/>
          <w:color w:val="auto"/>
        </w:rPr>
      </w:pPr>
    </w:p>
    <w:p>
      <w:pPr>
        <w:ind w:left="1680" w:right="239" w:hanging="334"/>
        <w:spacing w:after="0" w:line="282" w:lineRule="auto"/>
        <w:tabs>
          <w:tab w:leader="none" w:pos="16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 table summarizing all of the options and restricted stock grants to employees during the three years ended December 31, 2021:</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 of options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at grant</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of grant</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gridSpan w:val="2"/>
            <w:vMerge w:val="continue"/>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8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 years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2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196,995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760,311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1,893</w:t>
            </w:r>
          </w:p>
        </w:tc>
        <w:tc>
          <w:tcPr>
            <w:tcW w:w="2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129,771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694,073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n/a</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2,492</w:t>
            </w:r>
          </w:p>
        </w:tc>
        <w:tc>
          <w:tcPr>
            <w:tcW w:w="2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122,656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340" w:right="459"/>
        <w:spacing w:after="0" w:line="282" w:lineRule="auto"/>
        <w:rPr>
          <w:sz w:val="20"/>
          <w:szCs w:val="20"/>
          <w:color w:val="auto"/>
        </w:rPr>
      </w:pPr>
      <w:r>
        <w:rPr>
          <w:rFonts w:ascii="Times New Roman" w:cs="Times New Roman" w:eastAsia="Times New Roman" w:hAnsi="Times New Roman"/>
          <w:sz w:val="18"/>
          <w:szCs w:val="18"/>
          <w:color w:val="auto"/>
        </w:rPr>
        <w:t>Set forth below are grants made by the Company to employees (including related parties) during the three-year period ended December 31, 2021 (a portion of such grants appear in the table above):</w:t>
      </w:r>
    </w:p>
    <w:p>
      <w:pPr>
        <w:spacing w:after="0" w:line="1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 June 2019, the Company granted to its Chief Executive Officer 10-year options to purchase, in the</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aggregate, 160,000 shares of Common Stock under the Plan. The options have an exercise price equal to</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$4.69 per share, vest over a four-year period in 16 equal quarterly increments. Vesting of the options is</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subject to acceleration in full upon a Corporate Transaction or a Change in Control, as those terms are</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defined in the Plan, and are subject to certain other terms and conditions. The Company estimated the fair</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value of the options on the date of grant using the Black-Scholes option-pricing model to be</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approximately $449,000 based on the following weighted average assumptions: share price equal to</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$4.69; dividend yield of 0%; expected volatility of 65.3%; risk-free interest rates of 1.8%; and expected</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life of six years.</w:t>
      </w:r>
    </w:p>
    <w:p>
      <w:pPr>
        <w:spacing w:after="0" w:line="180" w:lineRule="exact"/>
        <w:rPr>
          <w:sz w:val="20"/>
          <w:szCs w:val="20"/>
          <w:color w:val="auto"/>
        </w:rPr>
      </w:pPr>
    </w:p>
    <w:p>
      <w:pPr>
        <w:ind w:left="1340" w:right="59"/>
        <w:spacing w:after="0" w:line="253" w:lineRule="auto"/>
        <w:rPr>
          <w:sz w:val="20"/>
          <w:szCs w:val="20"/>
          <w:color w:val="auto"/>
        </w:rPr>
      </w:pPr>
      <w:r>
        <w:rPr>
          <w:rFonts w:ascii="Times New Roman" w:cs="Times New Roman" w:eastAsia="Times New Roman" w:hAnsi="Times New Roman"/>
          <w:sz w:val="18"/>
          <w:szCs w:val="18"/>
          <w:color w:val="auto"/>
        </w:rPr>
        <w:t>In September 2019, the Company granted to its Chief Financial Officer 10-year options to purchase, in the aggregate, 80,000 shares of Common Stock under the Plan. The options have an exercise price equal to $2.00 per share and vest over a four-year period in 16 equal quarterly increments. Vesting of the options is subject to acceleration in full upon a Corporate Transaction or a Change in Control, and are subject to certain other terms and conditions. The Company estimated the fair value of the options on the date of grant using the Black-Scholes option pricing model to be approximately $97,000 based on the following weighted average assumptions: share price equal to $2.00; dividend yield of 0%; expected volatility of 66.48%; risk-free interest rates of 1.695%; and expected life of six years. In addition, contingent upon certain conditions, the chief financial officer is entitled to a grant of restricted stock units with an aggregate value of $100,000, on an annual basis.</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On August 11, 2020, the Company granted the following:</w:t>
      </w:r>
    </w:p>
    <w:p>
      <w:pPr>
        <w:spacing w:after="0" w:line="185" w:lineRule="exact"/>
        <w:rPr>
          <w:sz w:val="20"/>
          <w:szCs w:val="20"/>
          <w:color w:val="auto"/>
        </w:rPr>
      </w:pPr>
    </w:p>
    <w:p>
      <w:pPr>
        <w:ind w:left="2000" w:right="139" w:hanging="330"/>
        <w:spacing w:after="0" w:line="258" w:lineRule="auto"/>
        <w:tabs>
          <w:tab w:leader="none" w:pos="2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447,927 shares of restricted Common Stock to its President and Chief Executive Officer under the Plan. The restricted shares vest over a four-year period in 16 equal quarterly increments and are subject to automatic acceleration in full upon a Corporate Transaction or a Change in Control, and are subject to certain other terms and conditions. The Company estimated the fair value of the restricted stock on the date of grant to be approximately $1.6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2000" w:right="199" w:hanging="330"/>
        <w:spacing w:after="0" w:line="255" w:lineRule="auto"/>
        <w:tabs>
          <w:tab w:leader="none" w:pos="2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246,146 shares of restricted Common Stock to its Sr. Vice President, Chief Financial Officer under the Plan. Of the shares, 27,855 shares vested on September 22, 2020. The remaining 218,291 of the shares vest in 16 equal, quarterly increments over a four-year period, commencing upon the date of grant and are subject to automatic acceleration in full upon a Corporate Transaction or a Change in Control, and are subject to certain other terms and conditions. The Company estimated the fair value of the restricted stock on the date of grant to be approximately $900,000.</w:t>
      </w:r>
    </w:p>
    <w:p>
      <w:pPr>
        <w:spacing w:after="0" w:line="148" w:lineRule="exact"/>
        <w:rPr>
          <w:sz w:val="20"/>
          <w:szCs w:val="20"/>
          <w:color w:val="auto"/>
        </w:rPr>
      </w:pPr>
    </w:p>
    <w:p>
      <w:pPr>
        <w:ind w:left="2000" w:right="79" w:hanging="330"/>
        <w:spacing w:after="0" w:line="253" w:lineRule="auto"/>
        <w:tabs>
          <w:tab w:leader="none" w:pos="2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10-year options to purchase 122,656 shares of Common Stock to the Company’s Sr. Vice President, Operations under the Plan. The options have an exercise price equal to $3.59 per share and vest over a four-year period in 16 equal quarterly increments. Vesting of the options granted to the Sr. Vice President, Operations are subject to automatic acceleration in full upon a Corporate Transaction or a Change in Control, and are subject to certain other terms and conditions. The Company’s President and Chief Executive Officer may, in his discretion, grant options to the Company’s Sr. Vice President, Operations to purchase additional shares if the Company effects certain transactions in which it issues additional shares of Common Stock. The Company estimated the fair value of the options on the date of grant using the Black-Scholes option-pricing model to be approximately $300,000 based on the following weighted average assumptions: share price equal to $3.59; dividend yield of 0%; expected volatility of 80.51%; risk-free interest rate of 0.365%; and expected life of six years.</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On July 5, 2020, the Company granted 10-year options to purchase 129,771 shares of Common Stock to</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Company’s Vice President, Research and Development under the Plan. The options have an exercise</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price equal to $3.73 per share and vest over a four-year period in 16 equal quarterly increments. Vesting</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of the options granted to the Vice President, Research and Development is subject to automatic</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acceleration in full upon a Corporate Transaction or a Change in Control, as those terms are defined in</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Plan, and are subject to certain other terms and conditions. The Company estimated the fair value of</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options on the date of grant using the Black-Scholes option-pricing model to be approximately</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$329,000 based on the following weighted average assumptions: share price equal to $3.73; dividend</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yield of 0%; expected volatility of 80.60%; risk-free interest rate of 0.395%; and expected life of six</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years.</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On June 7, 2020, the Company granted the following:</w:t>
      </w:r>
    </w:p>
    <w:p>
      <w:pPr>
        <w:spacing w:after="0" w:line="185" w:lineRule="exact"/>
        <w:rPr>
          <w:sz w:val="20"/>
          <w:szCs w:val="20"/>
          <w:color w:val="auto"/>
        </w:rPr>
      </w:pPr>
    </w:p>
    <w:p>
      <w:pPr>
        <w:ind w:left="2000" w:right="119" w:hanging="330"/>
        <w:spacing w:after="0" w:line="253" w:lineRule="auto"/>
        <w:tabs>
          <w:tab w:leader="none" w:pos="2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10-year options to purchase 196,995 shares of Common Stock to the Company’s Sr. Vice President and Chief Development Officer under the Plan. The options have an exercise price equal to $3.59 per share and vest over a four-year period in 16 equal quarterly increments. Vesting of the options granted to the Sr. Vice President and Chief Development Officer are subject to automatic acceleration in full upon a Corporate Transaction or a Change in Control, as those terms are defined in the Plan, and are subject to certain other terms and conditions. The Company’s President and Chief Executive Officer may, in his discretion, grant options to the Company’s Sr. Vice President and Chief Development Officer to purchase additional shares if the Company effects certain transactions in which it issues additional shares of Common Stock. The Company estimated the fair value of the options on the date of grant using the Black-Scholes option-pricing model to be approximately $500,000 based on the following weighted average assumptions: share price equal to $3.59; dividend yield of 0%; expected volatility of 80.43%; risk-free interest rate of 0.59%; and expected life of six years.</w:t>
      </w:r>
    </w:p>
    <w:p>
      <w:pPr>
        <w:spacing w:after="0" w:line="147" w:lineRule="exact"/>
        <w:rPr>
          <w:sz w:val="20"/>
          <w:szCs w:val="20"/>
          <w:color w:val="auto"/>
        </w:rPr>
      </w:pPr>
    </w:p>
    <w:p>
      <w:pPr>
        <w:ind w:left="2000" w:right="79" w:hanging="330"/>
        <w:spacing w:after="0" w:line="261" w:lineRule="auto"/>
        <w:tabs>
          <w:tab w:leader="none" w:pos="2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10-year options to purchase 760,311 shares of Common Stock, in the aggregate, to certain of the Company’s employees under the Plan. The options granted have an exercise price equal to $3.66 per share and vest over a four-year period in 16 equal quarterly increments. The Company estimated the fair value of the options on the date of grant using the Black-Scholes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2000" w:right="99"/>
        <w:spacing w:after="0" w:line="266" w:lineRule="auto"/>
        <w:rPr>
          <w:sz w:val="20"/>
          <w:szCs w:val="20"/>
          <w:color w:val="auto"/>
        </w:rPr>
      </w:pPr>
      <w:r>
        <w:rPr>
          <w:rFonts w:ascii="Times New Roman" w:cs="Times New Roman" w:eastAsia="Times New Roman" w:hAnsi="Times New Roman"/>
          <w:sz w:val="18"/>
          <w:szCs w:val="18"/>
          <w:color w:val="auto"/>
        </w:rPr>
        <w:t>option-pricing model to be approximately $1.9 million based on the following weighted average assumptions: share price equal to $3.66; dividend yield of 0%; expected volatility of 80.49%; risk-free interest rate of 0.45%; and expected life of six years.</w:t>
      </w:r>
    </w:p>
    <w:p>
      <w:pPr>
        <w:spacing w:after="0" w:line="135" w:lineRule="exact"/>
        <w:rPr>
          <w:sz w:val="20"/>
          <w:szCs w:val="20"/>
          <w:color w:val="auto"/>
        </w:rPr>
      </w:pPr>
    </w:p>
    <w:p>
      <w:pPr>
        <w:ind w:left="1340" w:right="159"/>
        <w:spacing w:after="0" w:line="255" w:lineRule="auto"/>
        <w:rPr>
          <w:sz w:val="20"/>
          <w:szCs w:val="20"/>
          <w:color w:val="auto"/>
        </w:rPr>
      </w:pPr>
      <w:r>
        <w:rPr>
          <w:rFonts w:ascii="Times New Roman" w:cs="Times New Roman" w:eastAsia="Times New Roman" w:hAnsi="Times New Roman"/>
          <w:sz w:val="18"/>
          <w:szCs w:val="18"/>
          <w:color w:val="auto"/>
        </w:rPr>
        <w:t>On July 25, 2021, the Company granted to a new employee, with the approval of the Company’s compensation committee, 10-year options to purchase 50,000 shares of Common Stock under the Plan. The options have an exercise price equal to $1.57 per share and vest over a four-year period in 16 equal quarterly increments. The Company estimated the fair value of the options on the date of grant using the Black-Scholes option-pricing model to be approximately $55,000 based on the following weighted average assumptions: share price equal to $1.57; dividend yield of 0%; expected volatility of 84.30%; risk-free interest rate of 0.88%; and expected life of six years.</w:t>
      </w:r>
    </w:p>
    <w:p>
      <w:pPr>
        <w:spacing w:after="0" w:line="148" w:lineRule="exact"/>
        <w:rPr>
          <w:sz w:val="20"/>
          <w:szCs w:val="20"/>
          <w:color w:val="auto"/>
        </w:rPr>
      </w:pPr>
    </w:p>
    <w:p>
      <w:pPr>
        <w:jc w:val="both"/>
        <w:ind w:left="1680" w:right="519" w:hanging="334"/>
        <w:spacing w:after="0" w:line="266" w:lineRule="auto"/>
        <w:tabs>
          <w:tab w:leader="none" w:pos="168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unrecognized compensation cost of employee stock options at December 31, 2021 is approximately $1.7 million. The unrecognized compensation cost of employee stock options is expected to be recognized over a weighted average period of 0.9 years.</w:t>
      </w:r>
    </w:p>
    <w:p>
      <w:pPr>
        <w:spacing w:after="0" w:line="148" w:lineRule="exact"/>
        <w:rPr>
          <w:rFonts w:ascii="Times New Roman" w:cs="Times New Roman" w:eastAsia="Times New Roman" w:hAnsi="Times New Roman"/>
          <w:sz w:val="18"/>
          <w:szCs w:val="18"/>
          <w:color w:val="auto"/>
        </w:rPr>
      </w:pPr>
    </w:p>
    <w:p>
      <w:pPr>
        <w:ind w:left="1680" w:right="2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years ended December 31, 2021, there were no exercises of stock options, and the Company did not realize any tax benefit in connection with any exercises.</w:t>
      </w:r>
    </w:p>
    <w:p>
      <w:pPr>
        <w:spacing w:after="0" w:line="117"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granted to directors:</w:t>
      </w:r>
    </w:p>
    <w:p>
      <w:pPr>
        <w:spacing w:after="0" w:line="188" w:lineRule="exact"/>
        <w:rPr>
          <w:rFonts w:ascii="Times New Roman" w:cs="Times New Roman" w:eastAsia="Times New Roman" w:hAnsi="Times New Roman"/>
          <w:sz w:val="18"/>
          <w:szCs w:val="18"/>
          <w:color w:val="auto"/>
        </w:rPr>
      </w:pPr>
    </w:p>
    <w:p>
      <w:pPr>
        <w:ind w:left="1340" w:right="7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3, 2020, the Company granted 10-year options to purchase 240,000 shares of Common Stock to the Chairman of the Company’s Board of Directors under the Plan. The options have an exercise price equal to $3.70 per share and vest over a four-year period in 16 equal quarterly increments. Vesting of the options granted to the Chairman of the Board is subject to automatic acceleration in full upon a Corporate Transaction or a Change in Control, as those terms are defined in the Plan, and are subject to certain other terms and conditions. The Company estimated the fair value of the options on the date of grant using the Black-Scholes option-pricing model to be approximately $593,000 based on the following weighted average assumptions: share price equal to $3.70; dividend yield of 0%; expected volatility of 76.91%; risk-free interest rate of 1.4%; and expected life of six years.</w:t>
      </w:r>
    </w:p>
    <w:p>
      <w:pPr>
        <w:spacing w:after="0" w:line="161" w:lineRule="exact"/>
        <w:rPr>
          <w:rFonts w:ascii="Times New Roman" w:cs="Times New Roman" w:eastAsia="Times New Roman" w:hAnsi="Times New Roman"/>
          <w:sz w:val="18"/>
          <w:szCs w:val="18"/>
          <w:color w:val="auto"/>
        </w:rPr>
      </w:pPr>
    </w:p>
    <w:p>
      <w:pPr>
        <w:ind w:left="1340" w:right="1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2020, the Company granted 10-year options to purchase a total of 200,000 shares of Common Stock to five of the Company’s independent directors under the Plan. The options have an exercise price equal to $3.55 per share and vest over a four-year period in 16 equal quarterly increments. Vesting of the options granted to the directors is subject to automatic acceleration in full upon a Corporate Transaction or a Change in Control, as those terms are defined in the Plan, and are subject to certain other terms and conditions. The Company estimated the fair value of the options on the date of grant using the Black-Scholes option-pricing model to be approximately $475,000 based on the following weighted average assumptions: share price equal to $3.55; dividend yield of 0%; expected volatility of 76.62%; risk-free interest rate of 1.685%; and expected life of six years.</w:t>
      </w:r>
    </w:p>
    <w:p>
      <w:pPr>
        <w:spacing w:after="0" w:line="147" w:lineRule="exact"/>
        <w:rPr>
          <w:rFonts w:ascii="Times New Roman" w:cs="Times New Roman" w:eastAsia="Times New Roman" w:hAnsi="Times New Roman"/>
          <w:sz w:val="18"/>
          <w:szCs w:val="18"/>
          <w:color w:val="auto"/>
        </w:rPr>
      </w:pPr>
    </w:p>
    <w:p>
      <w:pPr>
        <w:ind w:left="1340" w:right="59" w:hanging="318"/>
        <w:spacing w:after="0" w:line="266" w:lineRule="auto"/>
        <w:tabs>
          <w:tab w:leader="none" w:pos="132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share option plans, and related information, under all of the Company’s equity incentive plans for the year ended December 31, 2021, and the effect of share-based compensation on the statement of operations for the years ended December 31, 2019, 2020 and 2021, is as follows: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340"/>
        <w:spacing w:after="0"/>
        <w:tabs>
          <w:tab w:leader="none" w:pos="1640" w:val="left"/>
        </w:tabs>
        <w:rPr>
          <w:sz w:val="20"/>
          <w:szCs w:val="20"/>
          <w:color w:val="auto"/>
        </w:rPr>
      </w:pPr>
      <w:r>
        <w:rPr>
          <w:rFonts w:ascii="Times New Roman" w:cs="Times New Roman" w:eastAsia="Times New Roman" w:hAnsi="Times New Roman"/>
          <w:sz w:val="18"/>
          <w:szCs w:val="18"/>
          <w:color w:val="auto"/>
        </w:rPr>
        <w:t>a)</w:t>
        <w:tab/>
        <w:t>Options granted to employees:</w:t>
      </w:r>
    </w:p>
    <w:p>
      <w:pPr>
        <w:spacing w:after="0" w:line="232" w:lineRule="exact"/>
        <w:rPr>
          <w:sz w:val="20"/>
          <w:szCs w:val="20"/>
          <w:color w:val="auto"/>
        </w:rPr>
      </w:pPr>
    </w:p>
    <w:tbl>
      <w:tblPr>
        <w:tblLayout w:type="fixed"/>
        <w:tblInd w:w="140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09"/>
        </w:trPr>
        <w:tc>
          <w:tcPr>
            <w:tcW w:w="330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2,087,275</w:t>
            </w:r>
          </w:p>
        </w:tc>
        <w:tc>
          <w:tcPr>
            <w:tcW w:w="3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 and expired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1,819,020</w:t>
            </w:r>
          </w:p>
        </w:tc>
        <w:tc>
          <w:tcPr>
            <w:tcW w:w="5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end of year</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961,940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40"/>
        <w:spacing w:after="0"/>
        <w:tabs>
          <w:tab w:leader="none" w:pos="16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Restricted stock granted to employees:</w:t>
      </w:r>
    </w:p>
    <w:p>
      <w:pPr>
        <w:spacing w:after="0" w:line="300"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7620</wp:posOffset>
            </wp:positionV>
            <wp:extent cx="17576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9"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p>
      <w:pPr>
        <w:sectPr>
          <w:pgSz w:w="11900" w:h="16838" w:orient="portrait"/>
          <w:cols w:equalWidth="0" w:num="1">
            <w:col w:w="9019"/>
          </w:cols>
          <w:pgMar w:left="1440" w:top="513" w:right="1440" w:bottom="1440" w:gutter="0" w:footer="0" w:header="0"/>
        </w:sectPr>
      </w:pPr>
    </w:p>
    <w:p>
      <w:pPr>
        <w:spacing w:after="0" w:line="3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Outstanding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-120650</wp:posOffset>
            </wp:positionV>
            <wp:extent cx="395160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3951605" cy="145415"/>
                    </a:xfrm>
                    <a:prstGeom prst="rect">
                      <a:avLst/>
                    </a:prstGeom>
                    <a:noFill/>
                  </pic:spPr>
                </pic:pic>
              </a:graphicData>
            </a:graphic>
          </wp:anchor>
        </w:drawing>
      </w:r>
    </w:p>
    <w:p>
      <w:pPr>
        <w:spacing w:after="0" w:line="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Changes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5715</wp:posOffset>
            </wp:positionV>
            <wp:extent cx="395160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3951605" cy="13716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8"/>
          <w:szCs w:val="18"/>
          <w:color w:val="auto"/>
        </w:rPr>
        <w:t>Vested</w:t>
      </w:r>
    </w:p>
    <w:p>
      <w:pPr>
        <w:spacing w:after="0" w:line="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Non vested at end of year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624,580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166,553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24765</wp:posOffset>
            </wp:positionV>
            <wp:extent cx="17576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458,027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21590</wp:posOffset>
            </wp:positionV>
            <wp:extent cx="17576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1757680"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38735</wp:posOffset>
            </wp:positionV>
            <wp:extent cx="17576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5040" w:space="720"/>
            <w:col w:w="3259"/>
          </w:cols>
          <w:pgMar w:left="1440" w:top="513" w:right="1440" w:bottom="1440" w:gutter="0" w:footer="0" w:header="0"/>
          <w:type w:val="continuous"/>
        </w:sectPr>
      </w:pPr>
    </w:p>
    <w:p>
      <w:pPr>
        <w:spacing w:after="0" w:line="52" w:lineRule="exact"/>
        <w:rPr>
          <w:sz w:val="20"/>
          <w:szCs w:val="20"/>
          <w:color w:val="auto"/>
        </w:rPr>
      </w:pPr>
    </w:p>
    <w:p>
      <w:pPr>
        <w:ind w:left="1660" w:hanging="314"/>
        <w:spacing w:after="0"/>
        <w:tabs>
          <w:tab w:leader="none" w:pos="1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to consultants, directors, and other service providers: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0" w:type="dxa"/>
            <w:vAlign w:val="bottom"/>
          </w:tcPr>
          <w:p>
            <w:pPr>
              <w:spacing w:after="0"/>
              <w:rPr>
                <w:sz w:val="1"/>
                <w:szCs w:val="1"/>
                <w:color w:val="auto"/>
              </w:rPr>
            </w:pPr>
          </w:p>
        </w:tc>
      </w:tr>
      <w:tr>
        <w:trPr>
          <w:trHeight w:val="117"/>
        </w:trPr>
        <w:tc>
          <w:tcPr>
            <w:tcW w:w="13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gridSpan w:val="2"/>
          </w:tcPr>
          <w:p>
            <w:pPr>
              <w:jc w:val="center"/>
              <w:ind w:right="1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gridSpan w:val="2"/>
          </w:tcPr>
          <w:p>
            <w:pPr>
              <w:jc w:val="center"/>
              <w:ind w:right="16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00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4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464,375</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4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46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192,500</w:t>
            </w:r>
          </w:p>
        </w:tc>
        <w:tc>
          <w:tcPr>
            <w:tcW w:w="2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F-28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680" w:right="279" w:hanging="334"/>
        <w:spacing w:after="0" w:line="282" w:lineRule="auto"/>
        <w:tabs>
          <w:tab w:leader="none" w:pos="1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summarize information concerning outstanding and exercisable options as of December 31, 2021:</w:t>
      </w:r>
    </w:p>
    <w:p>
      <w:pPr>
        <w:spacing w:after="0" w:line="128"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Options outstanding</w:t>
            </w:r>
          </w:p>
        </w:tc>
        <w:tc>
          <w:tcPr>
            <w:tcW w:w="1980" w:type="dxa"/>
            <w:vAlign w:val="bottom"/>
            <w:gridSpan w:val="3"/>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00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3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319,651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$17.20</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2,259,020</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1,154,440</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hanging="10"/>
        <w:spacing w:after="0" w:line="282" w:lineRule="auto"/>
        <w:tabs>
          <w:tab w:leader="none" w:pos="1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 of December 31, 2021, all outstanding, exercisable options had exercise prices that exceed the fair market value of the Common Stock as of such date.</w:t>
      </w:r>
    </w:p>
    <w:p>
      <w:pPr>
        <w:spacing w:after="0" w:line="161"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illustrates the effect of share-based compensation on the statement of operations: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513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$ 3,126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and 144A Offerings</w:t>
      </w:r>
    </w:p>
    <w:p>
      <w:pPr>
        <w:spacing w:after="0" w:line="188" w:lineRule="exact"/>
        <w:rPr>
          <w:rFonts w:ascii="Times New Roman" w:cs="Times New Roman" w:eastAsia="Times New Roman" w:hAnsi="Times New Roman"/>
          <w:sz w:val="18"/>
          <w:szCs w:val="18"/>
          <w:b w:val="1"/>
          <w:bCs w:val="1"/>
          <w:color w:val="auto"/>
        </w:rPr>
      </w:pPr>
    </w:p>
    <w:p>
      <w:pPr>
        <w:ind w:left="1020" w:right="9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18, 2020, the Company completed a private placement to certain existing and new institutional and other accredited investors (the “Purchasers”) in reliance on the exemption from registration set forth in Section 4(2) of the Securities Act. The Company sold approximately 17.6 million unregistered shares of Common Stock to the Purchasers at a price per share of $2.485. The Company generated gross proceeds equal to approximately $43.7 million in the Private Placement. Each share of Common Stock issued was accompanied by a warrant to purchase one share of Common Stock at an exercise price equal to $2.36. During the year ended December 31, 2020, the Company issued 200,000 shares of Common Stock in connection with the cash exercise of a warrant issued in the transaction and generated proceeds equal to $472,000 from such exercises.</w:t>
      </w:r>
    </w:p>
    <w:p>
      <w:pPr>
        <w:spacing w:after="0" w:line="161" w:lineRule="exact"/>
        <w:rPr>
          <w:rFonts w:ascii="Times New Roman" w:cs="Times New Roman" w:eastAsia="Times New Roman" w:hAnsi="Times New Roman"/>
          <w:sz w:val="18"/>
          <w:szCs w:val="18"/>
          <w:b w:val="1"/>
          <w:bCs w:val="1"/>
          <w:color w:val="auto"/>
        </w:rPr>
      </w:pPr>
    </w:p>
    <w:p>
      <w:pPr>
        <w:ind w:left="1020" w:right="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7, 2021, the Company issued 173,816 shares of Common Stock in connection with the cashless exercise of a warrant to purchase 2,816,901 shares of Common Stock issued in the transaction. The Company did not generate any proceeds from the cashless exercise.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At-the-Market (ATM) Offering</w:t>
      </w:r>
    </w:p>
    <w:p>
      <w:pPr>
        <w:spacing w:after="0" w:line="189" w:lineRule="exact"/>
        <w:rPr>
          <w:sz w:val="20"/>
          <w:szCs w:val="20"/>
          <w:color w:val="auto"/>
        </w:rPr>
      </w:pPr>
    </w:p>
    <w:p>
      <w:pPr>
        <w:ind w:left="1020" w:right="179"/>
        <w:spacing w:after="0" w:line="266" w:lineRule="auto"/>
        <w:rPr>
          <w:sz w:val="20"/>
          <w:szCs w:val="20"/>
          <w:color w:val="auto"/>
        </w:rPr>
      </w:pPr>
      <w:r>
        <w:rPr>
          <w:rFonts w:ascii="Times New Roman" w:cs="Times New Roman" w:eastAsia="Times New Roman" w:hAnsi="Times New Roman"/>
          <w:sz w:val="18"/>
          <w:szCs w:val="18"/>
          <w:color w:val="auto"/>
        </w:rPr>
        <w:t>On July 2, 2021, the Company entered into the Sales Agreement with the Agent. Pursuant to the terms of the Sales Agreement, the Company may sell from time to time through the Agent ATM Shares having an aggregate offering price of up to $20.0 million.</w:t>
      </w:r>
    </w:p>
    <w:p>
      <w:pPr>
        <w:spacing w:after="0" w:line="135" w:lineRule="exact"/>
        <w:rPr>
          <w:sz w:val="20"/>
          <w:szCs w:val="20"/>
          <w:color w:val="auto"/>
        </w:rPr>
      </w:pPr>
    </w:p>
    <w:p>
      <w:pPr>
        <w:ind w:left="1020" w:right="199"/>
        <w:spacing w:after="0" w:line="261" w:lineRule="auto"/>
        <w:rPr>
          <w:sz w:val="20"/>
          <w:szCs w:val="20"/>
          <w:color w:val="auto"/>
        </w:rPr>
      </w:pPr>
      <w:r>
        <w:rPr>
          <w:rFonts w:ascii="Times New Roman" w:cs="Times New Roman" w:eastAsia="Times New Roman" w:hAnsi="Times New Roman"/>
          <w:sz w:val="18"/>
          <w:szCs w:val="18"/>
          <w:color w:val="auto"/>
        </w:rPr>
        <w:t>The Company has no obligation to sell any of the Shares, and may at any time suspend sales under the Sales Agreement or terminate the Sales Agreement in accordance with its terms. The Agent is entitled to a commission of up to 3.0% of the aggregate gross proceeds from the ATM Shares sold. As of December 31, 2021, the Company sold no ATM Shares under the Sales Agreement.</w:t>
      </w:r>
    </w:p>
    <w:p>
      <w:pPr>
        <w:spacing w:after="0" w:line="153" w:lineRule="exact"/>
        <w:rPr>
          <w:sz w:val="20"/>
          <w:szCs w:val="20"/>
          <w:color w:val="auto"/>
        </w:rPr>
      </w:pPr>
    </w:p>
    <w:p>
      <w:pPr>
        <w:jc w:val="both"/>
        <w:ind w:left="1020" w:right="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but prior to the termination of the BofA Agreement, the Company sold 1,867,552 shares of Common Stock under the BofA Agreement. The Company generated gross proceeds equal to approximately $8.8 million in connection with such sales.</w:t>
      </w:r>
    </w:p>
    <w:p>
      <w:pPr>
        <w:spacing w:after="0" w:line="131" w:lineRule="exact"/>
        <w:rPr>
          <w:sz w:val="20"/>
          <w:szCs w:val="20"/>
          <w:color w:val="auto"/>
        </w:rPr>
      </w:pPr>
    </w:p>
    <w:p>
      <w:pPr>
        <w:ind w:left="980" w:hanging="282"/>
        <w:spacing w:after="0"/>
        <w:tabs>
          <w:tab w:leader="none" w:pos="9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Offering</w:t>
      </w:r>
    </w:p>
    <w:p>
      <w:pPr>
        <w:spacing w:after="0" w:line="189" w:lineRule="exact"/>
        <w:rPr>
          <w:sz w:val="20"/>
          <w:szCs w:val="20"/>
          <w:color w:val="auto"/>
        </w:rPr>
      </w:pPr>
    </w:p>
    <w:p>
      <w:pPr>
        <w:jc w:val="both"/>
        <w:ind w:left="1020" w:right="219"/>
        <w:spacing w:after="0" w:line="261" w:lineRule="auto"/>
        <w:rPr>
          <w:sz w:val="20"/>
          <w:szCs w:val="20"/>
          <w:color w:val="auto"/>
        </w:rPr>
      </w:pPr>
      <w:r>
        <w:rPr>
          <w:rFonts w:ascii="Times New Roman" w:cs="Times New Roman" w:eastAsia="Times New Roman" w:hAnsi="Times New Roman"/>
          <w:sz w:val="18"/>
          <w:szCs w:val="18"/>
          <w:color w:val="auto"/>
        </w:rPr>
        <w:t>On February 17, 2021, the Company issued and sold 8,749,999 shares of Common Stock in an underwritten public offering at a price to the public of $4.60 per share for gross proceeds of approximately $40.2 million before deducting the underwriting discount and estimated expenses of the offering. The above included the exercise of the underwriters’ over-allotment option to purchase 1,141,304 shares of Common Stock.</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CONVERTIBLE NOTES</w:t>
      </w:r>
    </w:p>
    <w:p>
      <w:pPr>
        <w:spacing w:after="0" w:line="189" w:lineRule="exact"/>
        <w:rPr>
          <w:sz w:val="20"/>
          <w:szCs w:val="20"/>
          <w:color w:val="auto"/>
        </w:rPr>
      </w:pPr>
    </w:p>
    <w:p>
      <w:pPr>
        <w:ind w:left="700" w:right="559"/>
        <w:spacing w:after="0" w:line="255" w:lineRule="auto"/>
        <w:rPr>
          <w:sz w:val="20"/>
          <w:szCs w:val="20"/>
          <w:color w:val="auto"/>
        </w:rPr>
      </w:pPr>
      <w:r>
        <w:rPr>
          <w:rFonts w:ascii="Times New Roman" w:cs="Times New Roman" w:eastAsia="Times New Roman" w:hAnsi="Times New Roman"/>
          <w:sz w:val="18"/>
          <w:szCs w:val="18"/>
          <w:color w:val="auto"/>
        </w:rPr>
        <w:t>On August 25, 2021, the Company completed the Exchanges of a substantial majority of the Company’s outstanding 2021 Notes with certain institutional note holders. The Exchanges involved the exchange of an aggregate of $54.65 million principal amount of the Company’s outstanding 2021 Notes for an aggregate of $28.75 million principal amount of newly issued 2024 Notes, $25.90 million in cash, and approximately</w:t>
      </w:r>
    </w:p>
    <w:p>
      <w:pPr>
        <w:spacing w:after="0" w:line="3" w:lineRule="exact"/>
        <w:rPr>
          <w:sz w:val="20"/>
          <w:szCs w:val="20"/>
          <w:color w:val="auto"/>
        </w:rPr>
      </w:pPr>
    </w:p>
    <w:p>
      <w:pPr>
        <w:ind w:left="700" w:right="79"/>
        <w:spacing w:after="0" w:line="253" w:lineRule="auto"/>
        <w:rPr>
          <w:sz w:val="20"/>
          <w:szCs w:val="20"/>
          <w:color w:val="auto"/>
        </w:rPr>
      </w:pPr>
      <w:r>
        <w:rPr>
          <w:rFonts w:ascii="Times New Roman" w:cs="Times New Roman" w:eastAsia="Times New Roman" w:hAnsi="Times New Roman"/>
          <w:sz w:val="18"/>
          <w:szCs w:val="18"/>
          <w:color w:val="auto"/>
        </w:rPr>
        <w:t>$1.1 million in cash representing accrued and unpaid interest through the issue date. The initial conversion rate for the 2024 Notes is 563.2216 shares of Common Stock for each $1,000 principal amount of 2024 Notes (equivalent to an initial conversion price of approximately $1.7755 per share of the Common Stock), subject to adjustment in certain circumstances, which is based on a 32.5% premium to the closing price of the Common Stock on the NYSE American at the close of trading on August 13, 2021, the exchange date.</w:t>
      </w:r>
    </w:p>
    <w:p>
      <w:pPr>
        <w:spacing w:after="0" w:line="142" w:lineRule="exact"/>
        <w:rPr>
          <w:sz w:val="20"/>
          <w:szCs w:val="20"/>
          <w:color w:val="auto"/>
        </w:rPr>
      </w:pPr>
    </w:p>
    <w:p>
      <w:pPr>
        <w:ind w:left="1020" w:hanging="322"/>
        <w:spacing w:after="0"/>
        <w:tabs>
          <w:tab w:leader="none" w:pos="10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 Convertible Notes Due 2021 (“2021 Notes”)</w:t>
      </w:r>
    </w:p>
    <w:p>
      <w:pPr>
        <w:spacing w:after="0" w:line="202" w:lineRule="exact"/>
        <w:rPr>
          <w:rFonts w:ascii="Times New Roman" w:cs="Times New Roman" w:eastAsia="Times New Roman" w:hAnsi="Times New Roman"/>
          <w:sz w:val="18"/>
          <w:szCs w:val="18"/>
          <w:b w:val="1"/>
          <w:bCs w:val="1"/>
          <w:color w:val="auto"/>
        </w:rPr>
      </w:pPr>
    </w:p>
    <w:p>
      <w:pPr>
        <w:ind w:left="1020" w:right="4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 2016, the Company entered into a note purchase agreement with institutional investors, which held part of the 2018 Notes (the “2016 Purchasers”), relating to the sale by the Company of</w:t>
      </w:r>
    </w:p>
    <w:p>
      <w:pPr>
        <w:ind w:left="1020" w:right="11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$22.5 million aggregate principal amount of 7.50% Senior Secured Convertible Notes due 2021 in a private placement pursuant to Section 4(a)(2) under the Securities Act. Concurrently with the consummation of the private placement of the 2021 Notes, the Company entered into a privately negotiated exchange agreement (the “2016 Exchange Agreement”) with certain existing note holders identified therein to exchange $54.1 million aggregate principal amount of the Company’s outstanding 2018 Notes for (i) $40.186 million aggregate principal amount of 2021 Notes, (ii) 2,384,673 shares of Common Stock and (iii) cash, equal to the accrued and unpaid interest on the 2018 Notes and any fractional shares. The closing date of the purchase agreement and the 2016 Exchange Agreement was December 7, 2016. The issuance of the 2021 Notes and shares in the exchange and the private placement were made in reliance on the exemption from the registration requirements of the Securities Act pursuant to Section 4(a)(2) thereof. The net proceeds from the private placement were $19.7 million, after deducting the placement agent’s fees and the Company’s estimated offering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59"/>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 connection with the completion of the exchange and the private placement, the Company entered into the </w:t>
      </w:r>
      <w:hyperlink r:id="rId164">
        <w:r>
          <w:rPr>
            <w:rFonts w:ascii="Times New Roman" w:cs="Times New Roman" w:eastAsia="Times New Roman" w:hAnsi="Times New Roman"/>
            <w:sz w:val="18"/>
            <w:szCs w:val="18"/>
            <w:u w:val="single" w:color="auto"/>
            <w:color w:val="0000EE"/>
          </w:rPr>
          <w:t>Indenture, dated as of December 7, 2016, with the guarantors party thereto, The Bank of New York Mellon</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Trust Company, N.A., as trustee and Wilmington Savings Fund Society, FSB, as collateral agent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“2016</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Indenture”). The 2021 Notes accrued interest at a rate of 7.50% per year. A portion of the interest payable was allowed to be made in shares of Common Stock at the Company’s election.</w:t>
      </w:r>
    </w:p>
    <w:p>
      <w:pPr>
        <w:spacing w:after="0" w:line="143" w:lineRule="exact"/>
        <w:rPr>
          <w:sz w:val="20"/>
          <w:szCs w:val="20"/>
          <w:color w:val="auto"/>
        </w:rPr>
      </w:pPr>
    </w:p>
    <w:p>
      <w:pPr>
        <w:ind w:left="1020" w:right="79"/>
        <w:spacing w:after="0" w:line="261" w:lineRule="auto"/>
        <w:rPr>
          <w:sz w:val="20"/>
          <w:szCs w:val="20"/>
          <w:color w:val="auto"/>
        </w:rPr>
      </w:pPr>
      <w:r>
        <w:rPr>
          <w:rFonts w:ascii="Times New Roman" w:cs="Times New Roman" w:eastAsia="Times New Roman" w:hAnsi="Times New Roman"/>
          <w:sz w:val="18"/>
          <w:szCs w:val="18"/>
          <w:color w:val="auto"/>
        </w:rPr>
        <w:t>On July 24, 2017, the Company entered into another note purchase agreement with certain institutional investors relating to the private issuance and sale by the Company of $10.0 million in aggregate principal amount of its 2021 Notes. The 2021 Notes were issued pursuant to the 2016 Indenture. The net proceeds from this purchase agreement were $9.5 million, after deducting the Company’s offering expenses.</w:t>
      </w:r>
    </w:p>
    <w:p>
      <w:pPr>
        <w:spacing w:after="0" w:line="139" w:lineRule="exact"/>
        <w:rPr>
          <w:sz w:val="20"/>
          <w:szCs w:val="20"/>
          <w:color w:val="auto"/>
        </w:rPr>
      </w:pPr>
    </w:p>
    <w:p>
      <w:pPr>
        <w:ind w:left="1020" w:right="459"/>
        <w:spacing w:after="0" w:line="282" w:lineRule="auto"/>
        <w:rPr>
          <w:sz w:val="20"/>
          <w:szCs w:val="20"/>
          <w:color w:val="auto"/>
        </w:rPr>
      </w:pPr>
      <w:r>
        <w:rPr>
          <w:rFonts w:ascii="Times New Roman" w:cs="Times New Roman" w:eastAsia="Times New Roman" w:hAnsi="Times New Roman"/>
          <w:sz w:val="18"/>
          <w:szCs w:val="18"/>
          <w:color w:val="auto"/>
        </w:rPr>
        <w:t>On November 15, 2021, all the then outstanding 2021 Notes matured and were paid in full, and the 2016 Indenture expired.</w:t>
      </w:r>
    </w:p>
    <w:p>
      <w:pPr>
        <w:spacing w:after="0" w:line="1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2021 Notes: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4,344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4,344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amortization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extinguishment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7,335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9,114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020" w:hanging="322"/>
        <w:spacing w:after="0"/>
        <w:tabs>
          <w:tab w:leader="none" w:pos="10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 Convertible Notes Due 2024 (“2024 Notes”)</w:t>
      </w:r>
    </w:p>
    <w:p>
      <w:pPr>
        <w:spacing w:after="0" w:line="188" w:lineRule="exact"/>
        <w:rPr>
          <w:rFonts w:ascii="Times New Roman" w:cs="Times New Roman" w:eastAsia="Times New Roman" w:hAnsi="Times New Roman"/>
          <w:sz w:val="18"/>
          <w:szCs w:val="18"/>
          <w:b w:val="1"/>
          <w:bCs w:val="1"/>
          <w:color w:val="auto"/>
        </w:rPr>
      </w:pPr>
    </w:p>
    <w:p>
      <w:pPr>
        <w:ind w:left="1020" w:right="9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2024 Notes were issued pursuant to an indenture entered into between the Company, the guarantors party thereto, The Bank of New York Mellon Trust Company, N.A., as trustee and Wilmington Savings Fund Society, FSB, as collateral agent (the “2021 Indenture”). Interest on the Notes will be paid semi-annually at a rate of 7.50% per annum. The Notes will mature three years after the issuance thereof, unless earlier purchased, converted, exchanged or redeemed and are guaranteed by the Company’s subsidiaries. The 2024 Notes are secured by perfected liens on all of the assets of the Company and its subsidiaries.</w:t>
      </w:r>
    </w:p>
    <w:p>
      <w:pPr>
        <w:spacing w:after="0" w:line="160" w:lineRule="exact"/>
        <w:rPr>
          <w:rFonts w:ascii="Times New Roman" w:cs="Times New Roman" w:eastAsia="Times New Roman" w:hAnsi="Times New Roman"/>
          <w:sz w:val="18"/>
          <w:szCs w:val="18"/>
          <w:b w:val="1"/>
          <w:bCs w:val="1"/>
          <w:color w:val="auto"/>
        </w:rPr>
      </w:pPr>
    </w:p>
    <w:p>
      <w:pPr>
        <w:ind w:left="1020" w:right="7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as the terms of the 2021 Notes and the 2024 Notes are substantially different, the Exchanges were considered an extinguishment of debt. The Company allocated the fair value of the consideration transferred to the participating note holders between the 2021 Notes and their equity component based on the fair value of the liability component before the extinguishment, and the remainder was allocated to the equity component. As a result, the Company recognized a loss from extinguishment in the statement of operations equal to $0.8 million due to derecognition of the liability component and a reduction of stockholders’ equity of $12.2 million.</w:t>
      </w:r>
    </w:p>
    <w:p>
      <w:pPr>
        <w:spacing w:after="0" w:line="148" w:lineRule="exact"/>
        <w:rPr>
          <w:rFonts w:ascii="Times New Roman" w:cs="Times New Roman" w:eastAsia="Times New Roman" w:hAnsi="Times New Roman"/>
          <w:sz w:val="18"/>
          <w:szCs w:val="18"/>
          <w:b w:val="1"/>
          <w:bCs w:val="1"/>
          <w:color w:val="auto"/>
        </w:rPr>
      </w:pPr>
    </w:p>
    <w:p>
      <w:pPr>
        <w:ind w:left="1020" w:right="1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the 2024 Notes as a liability (debt) and equity component (conversion option) as the convertible notes may be settled wholly or partly in cash, at the option of the Company, when converted. The equity component with respect to the cash conversion feature net of transaction costs of approximately $12.0 million was recognized in the Company’s additional paid in capital.</w:t>
      </w:r>
    </w:p>
    <w:p>
      <w:pPr>
        <w:spacing w:after="0" w:line="139" w:lineRule="exact"/>
        <w:rPr>
          <w:rFonts w:ascii="Times New Roman" w:cs="Times New Roman" w:eastAsia="Times New Roman" w:hAnsi="Times New Roman"/>
          <w:sz w:val="18"/>
          <w:szCs w:val="18"/>
          <w:b w:val="1"/>
          <w:bCs w:val="1"/>
          <w:color w:val="auto"/>
        </w:rPr>
      </w:pPr>
    </w:p>
    <w:p>
      <w:pPr>
        <w:ind w:left="1020" w:right="1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costs in the amount of approximately $869,000 were allocated to the liability and equity component. The debt discount and debt issuance costs regarding the issuance of the 2024 Notes are deferred and amortized over the convertible notes period using the effective interest rate.</w:t>
      </w:r>
    </w:p>
    <w:p>
      <w:pPr>
        <w:spacing w:after="0" w:line="148" w:lineRule="exact"/>
        <w:rPr>
          <w:rFonts w:ascii="Times New Roman" w:cs="Times New Roman" w:eastAsia="Times New Roman" w:hAnsi="Times New Roman"/>
          <w:sz w:val="18"/>
          <w:szCs w:val="18"/>
          <w:b w:val="1"/>
          <w:bCs w:val="1"/>
          <w:color w:val="auto"/>
        </w:rPr>
      </w:pPr>
    </w:p>
    <w:p>
      <w:pPr>
        <w:ind w:left="1020" w:right="13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may convert their 2024 Notes at any time. The initial conversion rate for the 2024 Notes is 563.2216 shares of Common Stock for each $1,000 principal amount of 2024 Notes (equivalent to an initial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119"/>
        <w:spacing w:after="0" w:line="266" w:lineRule="auto"/>
        <w:rPr>
          <w:sz w:val="20"/>
          <w:szCs w:val="20"/>
          <w:color w:val="auto"/>
        </w:rPr>
      </w:pPr>
      <w:r>
        <w:rPr>
          <w:rFonts w:ascii="Times New Roman" w:cs="Times New Roman" w:eastAsia="Times New Roman" w:hAnsi="Times New Roman"/>
          <w:sz w:val="18"/>
          <w:szCs w:val="18"/>
          <w:color w:val="auto"/>
        </w:rPr>
        <w:t>conversion price of approximately $1.7755 per share of the Common Stock). Upon conversion, the Company may settle the 2024 Notes by paying or delivering, as the case may be, cash, shares of Common Stock or a combination thereof, at the Company’s election.</w:t>
      </w:r>
    </w:p>
    <w:p>
      <w:pPr>
        <w:spacing w:after="0" w:line="135" w:lineRule="exact"/>
        <w:rPr>
          <w:sz w:val="20"/>
          <w:szCs w:val="20"/>
          <w:color w:val="auto"/>
        </w:rPr>
      </w:pPr>
    </w:p>
    <w:p>
      <w:pPr>
        <w:ind w:left="1020" w:right="439"/>
        <w:spacing w:after="0" w:line="282" w:lineRule="auto"/>
        <w:rPr>
          <w:sz w:val="20"/>
          <w:szCs w:val="20"/>
          <w:color w:val="auto"/>
        </w:rPr>
      </w:pPr>
      <w:r>
        <w:rPr>
          <w:rFonts w:ascii="Times New Roman" w:cs="Times New Roman" w:eastAsia="Times New Roman" w:hAnsi="Times New Roman"/>
          <w:sz w:val="18"/>
          <w:szCs w:val="18"/>
          <w:color w:val="auto"/>
        </w:rPr>
        <w:t>To date, there has been no conversion of 2024 Notes. As of December 31, 2021, a total of $28.75 million aggregate principal amount of the 2024 Notes were outstanding.</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Prior to the maturity date, the Company may redeem in cash:</w:t>
      </w:r>
    </w:p>
    <w:p>
      <w:pPr>
        <w:spacing w:after="0" w:line="198" w:lineRule="exact"/>
        <w:rPr>
          <w:sz w:val="20"/>
          <w:szCs w:val="20"/>
          <w:color w:val="auto"/>
        </w:rPr>
      </w:pPr>
    </w:p>
    <w:p>
      <w:pPr>
        <w:ind w:left="1020" w:right="319" w:firstLine="2"/>
        <w:spacing w:after="0" w:line="266" w:lineRule="auto"/>
        <w:tabs>
          <w:tab w:leader="none" w:pos="13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of the 2024 Notes if, on or after March 31, 2023, the last reported sale price of the Common Stock for at least 20 trading days (whether or not consecutive) during the period of 30 consecutive trading days exceeds 130% of the conversion price on each applicable trading day, or</w:t>
      </w:r>
    </w:p>
    <w:p>
      <w:pPr>
        <w:spacing w:after="0" w:line="135" w:lineRule="exact"/>
        <w:rPr>
          <w:rFonts w:ascii="Times New Roman" w:cs="Times New Roman" w:eastAsia="Times New Roman" w:hAnsi="Times New Roman"/>
          <w:sz w:val="18"/>
          <w:szCs w:val="18"/>
          <w:color w:val="auto"/>
        </w:rPr>
      </w:pPr>
    </w:p>
    <w:p>
      <w:pPr>
        <w:ind w:left="1020" w:right="579" w:firstLine="2"/>
        <w:spacing w:after="0" w:line="282" w:lineRule="auto"/>
        <w:tabs>
          <w:tab w:leader="none" w:pos="13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2024 Notes then outstanding if the aggregate principal amount of the 2024 Notes then outstanding is less than 15% of the aggregate principal amount of the notes issued on August 25, 2021.</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To date, there has been no redemption of 2024 Notes.</w:t>
      </w:r>
    </w:p>
    <w:p>
      <w:pPr>
        <w:spacing w:after="0" w:line="198" w:lineRule="exact"/>
        <w:rPr>
          <w:sz w:val="20"/>
          <w:szCs w:val="20"/>
          <w:color w:val="auto"/>
        </w:rPr>
      </w:pPr>
    </w:p>
    <w:p>
      <w:pPr>
        <w:ind w:left="1020" w:right="139"/>
        <w:spacing w:after="0" w:line="252" w:lineRule="auto"/>
        <w:rPr>
          <w:sz w:val="20"/>
          <w:szCs w:val="20"/>
          <w:color w:val="auto"/>
        </w:rPr>
      </w:pPr>
      <w:r>
        <w:rPr>
          <w:rFonts w:ascii="Times New Roman" w:cs="Times New Roman" w:eastAsia="Times New Roman" w:hAnsi="Times New Roman"/>
          <w:sz w:val="18"/>
          <w:szCs w:val="18"/>
          <w:color w:val="auto"/>
        </w:rPr>
        <w:t>The 2024 Notes are guaranteed by the Restricted Subsidiaries (as defined in the 2024 Indenture) and are secured by a first-priority security interest in all of the present and after-acquired assets of the Company and each of the Restricted Subsidiaries (the “Collateral”), including, but not limited to, (i) 100% of the capital stock of the Guarantors (as defined in the 2024 Indenture) and each Restricted Subsidiary of the Company that is held by the Company or any Restricted Subsidiary, (ii) intellectual property, including all copyrights, copyright licenses, patents, patent licenses, software, trademarks, trademark licenses and trade secrets and other proprietary information, including, but not limited to, domain names, (iii) all cash, deposit accounts, securities accounts, commodities accounts and contract rights, (iv) all real property and leased property, subject to applicable minimum thresholds, as set forth in the 2024 Indenture, and (v) all other tangible and intangibles of the Company and the Guarantors. In connection with the grant of such liens, the Company entered into certain agreements with both Wilmington Savings Fund Society, FSB, as collateral agent in the United States, and with Altshuler Shaham Trusts Ltd., as security trustee in Israel. The 2024 Indenture restricts the ability of the Company, the Subsidiaries and any future subsidiaries to make certain investments, including transfers of the Company’s assets that constitute collateral securing the 2024 Notes, in its existing and future foreign subsidiaries, subject to certain exceptions.</w:t>
      </w:r>
    </w:p>
    <w:p>
      <w:pPr>
        <w:spacing w:after="0" w:line="155" w:lineRule="exact"/>
        <w:rPr>
          <w:sz w:val="20"/>
          <w:szCs w:val="20"/>
          <w:color w:val="auto"/>
        </w:rPr>
      </w:pPr>
    </w:p>
    <w:p>
      <w:pPr>
        <w:ind w:left="1020" w:right="219"/>
        <w:spacing w:after="0" w:line="255" w:lineRule="auto"/>
        <w:rPr>
          <w:sz w:val="20"/>
          <w:szCs w:val="20"/>
          <w:color w:val="auto"/>
        </w:rPr>
      </w:pPr>
      <w:r>
        <w:rPr>
          <w:rFonts w:ascii="Times New Roman" w:cs="Times New Roman" w:eastAsia="Times New Roman" w:hAnsi="Times New Roman"/>
          <w:sz w:val="18"/>
          <w:szCs w:val="18"/>
          <w:color w:val="auto"/>
        </w:rPr>
        <w:t>Upon (i) the occurrence of a fundamental change (as defined in the 2024 Indenture) or (ii) if the Company calls the 2024 Notes for redemption as described below (either event, a “make-whole fundamental change”) and a holder elects to convert its 2024 Notes in connection with such make-whole fundamental change, the Company will, in certain circumstances, increase the conversion rate by a number of additional shares (the “Additional Shares”). In no event will the conversion rate exceed the maximum conversion rate, which is 746.2686 shares per $1,000 principal amount of 2024 Notes, which amount is inclusive of repayment of the principal of the 2024 Notes.</w:t>
      </w:r>
    </w:p>
    <w:p>
      <w:pPr>
        <w:spacing w:after="0" w:line="148" w:lineRule="exact"/>
        <w:rPr>
          <w:sz w:val="20"/>
          <w:szCs w:val="20"/>
          <w:color w:val="auto"/>
        </w:rPr>
      </w:pPr>
    </w:p>
    <w:p>
      <w:pPr>
        <w:ind w:left="1020" w:right="139"/>
        <w:spacing w:after="0" w:line="253" w:lineRule="auto"/>
        <w:rPr>
          <w:sz w:val="20"/>
          <w:szCs w:val="20"/>
          <w:color w:val="auto"/>
        </w:rPr>
      </w:pPr>
      <w:r>
        <w:rPr>
          <w:rFonts w:ascii="Times New Roman" w:cs="Times New Roman" w:eastAsia="Times New Roman" w:hAnsi="Times New Roman"/>
          <w:sz w:val="18"/>
          <w:szCs w:val="18"/>
          <w:color w:val="auto"/>
        </w:rPr>
        <w:t xml:space="preserve">If a fundamental change occurs at any time, holders will have the right, at their option, to require the Company to purchase for cash any or all of the 2024 Notes, or any portion of the principal amount thereof, that is equal to $1,000 or an integral multiple of $1,000 in excess thereof, on a date of the Company’s choosing that is not less than 20 calendar days nor more than 35 calendar days after the date of the applicable fundamental change company notice. The price the Company is required to pay for a 2024 Note is equal to 100% of the principal amount of such 2024 Note plus accrued and unpaid interest, if any, to, but excluding, the fundamental change purchase date. Under the terms of the 2024 Indenture, the Company is required to </w:t>
      </w:r>
      <w:r>
        <w:rPr>
          <w:rFonts w:ascii="Times New Roman" w:cs="Times New Roman" w:eastAsia="Times New Roman" w:hAnsi="Times New Roman"/>
          <w:sz w:val="18"/>
          <w:szCs w:val="18"/>
          <w:color w:val="222222"/>
        </w:rPr>
        <w:t xml:space="preserve">meet certain covenants including the requirement to </w:t>
      </w:r>
      <w:r>
        <w:rPr>
          <w:rFonts w:ascii="Times New Roman" w:cs="Times New Roman" w:eastAsia="Times New Roman" w:hAnsi="Times New Roman"/>
          <w:sz w:val="18"/>
          <w:szCs w:val="18"/>
          <w:color w:val="000000"/>
        </w:rPr>
        <w:t>maintain a minimum cash balance of at least</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$7.5 million. Failure to meet covenants can be considered an event of default and, accordingly, may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1020" w:right="239"/>
        <w:spacing w:after="0" w:line="282" w:lineRule="auto"/>
        <w:rPr>
          <w:sz w:val="20"/>
          <w:szCs w:val="20"/>
          <w:color w:val="auto"/>
        </w:rPr>
      </w:pPr>
      <w:r>
        <w:rPr>
          <w:rFonts w:ascii="Times New Roman" w:cs="Times New Roman" w:eastAsia="Times New Roman" w:hAnsi="Times New Roman"/>
          <w:sz w:val="18"/>
          <w:szCs w:val="18"/>
          <w:color w:val="auto"/>
        </w:rPr>
        <w:t>result in the acceleration of the payment of the notes or in additional interest payments. As of December 31, 2021, the Company was in compliance with all covenants.</w:t>
      </w:r>
    </w:p>
    <w:p>
      <w:pPr>
        <w:spacing w:after="0" w:line="121" w:lineRule="exact"/>
        <w:rPr>
          <w:sz w:val="20"/>
          <w:szCs w:val="20"/>
          <w:color w:val="auto"/>
        </w:rPr>
      </w:pPr>
    </w:p>
    <w:p>
      <w:pPr>
        <w:ind w:left="1020" w:right="219"/>
        <w:spacing w:after="0" w:line="266" w:lineRule="auto"/>
        <w:rPr>
          <w:sz w:val="20"/>
          <w:szCs w:val="20"/>
          <w:color w:val="auto"/>
        </w:rPr>
      </w:pPr>
      <w:r>
        <w:rPr>
          <w:rFonts w:ascii="Times New Roman" w:cs="Times New Roman" w:eastAsia="Times New Roman" w:hAnsi="Times New Roman"/>
          <w:sz w:val="18"/>
          <w:szCs w:val="18"/>
          <w:color w:val="auto"/>
        </w:rPr>
        <w:t>The Company prepared a valuation of the fair value of the 2024 Notes and 2021 Notes (a Level 3 valuation) as of August 25, 2021. The value was estimated by implementing the binomial model. The liability component was valued based on the Income Approach. The following parameters were used:</w:t>
      </w:r>
    </w:p>
    <w:p>
      <w:pPr>
        <w:spacing w:after="0" w:line="1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 Notes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 Notes</w:t>
            </w: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20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0.44 %</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78.95 %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91.35 %</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2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7.87 %</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r>
    </w:tbl>
    <w:p>
      <w:pPr>
        <w:spacing w:after="0" w:line="1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2024 Notes:</w:t>
      </w:r>
    </w:p>
    <w:p>
      <w:pPr>
        <w:spacing w:after="0" w:line="35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9"/>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FAIR VALUE MEASUREMENT</w:t>
      </w:r>
    </w:p>
    <w:p>
      <w:pPr>
        <w:spacing w:after="0" w:line="189" w:lineRule="exact"/>
        <w:rPr>
          <w:sz w:val="20"/>
          <w:szCs w:val="20"/>
          <w:color w:val="auto"/>
        </w:rPr>
      </w:pPr>
    </w:p>
    <w:p>
      <w:pPr>
        <w:ind w:left="680" w:right="59"/>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35"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35" w:lineRule="exact"/>
        <w:rPr>
          <w:sz w:val="20"/>
          <w:szCs w:val="20"/>
          <w:color w:val="auto"/>
        </w:rPr>
      </w:pPr>
    </w:p>
    <w:p>
      <w:pPr>
        <w:ind w:left="680" w:right="419"/>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80" w:right="79"/>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35" w:lineRule="exact"/>
        <w:rPr>
          <w:sz w:val="20"/>
          <w:szCs w:val="20"/>
          <w:color w:val="auto"/>
        </w:rPr>
      </w:pPr>
    </w:p>
    <w:p>
      <w:pPr>
        <w:ind w:left="680" w:right="259"/>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35" w:lineRule="exact"/>
        <w:rPr>
          <w:sz w:val="20"/>
          <w:szCs w:val="20"/>
          <w:color w:val="auto"/>
        </w:rPr>
      </w:pPr>
    </w:p>
    <w:p>
      <w:pPr>
        <w:ind w:left="680" w:right="219"/>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usually identical or close to their carrying value.</w:t>
      </w:r>
    </w:p>
    <w:p>
      <w:pPr>
        <w:spacing w:after="0" w:line="121" w:lineRule="exact"/>
        <w:rPr>
          <w:sz w:val="20"/>
          <w:szCs w:val="20"/>
          <w:color w:val="auto"/>
        </w:rPr>
      </w:pPr>
    </w:p>
    <w:p>
      <w:pPr>
        <w:ind w:left="680" w:right="899"/>
        <w:spacing w:after="0" w:line="282" w:lineRule="auto"/>
        <w:rPr>
          <w:sz w:val="20"/>
          <w:szCs w:val="20"/>
          <w:color w:val="auto"/>
        </w:rPr>
      </w:pPr>
      <w:r>
        <w:rPr>
          <w:rFonts w:ascii="Times New Roman" w:cs="Times New Roman" w:eastAsia="Times New Roman" w:hAnsi="Times New Roman"/>
          <w:sz w:val="18"/>
          <w:szCs w:val="18"/>
          <w:color w:val="auto"/>
        </w:rPr>
        <w:t>The fair value of the outstanding $28.75 million 2024 Notes as of December 31, 2021 is approximately $33.3 million based on a level 3 measurement.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680" w:right="139"/>
        <w:spacing w:after="0" w:line="266" w:lineRule="auto"/>
        <w:rPr>
          <w:sz w:val="20"/>
          <w:szCs w:val="20"/>
          <w:color w:val="auto"/>
        </w:rPr>
      </w:pPr>
      <w:r>
        <w:rPr>
          <w:rFonts w:ascii="Times New Roman" w:cs="Times New Roman" w:eastAsia="Times New Roman" w:hAnsi="Times New Roman"/>
          <w:sz w:val="18"/>
          <w:szCs w:val="18"/>
          <w:color w:val="auto"/>
        </w:rPr>
        <w:t>The Company prepared the valuation of the fair value of the 2024 Notes (a Level 3 valuation) as of December 31, 2021. The value of these notes were estimated by implementing the binomial model. The liability component was valued based on the Income Approach. The following parameters were used:</w:t>
      </w:r>
    </w:p>
    <w:p>
      <w:pPr>
        <w:spacing w:after="0" w:line="210"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6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(USD)</w:t>
            </w:r>
          </w:p>
        </w:tc>
        <w:tc>
          <w:tcPr>
            <w:tcW w:w="2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TAXES ON INCOME</w:t>
      </w:r>
    </w:p>
    <w:p>
      <w:pPr>
        <w:spacing w:after="0" w:line="185" w:lineRule="exact"/>
        <w:rPr>
          <w:sz w:val="20"/>
          <w:szCs w:val="20"/>
          <w:color w:val="auto"/>
        </w:rPr>
      </w:pPr>
    </w:p>
    <w:p>
      <w:pPr>
        <w:ind w:left="1040" w:hanging="315"/>
        <w:spacing w:after="0"/>
        <w:tabs>
          <w:tab w:leader="none" w:pos="10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02" w:lineRule="exact"/>
        <w:rPr>
          <w:sz w:val="20"/>
          <w:szCs w:val="20"/>
          <w:color w:val="auto"/>
        </w:rPr>
      </w:pPr>
    </w:p>
    <w:p>
      <w:pPr>
        <w:ind w:left="1020" w:right="419"/>
        <w:spacing w:after="0" w:line="282" w:lineRule="auto"/>
        <w:rPr>
          <w:sz w:val="20"/>
          <w:szCs w:val="20"/>
          <w:color w:val="auto"/>
        </w:rPr>
      </w:pPr>
      <w:r>
        <w:rPr>
          <w:rFonts w:ascii="Times New Roman" w:cs="Times New Roman" w:eastAsia="Times New Roman" w:hAnsi="Times New Roman"/>
          <w:sz w:val="18"/>
          <w:szCs w:val="18"/>
          <w:color w:val="auto"/>
        </w:rPr>
        <w:t>Protalix BioTherapeutics, Inc. is taxed according to U.S. tax laws. The Company’s income is taxed in the United States at the rate of up to 21%.</w:t>
      </w:r>
    </w:p>
    <w:p>
      <w:pPr>
        <w:spacing w:after="0" w:line="121" w:lineRule="exact"/>
        <w:rPr>
          <w:sz w:val="20"/>
          <w:szCs w:val="20"/>
          <w:color w:val="auto"/>
        </w:rPr>
      </w:pPr>
    </w:p>
    <w:p>
      <w:pPr>
        <w:ind w:left="1020" w:right="59"/>
        <w:spacing w:after="0" w:line="253" w:lineRule="auto"/>
        <w:rPr>
          <w:sz w:val="20"/>
          <w:szCs w:val="20"/>
          <w:color w:val="auto"/>
        </w:rPr>
      </w:pPr>
      <w:r>
        <w:rPr>
          <w:rFonts w:ascii="Times New Roman" w:cs="Times New Roman" w:eastAsia="Times New Roman" w:hAnsi="Times New Roman"/>
          <w:sz w:val="18"/>
          <w:szCs w:val="18"/>
          <w:color w:val="auto"/>
        </w:rPr>
        <w:t>On December 22, 2017, the Tax Cuts and Jobs Act (the “Act”) was enacted into law. The new legislation represents fundamental and dramatic modifications to the U.S. tax system. The Act contained several key tax provisions that impacted the Company including the reduction of the maximum U.S. federal corporate income tax rate from 35% to 21%, effective January 1, 2018. Other significant changes under the Act included, among others, a one-time repatriation tax on accumulated foreign earnings, a limitation of net operating loss (“NOL”) deduction to 80% of taxable income, and indefinite carryover of post-2017 NOLs. The Act also repealed the corporate alternative minimum tax for tax years beginning after December 31, 2017. Losses generated prior to January 1, 2018 will still be subject to the 20-year carryforward limitation and the alternative minimum tax. Other impacts due to the Act included the repeal of the domestic manufacturing deduction, modification of taxation of controlled foreign corporations, a base erosion anti-abuse tax, modification of interest expense limitation rules, modification of limitation on deductibility of excessive executive compensation, and taxation of global intangible low-taxed income.</w:t>
      </w:r>
    </w:p>
    <w:p>
      <w:pPr>
        <w:spacing w:after="0" w:line="149" w:lineRule="exact"/>
        <w:rPr>
          <w:sz w:val="20"/>
          <w:szCs w:val="20"/>
          <w:color w:val="auto"/>
        </w:rPr>
      </w:pPr>
    </w:p>
    <w:p>
      <w:pPr>
        <w:ind w:left="1020" w:right="99"/>
        <w:spacing w:after="0" w:line="281" w:lineRule="auto"/>
        <w:rPr>
          <w:sz w:val="20"/>
          <w:szCs w:val="20"/>
          <w:color w:val="auto"/>
        </w:rPr>
      </w:pPr>
      <w:r>
        <w:rPr>
          <w:rFonts w:ascii="Times New Roman" w:cs="Times New Roman" w:eastAsia="Times New Roman" w:hAnsi="Times New Roman"/>
          <w:sz w:val="17"/>
          <w:szCs w:val="17"/>
          <w:color w:val="auto"/>
        </w:rPr>
        <w:t>Modification of interest expense limitation rules under the Act provides generally that for taxable years 2019-2022 interest expense deduction shall be limited to 30% of the EBITDA and for taxable years 2022 onwards to 30% of EBIT. Disallowed interest deduction may be carried forward indefinitely. The Company believes that any potential impact (if applicable) of this limitation will be offset by utilization of available NOLs.</w:t>
      </w:r>
    </w:p>
    <w:p>
      <w:pPr>
        <w:spacing w:after="0" w:line="137" w:lineRule="exact"/>
        <w:rPr>
          <w:sz w:val="20"/>
          <w:szCs w:val="20"/>
          <w:color w:val="auto"/>
        </w:rPr>
      </w:pPr>
    </w:p>
    <w:p>
      <w:pPr>
        <w:ind w:left="1020" w:right="579"/>
        <w:spacing w:after="0" w:line="282" w:lineRule="auto"/>
        <w:rPr>
          <w:sz w:val="20"/>
          <w:szCs w:val="20"/>
          <w:color w:val="auto"/>
        </w:rPr>
      </w:pPr>
      <w:r>
        <w:rPr>
          <w:rFonts w:ascii="Times New Roman" w:cs="Times New Roman" w:eastAsia="Times New Roman" w:hAnsi="Times New Roman"/>
          <w:sz w:val="18"/>
          <w:szCs w:val="18"/>
          <w:color w:val="auto"/>
        </w:rPr>
        <w:t>U.S. GAAP requires that the impact of tax legislation be recognized in the period in which the law was enacted.</w:t>
      </w:r>
    </w:p>
    <w:p>
      <w:pPr>
        <w:spacing w:after="0" w:line="121" w:lineRule="exact"/>
        <w:rPr>
          <w:sz w:val="20"/>
          <w:szCs w:val="20"/>
          <w:color w:val="auto"/>
        </w:rPr>
      </w:pPr>
    </w:p>
    <w:p>
      <w:pPr>
        <w:ind w:left="1020" w:right="59"/>
        <w:spacing w:after="0" w:line="261" w:lineRule="auto"/>
        <w:rPr>
          <w:sz w:val="20"/>
          <w:szCs w:val="20"/>
          <w:color w:val="auto"/>
        </w:rPr>
      </w:pPr>
      <w:r>
        <w:rPr>
          <w:rFonts w:ascii="Times New Roman" w:cs="Times New Roman" w:eastAsia="Times New Roman" w:hAnsi="Times New Roman"/>
          <w:sz w:val="18"/>
          <w:szCs w:val="18"/>
          <w:color w:val="auto"/>
        </w:rPr>
        <w:t>The Company believes that all future profits of its subsidiaries will be indefinitely reinvested or that there is no expectation to distribute any taxable dividends from these subsidiaries. The determination of the amount of the unrecognized deferred tax liability related to the undistributed earnings is estimated as an immaterial amount.</w:t>
      </w:r>
    </w:p>
    <w:p>
      <w:pPr>
        <w:spacing w:after="0" w:line="135" w:lineRule="exact"/>
        <w:rPr>
          <w:sz w:val="20"/>
          <w:szCs w:val="20"/>
          <w:color w:val="auto"/>
        </w:rPr>
      </w:pPr>
    </w:p>
    <w:p>
      <w:pPr>
        <w:ind w:left="1020" w:hanging="322"/>
        <w:spacing w:after="0"/>
        <w:tabs>
          <w:tab w:leader="none" w:pos="10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Protalix Ltd.</w:t>
      </w:r>
    </w:p>
    <w:p>
      <w:pPr>
        <w:spacing w:after="0" w:line="202" w:lineRule="exact"/>
        <w:rPr>
          <w:rFonts w:ascii="Times New Roman" w:cs="Times New Roman" w:eastAsia="Times New Roman" w:hAnsi="Times New Roman"/>
          <w:sz w:val="18"/>
          <w:szCs w:val="18"/>
          <w:b w:val="1"/>
          <w:bCs w:val="1"/>
          <w:color w:val="auto"/>
        </w:rPr>
      </w:pPr>
    </w:p>
    <w:p>
      <w:pPr>
        <w:ind w:left="1020" w:right="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 a “foreign-investment company” measures its results for tax purposes in dollar based on Income Tax Regulations (Bookkeeping Principles of Foreign Invested Companies and of Certain Partnerships and the Determination of Their Taxable Income), 1986. The Israeli Subsidiary is taxed according to Israeli tax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380" w:hanging="331"/>
        <w:spacing w:after="0"/>
        <w:tabs>
          <w:tab w:leader="none" w:pos="1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rates</w:t>
      </w:r>
    </w:p>
    <w:p>
      <w:pPr>
        <w:spacing w:after="0" w:line="189" w:lineRule="exact"/>
        <w:rPr>
          <w:sz w:val="20"/>
          <w:szCs w:val="20"/>
          <w:color w:val="auto"/>
        </w:rPr>
      </w:pPr>
    </w:p>
    <w:p>
      <w:pPr>
        <w:ind w:left="1340" w:right="219"/>
        <w:spacing w:after="0" w:line="282" w:lineRule="auto"/>
        <w:rPr>
          <w:sz w:val="20"/>
          <w:szCs w:val="20"/>
          <w:color w:val="auto"/>
        </w:rPr>
      </w:pPr>
      <w:r>
        <w:rPr>
          <w:rFonts w:ascii="Times New Roman" w:cs="Times New Roman" w:eastAsia="Times New Roman" w:hAnsi="Times New Roman"/>
          <w:sz w:val="18"/>
          <w:szCs w:val="18"/>
          <w:color w:val="auto"/>
        </w:rPr>
        <w:t>The income of the Israeli Subsidiary, other than income from “Approved Enterprises,” is taxed in Israel at the regular corporate tax rates.</w:t>
      </w:r>
    </w:p>
    <w:p>
      <w:pPr>
        <w:spacing w:after="0" w:line="1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The corporate tax rate was 23% for 2019 and thereafter.</w:t>
      </w:r>
    </w:p>
    <w:p>
      <w:pPr>
        <w:spacing w:after="0" w:line="198" w:lineRule="exact"/>
        <w:rPr>
          <w:sz w:val="20"/>
          <w:szCs w:val="20"/>
          <w:color w:val="auto"/>
        </w:rPr>
      </w:pPr>
    </w:p>
    <w:p>
      <w:pPr>
        <w:ind w:left="1340" w:right="79"/>
        <w:spacing w:after="0" w:line="282" w:lineRule="auto"/>
        <w:rPr>
          <w:sz w:val="20"/>
          <w:szCs w:val="20"/>
          <w:color w:val="auto"/>
        </w:rPr>
      </w:pPr>
      <w:r>
        <w:rPr>
          <w:rFonts w:ascii="Times New Roman" w:cs="Times New Roman" w:eastAsia="Times New Roman" w:hAnsi="Times New Roman"/>
          <w:sz w:val="18"/>
          <w:szCs w:val="18"/>
          <w:color w:val="auto"/>
        </w:rPr>
        <w:t>Capital gain on a sale of assets is subject to capital gain tax according to the corporate tax rate in effect in the year during which the assets are sold.</w:t>
      </w:r>
    </w:p>
    <w:p>
      <w:pPr>
        <w:spacing w:after="0" w:line="117" w:lineRule="exact"/>
        <w:rPr>
          <w:sz w:val="20"/>
          <w:szCs w:val="20"/>
          <w:color w:val="auto"/>
        </w:rPr>
      </w:pPr>
    </w:p>
    <w:p>
      <w:pPr>
        <w:ind w:left="1380" w:right="399" w:hanging="331"/>
        <w:spacing w:after="0" w:line="286" w:lineRule="auto"/>
        <w:tabs>
          <w:tab w:leader="none" w:pos="1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Law for the Encouragement of Capital Investments, 1959 (the “Encouragement of Capital Investments Law”)</w:t>
      </w:r>
    </w:p>
    <w:p>
      <w:pPr>
        <w:spacing w:after="0" w:line="118" w:lineRule="exact"/>
        <w:rPr>
          <w:sz w:val="20"/>
          <w:szCs w:val="20"/>
          <w:color w:val="auto"/>
        </w:rPr>
      </w:pPr>
    </w:p>
    <w:p>
      <w:pPr>
        <w:ind w:left="1340" w:right="359"/>
        <w:spacing w:after="0" w:line="261" w:lineRule="auto"/>
        <w:rPr>
          <w:sz w:val="20"/>
          <w:szCs w:val="20"/>
          <w:color w:val="auto"/>
        </w:rPr>
      </w:pPr>
      <w:r>
        <w:rPr>
          <w:rFonts w:ascii="Times New Roman" w:cs="Times New Roman" w:eastAsia="Times New Roman" w:hAnsi="Times New Roman"/>
          <w:sz w:val="18"/>
          <w:szCs w:val="18"/>
          <w:color w:val="auto"/>
        </w:rPr>
        <w:t>Under the Encouragement of Capital Investments Law, including Amendment No. 60 to the Encouragement of Capital Investments Law as published in April 2005, by virtue of the “Approved Enterprise” or “Benefited Enterprise” status the Israeli Subsidiary is entitled to various tax benefits as follows:</w:t>
      </w:r>
    </w:p>
    <w:p>
      <w:pPr>
        <w:spacing w:after="0" w:line="149" w:lineRule="exact"/>
        <w:rPr>
          <w:sz w:val="20"/>
          <w:szCs w:val="20"/>
          <w:color w:val="auto"/>
        </w:rPr>
      </w:pPr>
    </w:p>
    <w:p>
      <w:pPr>
        <w:ind w:left="1660" w:hanging="314"/>
        <w:spacing w:after="0"/>
        <w:tabs>
          <w:tab w:leader="none" w:pos="1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tax rates</w:t>
      </w:r>
    </w:p>
    <w:p>
      <w:pPr>
        <w:spacing w:after="0" w:line="188" w:lineRule="exact"/>
        <w:rPr>
          <w:rFonts w:ascii="Times New Roman" w:cs="Times New Roman" w:eastAsia="Times New Roman" w:hAnsi="Times New Roman"/>
          <w:sz w:val="18"/>
          <w:szCs w:val="18"/>
          <w:color w:val="auto"/>
        </w:rPr>
      </w:pPr>
    </w:p>
    <w:p>
      <w:pPr>
        <w:ind w:left="1680" w:right="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the Approved Enterprise during a 10-year period commencing upon the year in which the enterprise first realizes taxable income is tax exempt, provided that the maximum period to which it is restricted by the Encouragement of Capital Investments Law has not elapsed.</w:t>
      </w:r>
    </w:p>
    <w:p>
      <w:pPr>
        <w:spacing w:after="0" w:line="135" w:lineRule="exact"/>
        <w:rPr>
          <w:rFonts w:ascii="Times New Roman" w:cs="Times New Roman" w:eastAsia="Times New Roman" w:hAnsi="Times New Roman"/>
          <w:sz w:val="18"/>
          <w:szCs w:val="18"/>
          <w:color w:val="auto"/>
        </w:rPr>
      </w:pPr>
    </w:p>
    <w:p>
      <w:pPr>
        <w:ind w:left="1680" w:right="1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has an “Approved Enterprise” plan since 2004 and “Benefited Enterprise” plan since 2009. The period of benefits in respect of the main enterprise of the Company has not yet commenced. The period during which the Company is entitled to benefits in connection with the Benefited Enterprise expires in 2022.</w:t>
      </w:r>
    </w:p>
    <w:p>
      <w:pPr>
        <w:spacing w:after="0" w:line="152" w:lineRule="exact"/>
        <w:rPr>
          <w:rFonts w:ascii="Times New Roman" w:cs="Times New Roman" w:eastAsia="Times New Roman" w:hAnsi="Times New Roman"/>
          <w:sz w:val="18"/>
          <w:szCs w:val="18"/>
          <w:color w:val="auto"/>
        </w:rPr>
      </w:pPr>
    </w:p>
    <w:p>
      <w:pPr>
        <w:ind w:left="16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Israeli Subsidiary subsequently pays a dividend out of income derived from the “Approved Enterprise” or “Benefited Enterprise” during the tax exemption period, it will be subject to tax on the gross amount distributed (including the company tax on these amounts), at the rate which would have been applicable if such income not been exempted.</w:t>
      </w:r>
    </w:p>
    <w:p>
      <w:pPr>
        <w:spacing w:after="0" w:line="135"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Accelerated depreciation</w:t>
      </w:r>
    </w:p>
    <w:p>
      <w:pPr>
        <w:spacing w:after="0" w:line="188" w:lineRule="exact"/>
        <w:rPr>
          <w:rFonts w:ascii="Times New Roman" w:cs="Times New Roman" w:eastAsia="Times New Roman" w:hAnsi="Times New Roman"/>
          <w:sz w:val="18"/>
          <w:szCs w:val="18"/>
          <w:color w:val="auto"/>
        </w:rPr>
      </w:pPr>
    </w:p>
    <w:p>
      <w:pPr>
        <w:jc w:val="both"/>
        <w:ind w:left="1680" w:right="1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is entitled to claim accelerated depreciation, as provided by Israeli law, in the first five years of operation of each asset, in respect of buildings, machinery and equipment used by the Approved Enterprise and the Benefited Enterprise.</w:t>
      </w:r>
    </w:p>
    <w:p>
      <w:pPr>
        <w:spacing w:after="0" w:line="144" w:lineRule="exact"/>
        <w:rPr>
          <w:rFonts w:ascii="Times New Roman" w:cs="Times New Roman" w:eastAsia="Times New Roman" w:hAnsi="Times New Roman"/>
          <w:sz w:val="18"/>
          <w:szCs w:val="18"/>
          <w:color w:val="auto"/>
        </w:rPr>
      </w:pPr>
    </w:p>
    <w:p>
      <w:pPr>
        <w:ind w:left="1660" w:hanging="314"/>
        <w:spacing w:after="0"/>
        <w:tabs>
          <w:tab w:leader="none" w:pos="1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for entitlement to the benefits</w:t>
      </w:r>
    </w:p>
    <w:p>
      <w:pPr>
        <w:spacing w:after="0" w:line="188" w:lineRule="exact"/>
        <w:rPr>
          <w:rFonts w:ascii="Times New Roman" w:cs="Times New Roman" w:eastAsia="Times New Roman" w:hAnsi="Times New Roman"/>
          <w:sz w:val="18"/>
          <w:szCs w:val="18"/>
          <w:color w:val="auto"/>
        </w:rPr>
      </w:pPr>
    </w:p>
    <w:p>
      <w:pPr>
        <w:ind w:left="1680" w:right="1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Subsidiary’s entitlement to the benefits described above is subject to its fulfillment of conditions stipulated by the law, rules and regulations published thereunder, and the instruments of approval for the specific investment in an approved enterprise. Failure by the Israeli Subsidiary to comply with these conditions may result in the cancellation of the benefits, in whole or in part, and the Subsidiary may be required to refund the amount of the benefits with interest. The Israeli Subsidiary received a final implementation approval with respect to its “Approved Enterprise” from the Investment Center.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660" w:hanging="314"/>
        <w:spacing w:after="0"/>
        <w:tabs>
          <w:tab w:leader="none" w:pos="16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of the Law for the Encouragement of Capital Investments, 1959</w:t>
      </w:r>
    </w:p>
    <w:p>
      <w:pPr>
        <w:spacing w:after="0" w:line="188" w:lineRule="exact"/>
        <w:rPr>
          <w:rFonts w:ascii="Times New Roman" w:cs="Times New Roman" w:eastAsia="Times New Roman" w:hAnsi="Times New Roman"/>
          <w:sz w:val="18"/>
          <w:szCs w:val="18"/>
          <w:color w:val="auto"/>
        </w:rPr>
      </w:pPr>
    </w:p>
    <w:p>
      <w:pPr>
        <w:ind w:left="168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several amendments have been made to the Encouragement of Capital Investments Law which have enabled new alternative benefit tracks, subject to certain conditions.</w:t>
      </w:r>
    </w:p>
    <w:p>
      <w:pPr>
        <w:spacing w:after="0" w:line="121" w:lineRule="exact"/>
        <w:rPr>
          <w:rFonts w:ascii="Times New Roman" w:cs="Times New Roman" w:eastAsia="Times New Roman" w:hAnsi="Times New Roman"/>
          <w:sz w:val="18"/>
          <w:szCs w:val="18"/>
          <w:color w:val="auto"/>
        </w:rPr>
      </w:pPr>
    </w:p>
    <w:p>
      <w:pPr>
        <w:ind w:left="1680" w:right="79"/>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Encouragement of Capital Investments Law was amended as part of the Economic Policy Law for the years 2011-2012 (amendment 68 to the Encouragement of Capital Investments Law), which was passed by the Israeli Knesset on December 29, 2010. The amendment sets alternative benefit tracks to those currently in effect under the provisions of the Encouragement of Capital Investments Law. On December 29, 2016, Amendment 73 to the Encouragement of Capital Investments Law was published. This amendment sets new benefit tracks, inter alia, “Preferred Technological Enterprise” and “Special Preferred Technological Enterprise” (the “Capital Investments Law Amendment”).</w:t>
      </w:r>
    </w:p>
    <w:p>
      <w:pPr>
        <w:spacing w:after="0" w:line="144" w:lineRule="exact"/>
        <w:rPr>
          <w:rFonts w:ascii="Times New Roman" w:cs="Times New Roman" w:eastAsia="Times New Roman" w:hAnsi="Times New Roman"/>
          <w:sz w:val="18"/>
          <w:szCs w:val="18"/>
          <w:color w:val="auto"/>
        </w:rPr>
      </w:pPr>
    </w:p>
    <w:p>
      <w:pPr>
        <w:ind w:left="1680" w:right="1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the Company has elected not to have the Capital Investments Law Amendment apply to the Company.</w:t>
      </w:r>
    </w:p>
    <w:p>
      <w:pPr>
        <w:spacing w:after="0" w:line="117" w:lineRule="exact"/>
        <w:rPr>
          <w:rFonts w:ascii="Times New Roman" w:cs="Times New Roman" w:eastAsia="Times New Roman" w:hAnsi="Times New Roman"/>
          <w:sz w:val="18"/>
          <w:szCs w:val="18"/>
          <w:color w:val="auto"/>
        </w:rPr>
      </w:pPr>
    </w:p>
    <w:p>
      <w:pPr>
        <w:ind w:left="1000" w:hanging="302"/>
        <w:spacing w:after="0"/>
        <w:tabs>
          <w:tab w:leader="none" w:pos="10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losses carried forward to future years</w:t>
      </w:r>
    </w:p>
    <w:p>
      <w:pPr>
        <w:spacing w:after="0" w:line="189" w:lineRule="exact"/>
        <w:rPr>
          <w:sz w:val="20"/>
          <w:szCs w:val="20"/>
          <w:color w:val="auto"/>
        </w:rPr>
      </w:pPr>
    </w:p>
    <w:p>
      <w:pPr>
        <w:jc w:val="both"/>
        <w:ind w:left="1020" w:right="99"/>
        <w:spacing w:after="0" w:line="312" w:lineRule="auto"/>
        <w:rPr>
          <w:sz w:val="20"/>
          <w:szCs w:val="20"/>
          <w:color w:val="auto"/>
        </w:rPr>
      </w:pPr>
      <w:r>
        <w:rPr>
          <w:rFonts w:ascii="Times New Roman" w:cs="Times New Roman" w:eastAsia="Times New Roman" w:hAnsi="Times New Roman"/>
          <w:sz w:val="17"/>
          <w:szCs w:val="17"/>
          <w:color w:val="auto"/>
        </w:rPr>
        <w:t>As of December 31, 2021 and 2020, the Company had aggregate NOL carry-forwards equal to approximately $247.9 million and $231.4 million, respectively, that are available to reduce future taxable income as follows:</w:t>
      </w:r>
    </w:p>
    <w:p>
      <w:pPr>
        <w:spacing w:after="0" w:line="109" w:lineRule="exact"/>
        <w:rPr>
          <w:sz w:val="20"/>
          <w:szCs w:val="20"/>
          <w:color w:val="auto"/>
        </w:rPr>
      </w:pPr>
    </w:p>
    <w:p>
      <w:pPr>
        <w:ind w:left="1380" w:hanging="331"/>
        <w:spacing w:after="0"/>
        <w:tabs>
          <w:tab w:leader="none" w:pos="1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w:t>
      </w:r>
    </w:p>
    <w:p>
      <w:pPr>
        <w:spacing w:after="0" w:line="189" w:lineRule="exact"/>
        <w:rPr>
          <w:sz w:val="20"/>
          <w:szCs w:val="20"/>
          <w:color w:val="auto"/>
        </w:rPr>
      </w:pPr>
    </w:p>
    <w:p>
      <w:pPr>
        <w:ind w:left="1340" w:right="179"/>
        <w:spacing w:after="0" w:line="256" w:lineRule="auto"/>
        <w:rPr>
          <w:sz w:val="20"/>
          <w:szCs w:val="20"/>
          <w:color w:val="auto"/>
        </w:rPr>
      </w:pPr>
      <w:r>
        <w:rPr>
          <w:rFonts w:ascii="Times New Roman" w:cs="Times New Roman" w:eastAsia="Times New Roman" w:hAnsi="Times New Roman"/>
          <w:sz w:val="18"/>
          <w:szCs w:val="18"/>
          <w:color w:val="auto"/>
        </w:rPr>
        <w:t>The Company’s carry-forward NOLs, equal to approximately $36.1 million and $30.9 million as of December 31, 2021 and 2020, respectively, may be restricted under Section 382 of the Internal Revenue Code (“IRC”). IRC Section 382 applies whenever a corporation with NOL experiences an ownership change. As a result of IRC Section 382, the taxable income for any post change year that may be offset by a pre-change NOL may not exceed the general IRC Section 382 limitation, which is the fair market value of the pre-change entity multiplied by the IRC long-term tax exempt rate.</w:t>
      </w:r>
    </w:p>
    <w:p>
      <w:pPr>
        <w:spacing w:after="0" w:line="147" w:lineRule="exact"/>
        <w:rPr>
          <w:sz w:val="20"/>
          <w:szCs w:val="20"/>
          <w:color w:val="auto"/>
        </w:rPr>
      </w:pPr>
    </w:p>
    <w:p>
      <w:pPr>
        <w:ind w:left="1340" w:right="139"/>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considered all available evidence, including past operating results, the most recent projections for taxable income, and prudent and feasible tax planning strategies. The Company reassesses its valuation allowance periodically and if future evidence allows for a partial or full release of the valuation allowance, a tax benefit will be recorded accordingly.</w:t>
      </w:r>
    </w:p>
    <w:p>
      <w:pPr>
        <w:spacing w:after="0" w:line="156" w:lineRule="exact"/>
        <w:rPr>
          <w:sz w:val="20"/>
          <w:szCs w:val="20"/>
          <w:color w:val="auto"/>
        </w:rPr>
      </w:pPr>
    </w:p>
    <w:p>
      <w:pPr>
        <w:ind w:left="1380" w:hanging="331"/>
        <w:spacing w:after="0"/>
        <w:tabs>
          <w:tab w:leader="none" w:pos="1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Protalix Ltd.</w:t>
      </w:r>
    </w:p>
    <w:p>
      <w:pPr>
        <w:spacing w:after="0" w:line="1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 December 31, 2021 and 2020, the Israeli Subsidiary had approximately $211.8 million and</w:t>
      </w:r>
    </w:p>
    <w:p>
      <w:pPr>
        <w:spacing w:after="0" w:line="27" w:lineRule="exact"/>
        <w:rPr>
          <w:sz w:val="20"/>
          <w:szCs w:val="20"/>
          <w:color w:val="auto"/>
        </w:rPr>
      </w:pPr>
    </w:p>
    <w:p>
      <w:pPr>
        <w:ind w:left="1340" w:right="299"/>
        <w:spacing w:after="0" w:line="260" w:lineRule="auto"/>
        <w:rPr>
          <w:sz w:val="20"/>
          <w:szCs w:val="20"/>
          <w:color w:val="auto"/>
        </w:rPr>
      </w:pPr>
      <w:r>
        <w:rPr>
          <w:rFonts w:ascii="Times New Roman" w:cs="Times New Roman" w:eastAsia="Times New Roman" w:hAnsi="Times New Roman"/>
          <w:sz w:val="18"/>
          <w:szCs w:val="18"/>
          <w:color w:val="auto"/>
        </w:rPr>
        <w:t>$200.5 million, respectively, of carry-forward NOLs that are available to reduce future taxable income with no limited period of use.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020" w:hanging="322"/>
        <w:spacing w:after="0"/>
        <w:tabs>
          <w:tab w:leader="none" w:pos="10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income taxes:</w:t>
      </w:r>
    </w:p>
    <w:p>
      <w:pPr>
        <w:spacing w:after="0" w:line="188"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net deferred tax assets at December 31, 2020 and 2021 were as follows:</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respect of:</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9,598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timing differences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-10795</wp:posOffset>
            </wp:positionV>
            <wp:extent cx="10629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Deferred taxes are computed using the tax rates expected to be in effect when those differences reverse.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-127635</wp:posOffset>
            </wp:positionV>
            <wp:extent cx="10629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74" w:lineRule="exact"/>
        <w:rPr>
          <w:sz w:val="20"/>
          <w:szCs w:val="20"/>
          <w:color w:val="auto"/>
        </w:rPr>
      </w:pPr>
    </w:p>
    <w:p>
      <w:pPr>
        <w:ind w:left="1000" w:hanging="302"/>
        <w:spacing w:after="0"/>
        <w:tabs>
          <w:tab w:leader="none" w:pos="10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the theoretical tax expense to actual tax expense</w:t>
      </w:r>
    </w:p>
    <w:p>
      <w:pPr>
        <w:spacing w:after="0" w:line="188" w:lineRule="exact"/>
        <w:rPr>
          <w:rFonts w:ascii="Times New Roman" w:cs="Times New Roman" w:eastAsia="Times New Roman" w:hAnsi="Times New Roman"/>
          <w:sz w:val="18"/>
          <w:szCs w:val="18"/>
          <w:b w:val="1"/>
          <w:bCs w:val="1"/>
          <w:color w:val="auto"/>
        </w:rPr>
      </w:pPr>
    </w:p>
    <w:p>
      <w:pPr>
        <w:ind w:left="1020" w:right="41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main reconciling item between the statutory tax rate of the Company and the effective rate is the provision for a full valuation allowance in respect of tax benefits from carry forward tax losses due to the uncertainty of the realization of such tax benefits (see above).</w:t>
      </w:r>
    </w:p>
    <w:p>
      <w:pPr>
        <w:spacing w:after="0" w:line="131" w:lineRule="exact"/>
        <w:rPr>
          <w:rFonts w:ascii="Times New Roman" w:cs="Times New Roman" w:eastAsia="Times New Roman" w:hAnsi="Times New Roman"/>
          <w:sz w:val="18"/>
          <w:szCs w:val="18"/>
          <w:b w:val="1"/>
          <w:bCs w:val="1"/>
          <w:color w:val="auto"/>
        </w:rPr>
      </w:pPr>
    </w:p>
    <w:p>
      <w:pPr>
        <w:ind w:left="980" w:hanging="282"/>
        <w:spacing w:after="0"/>
        <w:tabs>
          <w:tab w:leader="none" w:pos="9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assessments</w:t>
      </w:r>
    </w:p>
    <w:p>
      <w:pPr>
        <w:spacing w:after="0" w:line="202" w:lineRule="exact"/>
        <w:rPr>
          <w:sz w:val="20"/>
          <w:szCs w:val="20"/>
          <w:color w:val="auto"/>
        </w:rPr>
      </w:pPr>
    </w:p>
    <w:p>
      <w:pPr>
        <w:ind w:left="1020" w:right="979"/>
        <w:spacing w:after="0" w:line="282" w:lineRule="auto"/>
        <w:rPr>
          <w:sz w:val="20"/>
          <w:szCs w:val="20"/>
          <w:color w:val="auto"/>
        </w:rPr>
      </w:pPr>
      <w:r>
        <w:rPr>
          <w:rFonts w:ascii="Times New Roman" w:cs="Times New Roman" w:eastAsia="Times New Roman" w:hAnsi="Times New Roman"/>
          <w:sz w:val="18"/>
          <w:szCs w:val="18"/>
          <w:color w:val="auto"/>
        </w:rPr>
        <w:t>In accordance with the Income Tax Ordinance, as of December 31, 2021, all of Protalix Ltd.’s tax assessments through tax year 2016 are considered final.</w:t>
      </w:r>
    </w:p>
    <w:p>
      <w:pPr>
        <w:spacing w:after="0" w:line="1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open tax years by major jurisdiction is presented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84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1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4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Israel</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2017-2021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84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9"/>
              </w:rPr>
              <w:t>United States (*)</w:t>
            </w:r>
          </w:p>
        </w:tc>
        <w:tc>
          <w:tcPr>
            <w:tcW w:w="2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2017-2021</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Includes federal, state and local (or similar provincial jurisdictions) tax positions.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NOTE 13 - SUPPLEMENTARY FINANCIAL STATEMENT INFORMATION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2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7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Other assets:</w:t>
            </w: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Institutions</w:t>
            </w:r>
          </w:p>
        </w:tc>
        <w:tc>
          <w:tcPr>
            <w:tcW w:w="2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deposits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4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40" w:type="dxa"/>
            <w:vAlign w:val="bottom"/>
            <w:gridSpan w:val="5"/>
          </w:tcPr>
          <w:p>
            <w:pPr>
              <w:jc w:val="right"/>
              <w:ind w:right="1976"/>
              <w:spacing w:after="0"/>
              <w:rPr>
                <w:sz w:val="20"/>
                <w:szCs w:val="20"/>
                <w:color w:val="auto"/>
              </w:rPr>
            </w:pPr>
            <w:r>
              <w:rPr>
                <w:rFonts w:ascii="Times New Roman" w:cs="Times New Roman" w:eastAsia="Times New Roman" w:hAnsi="Times New Roman"/>
                <w:sz w:val="18"/>
                <w:szCs w:val="18"/>
                <w:color w:val="auto"/>
              </w:rPr>
              <w:t>F-37</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r>
              <w:rPr>
                <w:rFonts w:ascii="Times New Roman" w:cs="Times New Roman" w:eastAsia="Times New Roman" w:hAnsi="Times New Roman"/>
                <w:sz w:val="14"/>
                <w:szCs w:val="14"/>
                <w:color w:val="auto"/>
              </w:rPr>
              <w:t>)</w:t>
            </w:r>
          </w:p>
        </w:tc>
        <w:tc>
          <w:tcPr>
            <w:tcW w:w="156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7"/>
        </w:trPr>
        <w:tc>
          <w:tcPr>
            <w:tcW w:w="5560" w:type="dxa"/>
            <w:vAlign w:val="bottom"/>
            <w:vMerge w:val="continue"/>
          </w:tcPr>
          <w:p>
            <w:pPr>
              <w:spacing w:after="0"/>
              <w:rPr>
                <w:sz w:val="13"/>
                <w:szCs w:val="13"/>
                <w:color w:val="auto"/>
              </w:rPr>
            </w:pPr>
          </w:p>
        </w:tc>
        <w:tc>
          <w:tcPr>
            <w:tcW w:w="780" w:type="dxa"/>
            <w:vAlign w:val="bottom"/>
          </w:tcPr>
          <w:p>
            <w:pPr>
              <w:jc w:val="right"/>
              <w:ind w:right="208"/>
              <w:spacing w:after="0" w:line="157" w:lineRule="exact"/>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Pr>
          <w:p>
            <w:pPr>
              <w:jc w:val="right"/>
              <w:ind w:right="148"/>
              <w:spacing w:after="0" w:line="157"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-8890</wp:posOffset>
            </wp:positionV>
            <wp:extent cx="451739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4517390" cy="145415"/>
                    </a:xfrm>
                    <a:prstGeom prst="rect">
                      <a:avLst/>
                    </a:prstGeom>
                    <a:noFill/>
                  </pic:spPr>
                </pic:pic>
              </a:graphicData>
            </a:graphic>
          </wp:anchor>
        </w:drawing>
      </w:r>
    </w:p>
    <w:p>
      <w:pPr>
        <w:ind w:left="1300" w:hanging="353"/>
        <w:spacing w:after="0"/>
        <w:tabs>
          <w:tab w:leader="none" w:pos="13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accruals – other:</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16,433</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 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18415</wp:posOffset>
            </wp:positionV>
            <wp:extent cx="4517390" cy="283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4517390" cy="283210"/>
                    </a:xfrm>
                    <a:prstGeom prst="rect">
                      <a:avLst/>
                    </a:prstGeom>
                    <a:noFill/>
                  </pic:spPr>
                </pic:pic>
              </a:graphicData>
            </a:graphic>
          </wp:anchor>
        </w:drawing>
      </w:r>
    </w:p>
    <w:p>
      <w:pPr>
        <w:spacing w:after="0" w:line="9" w:lineRule="exact"/>
        <w:rPr>
          <w:sz w:val="20"/>
          <w:szCs w:val="20"/>
          <w:color w:val="auto"/>
        </w:rPr>
      </w:pPr>
    </w:p>
    <w:p>
      <w:pPr>
        <w:ind w:left="940"/>
        <w:spacing w:after="0" w:line="276" w:lineRule="auto"/>
        <w:rPr>
          <w:sz w:val="20"/>
          <w:szCs w:val="20"/>
          <w:color w:val="auto"/>
        </w:rPr>
      </w:pPr>
      <w:r>
        <w:rPr>
          <w:rFonts w:ascii="Times New Roman" w:cs="Times New Roman" w:eastAsia="Times New Roman" w:hAnsi="Times New Roman"/>
          <w:sz w:val="18"/>
          <w:szCs w:val="18"/>
          <w:color w:val="auto"/>
        </w:rPr>
        <w:t>Compensation (including share-based compensation) to the non-executive directors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13030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5" w:lineRule="exact"/>
        <w:rPr>
          <w:sz w:val="20"/>
          <w:szCs w:val="20"/>
          <w:color w:val="auto"/>
        </w:rPr>
      </w:pPr>
    </w:p>
    <w:p>
      <w:pPr>
        <w:ind w:left="160"/>
        <w:spacing w:after="0"/>
        <w:tabs>
          <w:tab w:leader="none" w:pos="860" w:val="left"/>
          <w:tab w:leader="none" w:pos="16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23" w:lineRule="exact"/>
        <w:rPr>
          <w:sz w:val="20"/>
          <w:szCs w:val="20"/>
          <w:color w:val="auto"/>
        </w:rPr>
      </w:pPr>
    </w:p>
    <w:p>
      <w:pPr>
        <w:spacing w:after="0"/>
        <w:tabs>
          <w:tab w:leader="none" w:pos="240" w:val="left"/>
          <w:tab w:leader="none" w:pos="720" w:val="left"/>
          <w:tab w:leader="none" w:pos="960" w:val="left"/>
          <w:tab w:leader="none" w:pos="1440" w:val="left"/>
          <w:tab w:leader="none" w:pos="1700" w:val="left"/>
        </w:tabs>
        <w:rPr>
          <w:sz w:val="20"/>
          <w:szCs w:val="20"/>
          <w:color w:val="auto"/>
        </w:rPr>
      </w:pPr>
      <w:r>
        <w:rPr>
          <w:rFonts w:ascii="Times New Roman" w:cs="Times New Roman" w:eastAsia="Times New Roman" w:hAnsi="Times New Roman"/>
          <w:sz w:val="18"/>
          <w:szCs w:val="18"/>
          <w:color w:val="auto"/>
        </w:rPr>
        <w:t>$</w:t>
        <w:tab/>
        <w:t>444</w:t>
        <w:tab/>
        <w:t>$</w:t>
        <w:tab/>
        <w:t>814</w:t>
        <w:tab/>
        <w:t>$</w:t>
        <w:tab/>
        <w:t>475</w:t>
      </w:r>
    </w:p>
    <w:p>
      <w:pPr>
        <w:spacing w:after="0" w:line="257" w:lineRule="exact"/>
        <w:rPr>
          <w:sz w:val="20"/>
          <w:szCs w:val="20"/>
          <w:color w:val="auto"/>
        </w:rPr>
      </w:pPr>
    </w:p>
    <w:p>
      <w:pPr>
        <w:sectPr>
          <w:pgSz w:w="11900" w:h="16838" w:orient="portrait"/>
          <w:cols w:equalWidth="0" w:num="2">
            <w:col w:w="5600" w:space="400"/>
            <w:col w:w="3019"/>
          </w:cols>
          <w:pgMar w:left="1440" w:top="513"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89" w:lineRule="exact"/>
        <w:rPr>
          <w:sz w:val="20"/>
          <w:szCs w:val="20"/>
          <w:color w:val="auto"/>
        </w:rPr>
      </w:pPr>
    </w:p>
    <w:p>
      <w:pPr>
        <w:ind w:left="1040" w:right="199" w:hanging="315"/>
        <w:spacing w:after="0" w:line="266"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25, 2022, the Company granted (i) 637,531 shares of restricted Common Stock to its President and Chief Executive Officer and (ii) 121,951 shares of restricted Common Stock to its Sr. Vice President, Chief Financial Officer, both under the Plan.</w:t>
      </w:r>
    </w:p>
    <w:p>
      <w:pPr>
        <w:spacing w:after="0" w:line="135" w:lineRule="exact"/>
        <w:rPr>
          <w:rFonts w:ascii="Times New Roman" w:cs="Times New Roman" w:eastAsia="Times New Roman" w:hAnsi="Times New Roman"/>
          <w:sz w:val="18"/>
          <w:szCs w:val="18"/>
          <w:color w:val="auto"/>
        </w:rPr>
      </w:pPr>
    </w:p>
    <w:p>
      <w:pPr>
        <w:jc w:val="both"/>
        <w:ind w:left="1040" w:right="119" w:hanging="315"/>
        <w:spacing w:after="0" w:line="266"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12, 2022 and February 2, 2022, the Company collected approximately $1.2 million from expense reimbursements in connection with its collaboration with Chiesi. On March 22, 2022, the Company collected approximately $2.2 million from sales of alfataliglicerase to Fiocruz.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88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-116840</wp:posOffset>
            </wp:positionV>
            <wp:extent cx="1268730" cy="1071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56" w:lineRule="exact"/>
        <w:rPr>
          <w:sz w:val="20"/>
          <w:szCs w:val="20"/>
          <w:color w:val="auto"/>
        </w:rPr>
      </w:pPr>
    </w:p>
    <w:p>
      <w:pPr>
        <w:ind w:right="6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333-230604 and 333-237736) and on Form S-8 (No. 333-148983, No. 333-182677, No. 333-203960, No. 333-225526 and No. 333 239101) of Protalix BioTherapeutics, Inc. of our report dated March 31, 2022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tcPr>
          <w:p>
            <w:pPr>
              <w:spacing w:after="0" w:line="20" w:lineRule="exact"/>
              <w:rPr>
                <w:sz w:val="1"/>
                <w:szCs w:val="1"/>
                <w:color w:val="auto"/>
              </w:rPr>
            </w:pPr>
          </w:p>
        </w:tc>
        <w:tc>
          <w:tcPr>
            <w:tcW w:w="140" w:type="dxa"/>
            <w:vAlign w:val="bottom"/>
            <w:shd w:val="clear" w:color="auto" w:fill="FFFF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87"/>
        </w:trPr>
        <w:tc>
          <w:tcPr>
            <w:tcW w:w="100" w:type="dxa"/>
            <w:vAlign w:val="bottom"/>
          </w:tcPr>
          <w:p>
            <w:pPr>
              <w:spacing w:after="0"/>
              <w:rPr>
                <w:sz w:val="16"/>
                <w:szCs w:val="16"/>
                <w:color w:val="auto"/>
              </w:rPr>
            </w:pPr>
          </w:p>
        </w:tc>
        <w:tc>
          <w:tcPr>
            <w:tcW w:w="26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Tel-Aviv, Israel</w:t>
            </w:r>
          </w:p>
        </w:tc>
        <w:tc>
          <w:tcPr>
            <w:tcW w:w="7140" w:type="dxa"/>
            <w:vAlign w:val="bottom"/>
          </w:tcPr>
          <w:p>
            <w:pPr>
              <w:ind w:left="1440"/>
              <w:spacing w:after="0" w:line="188" w:lineRule="exact"/>
              <w:rPr>
                <w:sz w:val="20"/>
                <w:szCs w:val="20"/>
                <w:color w:val="auto"/>
              </w:rPr>
            </w:pPr>
            <w:r>
              <w:rPr>
                <w:rFonts w:ascii="Times New Roman" w:cs="Times New Roman" w:eastAsia="Times New Roman" w:hAnsi="Times New Roman"/>
                <w:sz w:val="18"/>
                <w:szCs w:val="18"/>
                <w:b w:val="1"/>
                <w:bCs w:val="1"/>
                <w:color w:val="auto"/>
              </w:rPr>
              <w:t>/s/ Kesselman &amp; Kesselman</w:t>
            </w:r>
          </w:p>
        </w:tc>
      </w:tr>
      <w:tr>
        <w:trPr>
          <w:trHeight w:val="216"/>
        </w:trPr>
        <w:tc>
          <w:tcPr>
            <w:tcW w:w="1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Georgia" w:cs="Georgia" w:eastAsia="Georgia" w:hAnsi="Georgia"/>
                <w:sz w:val="18"/>
                <w:szCs w:val="18"/>
                <w:color w:val="auto"/>
              </w:rPr>
              <w:t>March 31, 2022</w:t>
            </w:r>
          </w:p>
        </w:tc>
        <w:tc>
          <w:tcPr>
            <w:tcW w:w="71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Certified Public Accountants (lsr.)</w:t>
            </w:r>
          </w:p>
        </w:tc>
      </w:tr>
      <w:tr>
        <w:trPr>
          <w:trHeight w:val="235"/>
        </w:trPr>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1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A member firm of PricewaterhouseCoopers</w:t>
            </w:r>
          </w:p>
        </w:tc>
      </w:tr>
      <w:tr>
        <w:trPr>
          <w:trHeight w:val="203"/>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140" w:type="dxa"/>
            <w:vAlign w:val="bottom"/>
          </w:tcPr>
          <w:p>
            <w:pPr>
              <w:ind w:left="1440"/>
              <w:spacing w:after="0" w:line="203" w:lineRule="exact"/>
              <w:rPr>
                <w:sz w:val="20"/>
                <w:szCs w:val="20"/>
                <w:color w:val="auto"/>
              </w:rPr>
            </w:pPr>
            <w:r>
              <w:rPr>
                <w:rFonts w:ascii="Georgia" w:cs="Georgia" w:eastAsia="Georgia" w:hAnsi="Georgia"/>
                <w:sz w:val="18"/>
                <w:szCs w:val="18"/>
                <w:b w:val="1"/>
                <w:bCs w:val="1"/>
                <w:color w:val="auto"/>
              </w:rPr>
              <w:t>International Limited</w:t>
            </w:r>
          </w:p>
        </w:tc>
      </w:tr>
      <w:tr>
        <w:trPr>
          <w:trHeight w:val="1535"/>
        </w:trPr>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1" w:right="99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225" w:lineRule="exact"/>
        <w:rPr>
          <w:sz w:val="20"/>
          <w:szCs w:val="20"/>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Eyal Rubin, certify that:</w:t>
      </w:r>
    </w:p>
    <w:p>
      <w:pPr>
        <w:spacing w:after="0" w:line="225" w:lineRule="exact"/>
        <w:rPr>
          <w:sz w:val="20"/>
          <w:szCs w:val="20"/>
          <w:color w:val="auto"/>
        </w:rPr>
      </w:pPr>
    </w:p>
    <w:p>
      <w:pPr>
        <w:ind w:left="360" w:hanging="352"/>
        <w:spacing w:after="0"/>
        <w:tabs>
          <w:tab w:leader="none" w:pos="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Protalix BioTherapeutics, Inc.;</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7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7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12"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1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Chief Financial Officer,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December 31, 2021 as filed with the Securities and Exchange Commission (the “Report”), I, Dror Bashan, President and Chief Executive Officer of the Company, hereby certify as of the date hereof, solely for purposes of Title 18, Chapter 63, Section 1350 of the United States Code, that to my knowledge:</w:t>
      </w:r>
    </w:p>
    <w:p>
      <w:pPr>
        <w:spacing w:after="0" w:line="186" w:lineRule="exact"/>
        <w:rPr>
          <w:sz w:val="20"/>
          <w:szCs w:val="20"/>
          <w:color w:val="auto"/>
        </w:rPr>
      </w:pPr>
    </w:p>
    <w:p>
      <w:pPr>
        <w:ind w:left="440" w:right="400" w:firstLine="8"/>
        <w:spacing w:after="0" w:line="282"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Protalix BioTherapeutics, Inc. (the “Company”) on Form 10-K for the period ended December 31, 2021 as filed with the Securities and Exchange Commission (the “Report”), I, Eyal Rubin, Sr. Vice President and Chief Financial Officer of the Company, hereby certify as of the date hereof, solely for the purposes of Title 18, Chapter 63, Section 1350 of the United States Code, that to my knowledge:</w:t>
      </w:r>
    </w:p>
    <w:p>
      <w:pPr>
        <w:spacing w:after="0" w:line="180" w:lineRule="exact"/>
        <w:rPr>
          <w:sz w:val="20"/>
          <w:szCs w:val="20"/>
          <w:color w:val="auto"/>
        </w:rPr>
      </w:pPr>
    </w:p>
    <w:p>
      <w:pPr>
        <w:ind w:left="440" w:right="400" w:firstLine="8"/>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80" w:firstLine="8"/>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being furnished to the Securities and Exchange Commission as an exhibit to the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Rubin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1)"/>
      <w:numFmt w:val="decimal"/>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1)"/>
      <w:numFmt w:val="lowerRoman"/>
      <w:start w:val="4"/>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1."/>
      <w:numFmt w:val="decimal"/>
      <w:start w:val="1"/>
    </w:lvl>
  </w:abstractNum>
  <w:abstractNum w:abstractNumId="46">
    <w:nsid w:val="BF72B14"/>
    <w:multiLevelType w:val="hybridMultilevel"/>
    <w:lvl w:ilvl="0">
      <w:lvlJc w:val="left"/>
      <w:lvlText w:val="%1."/>
      <w:numFmt w:val="decimal"/>
      <w:start w:val="2"/>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endash "/>
      <w:numFmt w:val="bullet"/>
      <w:start w:val="1"/>
    </w:lvl>
  </w:abstractNum>
  <w:abstractNum w:abstractNumId="50">
    <w:nsid w:val="8F2B15E"/>
    <w:multiLevelType w:val="hybridMultilevel"/>
    <w:lvl w:ilvl="0">
      <w:lvlJc w:val="left"/>
      <w:lvlText w:val="%1."/>
      <w:numFmt w:val="lowerLetter"/>
      <w:start w:val="1"/>
    </w:lvl>
  </w:abstractNum>
  <w:abstractNum w:abstractNumId="51">
    <w:nsid w:val="1A32234B"/>
    <w:multiLevelType w:val="hybridMultilevel"/>
    <w:lvl w:ilvl="0">
      <w:lvlJc w:val="left"/>
      <w:lvlText w:val="(%1)"/>
      <w:numFmt w:val="decimal"/>
      <w:start w:val="1"/>
    </w:lvl>
  </w:abstractNum>
  <w:abstractNum w:abstractNumId="52">
    <w:nsid w:val="3B0FD379"/>
    <w:multiLevelType w:val="hybridMultilevel"/>
    <w:lvl w:ilvl="0">
      <w:lvlJc w:val="left"/>
      <w:lvlText w:val="%1."/>
      <w:numFmt w:val="lowerLetter"/>
      <w:start w:val="2"/>
    </w:lvl>
  </w:abstractNum>
  <w:abstractNum w:abstractNumId="53">
    <w:nsid w:val="68EB2F63"/>
    <w:multiLevelType w:val="hybridMultilevel"/>
    <w:lvl w:ilvl="0">
      <w:lvlJc w:val="left"/>
      <w:lvlText w:val="%1."/>
      <w:numFmt w:val="lowerLetter"/>
      <w:start w:val="5"/>
    </w:lvl>
  </w:abstractNum>
  <w:abstractNum w:abstractNumId="54">
    <w:nsid w:val="4962813B"/>
    <w:multiLevelType w:val="hybridMultilevel"/>
    <w:lvl w:ilvl="0">
      <w:lvlJc w:val="left"/>
      <w:lvlText w:val="%1."/>
      <w:numFmt w:val="lowerLetter"/>
      <w:start w:val="7"/>
    </w:lvl>
    <w:lvl w:ilvl="1">
      <w:lvlJc w:val="left"/>
      <w:lvlText w:val="%2."/>
      <w:numFmt w:val="decimal"/>
      <w:start w:val="1"/>
    </w:lvl>
  </w:abstractNum>
  <w:abstractNum w:abstractNumId="55">
    <w:nsid w:val="60B6DF70"/>
    <w:multiLevelType w:val="hybridMultilevel"/>
    <w:lvl w:ilvl="0">
      <w:lvlJc w:val="left"/>
      <w:lvlText w:val="%1."/>
      <w:numFmt w:val="lowerRoman"/>
      <w:start w:val="1"/>
    </w:lvl>
  </w:abstractNum>
  <w:abstractNum w:abstractNumId="56">
    <w:nsid w:val="6A5EE64"/>
    <w:multiLevelType w:val="hybridMultilevel"/>
    <w:lvl w:ilvl="0">
      <w:lvlJc w:val="left"/>
      <w:lvlText w:val="%1."/>
      <w:numFmt w:val="lowerLetter"/>
      <w:start w:val="10"/>
    </w:lvl>
    <w:lvl w:ilvl="1">
      <w:lvlJc w:val="left"/>
      <w:lvlText w:val="%2."/>
      <w:numFmt w:val="decimal"/>
      <w:start w:val="1"/>
    </w:lvl>
  </w:abstractNum>
  <w:abstractNum w:abstractNumId="57">
    <w:nsid w:val="14330624"/>
    <w:multiLevelType w:val="hybridMultilevel"/>
    <w:lvl w:ilvl="0">
      <w:lvlJc w:val="left"/>
      <w:lvlText w:val="%1"/>
      <w:numFmt w:val="lowerLetter"/>
      <w:start w:val="1"/>
    </w:lvl>
    <w:lvl w:ilvl="1">
      <w:lvlJc w:val="left"/>
      <w:lvlText w:val="%2."/>
      <w:numFmt w:val="decimal"/>
      <w:start w:val="3"/>
    </w:lvl>
  </w:abstractNum>
  <w:abstractNum w:abstractNumId="58">
    <w:nsid w:val="7FFFCA11"/>
    <w:multiLevelType w:val="hybridMultilevel"/>
    <w:lvl w:ilvl="0">
      <w:lvlJc w:val="left"/>
      <w:lvlText w:val="%1."/>
      <w:numFmt w:val="lowerLetter"/>
      <w:start w:val="12"/>
    </w:lvl>
    <w:lvl w:ilvl="1">
      <w:lvlJc w:val="left"/>
      <w:lvlText w:val="%2"/>
      <w:numFmt w:val="decimal"/>
      <w:start w:val="1"/>
    </w:lvl>
  </w:abstractNum>
  <w:abstractNum w:abstractNumId="59">
    <w:nsid w:val="1A27709E"/>
    <w:multiLevelType w:val="hybridMultilevel"/>
    <w:lvl w:ilvl="0">
      <w:lvlJc w:val="left"/>
      <w:lvlText w:val="%1."/>
      <w:numFmt w:val="lowerLetter"/>
      <w:start w:val="14"/>
    </w:lvl>
  </w:abstractNum>
  <w:abstractNum w:abstractNumId="60">
    <w:nsid w:val="71EA1109"/>
    <w:multiLevelType w:val="hybridMultilevel"/>
    <w:lvl w:ilvl="0">
      <w:lvlJc w:val="left"/>
      <w:lvlText w:val="%1."/>
      <w:numFmt w:val="lowerLetter"/>
      <w:start w:val="17"/>
    </w:lvl>
  </w:abstractNum>
  <w:abstractNum w:abstractNumId="61">
    <w:nsid w:val="100F59DC"/>
    <w:multiLevelType w:val="hybridMultilevel"/>
    <w:lvl w:ilvl="0">
      <w:lvlJc w:val="left"/>
      <w:lvlText w:val="%1."/>
      <w:numFmt w:val="lowerLetter"/>
      <w:start w:val="1"/>
    </w:lvl>
    <w:lvl w:ilvl="1">
      <w:lvlJc w:val="left"/>
      <w:lvlText w:val="%2."/>
      <w:numFmt w:val="decimal"/>
      <w:start w:val="1"/>
    </w:lvl>
  </w:abstractNum>
  <w:abstractNum w:abstractNumId="62">
    <w:nsid w:val="7FB7E0AA"/>
    <w:multiLevelType w:val="hybridMultilevel"/>
    <w:lvl w:ilvl="0">
      <w:lvlJc w:val="left"/>
      <w:lvlText w:val="%1."/>
      <w:numFmt w:val="lowerLetter"/>
      <w:start w:val="2"/>
    </w:lvl>
  </w:abstractNum>
  <w:abstractNum w:abstractNumId="63">
    <w:nsid w:val="6EB5BD4"/>
    <w:multiLevelType w:val="hybridMultilevel"/>
    <w:lvl w:ilvl="0">
      <w:lvlJc w:val="left"/>
      <w:lvlText w:val="%1."/>
      <w:numFmt w:val="decimal"/>
      <w:start w:val="1"/>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decimal"/>
      <w:start w:val="1"/>
    </w:lvl>
  </w:abstractNum>
  <w:abstractNum w:abstractNumId="66">
    <w:nsid w:val="885E1B"/>
    <w:multiLevelType w:val="hybridMultilevel"/>
    <w:lvl w:ilvl="0">
      <w:lvlJc w:val="left"/>
      <w:lvlText w:val="%1."/>
      <w:numFmt w:val="lowerLetter"/>
      <w:start w:val="3"/>
    </w:lvl>
  </w:abstractNum>
  <w:abstractNum w:abstractNumId="67">
    <w:nsid w:val="76272110"/>
    <w:multiLevelType w:val="hybridMultilevel"/>
    <w:lvl w:ilvl="0">
      <w:lvlJc w:val="left"/>
      <w:lvlText w:val="%1."/>
      <w:numFmt w:val="lowerLetter"/>
      <w:start w:val="1"/>
    </w:lvl>
  </w:abstractNum>
  <w:abstractNum w:abstractNumId="68">
    <w:nsid w:val="4C04A8AF"/>
    <w:multiLevelType w:val="hybridMultilevel"/>
    <w:lvl w:ilvl="0">
      <w:lvlJc w:val="left"/>
      <w:lvlText w:val="%1."/>
      <w:numFmt w:val="lowerLetter"/>
      <w:start w:val="2"/>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1."/>
      <w:numFmt w:val="lowerLetter"/>
      <w:start w:val="2"/>
    </w:lvl>
  </w:abstractNum>
  <w:abstractNum w:abstractNumId="71">
    <w:nsid w:val="3222E7CD"/>
    <w:multiLevelType w:val="hybridMultilevel"/>
    <w:lvl w:ilvl="0">
      <w:lvlJc w:val="left"/>
      <w:lvlText w:val="%1."/>
      <w:numFmt w:val="lowerLetter"/>
      <w:start w:val="1"/>
    </w:lvl>
  </w:abstractNum>
  <w:abstractNum w:abstractNumId="72">
    <w:nsid w:val="74DE0EE3"/>
    <w:multiLevelType w:val="hybridMultilevel"/>
    <w:lvl w:ilvl="0">
      <w:lvlJc w:val="left"/>
      <w:lvlText w:val="%1."/>
      <w:numFmt w:val="lowerLetter"/>
      <w:start w:val="1"/>
    </w:lvl>
  </w:abstractNum>
  <w:abstractNum w:abstractNumId="73">
    <w:nsid w:val="68EBC550"/>
    <w:multiLevelType w:val="hybridMultilevel"/>
    <w:lvl w:ilvl="0">
      <w:lvlJc w:val="left"/>
      <w:lvlText w:val="%1."/>
      <w:numFmt w:val="decimal"/>
      <w:start w:val="1"/>
    </w:lvl>
    <w:lvl w:ilvl="1">
      <w:lvlJc w:val="left"/>
      <w:lvlText w:val="%2)"/>
      <w:numFmt w:val="lowerLetter"/>
      <w:start w:val="1"/>
    </w:lvl>
  </w:abstractNum>
  <w:abstractNum w:abstractNumId="74">
    <w:nsid w:val="2DF6D648"/>
    <w:multiLevelType w:val="hybridMultilevel"/>
    <w:lvl w:ilvl="0">
      <w:lvlJc w:val="left"/>
      <w:lvlText w:val="%1."/>
      <w:numFmt w:val="upperLetter"/>
      <w:start w:val="9"/>
    </w:lvl>
  </w:abstractNum>
  <w:abstractNum w:abstractNumId="75">
    <w:nsid w:val="46B7D447"/>
    <w:multiLevelType w:val="hybridMultilevel"/>
    <w:lvl w:ilvl="0">
      <w:lvlJc w:val="left"/>
      <w:lvlText w:val="%1."/>
      <w:numFmt w:val="upperLetter"/>
      <w:start w:val="35"/>
    </w:lvl>
  </w:abstractNum>
  <w:abstractNum w:abstractNumId="76">
    <w:nsid w:val="4A2AC315"/>
    <w:multiLevelType w:val="hybridMultilevel"/>
    <w:lvl w:ilvl="0">
      <w:lvlJc w:val="left"/>
      <w:lvlText w:val="%1."/>
      <w:numFmt w:val="upperLetter"/>
      <w:start w:val="61"/>
    </w:lvl>
  </w:abstractNum>
  <w:abstractNum w:abstractNumId="77">
    <w:nsid w:val="39EE015C"/>
    <w:multiLevelType w:val="hybridMultilevel"/>
    <w:lvl w:ilvl="0">
      <w:lvlJc w:val="left"/>
      <w:lvlText w:val="%1."/>
      <w:numFmt w:val="upperLetter"/>
      <w:start w:val="9"/>
    </w:lvl>
  </w:abstractNum>
  <w:abstractNum w:abstractNumId="78">
    <w:nsid w:val="57FC4FBB"/>
    <w:multiLevelType w:val="hybridMultilevel"/>
    <w:lvl w:ilvl="0">
      <w:lvlJc w:val="left"/>
      <w:lvlText w:val="%1."/>
      <w:numFmt w:val="upperLetter"/>
      <w:start w:val="35"/>
    </w:lvl>
  </w:abstractNum>
  <w:abstractNum w:abstractNumId="79">
    <w:nsid w:val="CC1016F"/>
    <w:multiLevelType w:val="hybridMultilevel"/>
    <w:lvl w:ilvl="0">
      <w:lvlJc w:val="left"/>
      <w:lvlText w:val="%1"/>
      <w:numFmt w:val="decimal"/>
      <w:start w:val="1"/>
    </w:lvl>
    <w:lvl w:ilvl="1">
      <w:lvlJc w:val="left"/>
      <w:lvlText w:val="%2)"/>
      <w:numFmt w:val="lowerLetter"/>
      <w:start w:val="2"/>
    </w:lvl>
  </w:abstractNum>
  <w:abstractNum w:abstractNumId="80">
    <w:nsid w:val="43F18422"/>
    <w:multiLevelType w:val="hybridMultilevel"/>
    <w:lvl w:ilvl="0">
      <w:lvlJc w:val="left"/>
      <w:lvlText w:val="%1."/>
      <w:numFmt w:val="decimal"/>
      <w:start w:val="2"/>
    </w:lvl>
    <w:lvl w:ilvl="1">
      <w:lvlJc w:val="left"/>
      <w:lvlText w:val="%2"/>
      <w:numFmt w:val="lowerLetter"/>
      <w:start w:val="1"/>
    </w:lvl>
  </w:abstractNum>
  <w:abstractNum w:abstractNumId="81">
    <w:nsid w:val="60EF0119"/>
    <w:multiLevelType w:val="hybridMultilevel"/>
    <w:lvl w:ilvl="0">
      <w:lvlJc w:val="left"/>
      <w:lvlText w:val="%1)"/>
      <w:numFmt w:val="lowerLetter"/>
      <w:start w:val="3"/>
    </w:lvl>
  </w:abstractNum>
  <w:abstractNum w:abstractNumId="82">
    <w:nsid w:val="26F324BA"/>
    <w:multiLevelType w:val="hybridMultilevel"/>
    <w:lvl w:ilvl="0">
      <w:lvlJc w:val="left"/>
      <w:lvlText w:val="%1)"/>
      <w:numFmt w:val="lowerLetter"/>
      <w:start w:val="4"/>
    </w:lvl>
  </w:abstractNum>
  <w:abstractNum w:abstractNumId="83">
    <w:nsid w:val="7F01579B"/>
    <w:multiLevelType w:val="hybridMultilevel"/>
    <w:lvl w:ilvl="0">
      <w:lvlJc w:val="left"/>
      <w:lvlText w:val="*"/>
      <w:numFmt w:val="bullet"/>
      <w:start w:val="1"/>
    </w:lvl>
    <w:lvl w:ilvl="1">
      <w:lvlJc w:val="left"/>
      <w:lvlText w:val="%2)"/>
      <w:numFmt w:val="lowerLetter"/>
      <w:start w:val="5"/>
    </w:lvl>
  </w:abstractNum>
  <w:abstractNum w:abstractNumId="84">
    <w:nsid w:val="49DA307D"/>
    <w:multiLevelType w:val="hybridMultilevel"/>
    <w:lvl w:ilvl="0">
      <w:lvlJc w:val="left"/>
      <w:lvlText w:val="%1."/>
      <w:numFmt w:val="lowerLetter"/>
      <w:start w:val="4"/>
    </w:lvl>
  </w:abstractNum>
  <w:abstractNum w:abstractNumId="85">
    <w:nsid w:val="7055A5F5"/>
    <w:multiLevelType w:val="hybridMultilevel"/>
    <w:lvl w:ilvl="0">
      <w:lvlJc w:val="left"/>
      <w:lvlText w:val="%1."/>
      <w:numFmt w:val="lowerLetter"/>
      <w:start w:val="6"/>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lowerLetter"/>
      <w:start w:val="2"/>
    </w:lvl>
  </w:abstractNum>
  <w:abstractNum w:abstractNumId="88">
    <w:nsid w:val="488AC1A"/>
    <w:multiLevelType w:val="hybridMultilevel"/>
    <w:lvl w:ilvl="0">
      <w:lvlJc w:val="left"/>
      <w:lvlText w:val="%1)"/>
      <w:numFmt w:val="lowerLetter"/>
      <w:start w:val="1"/>
    </w:lvl>
  </w:abstractNum>
  <w:abstractNum w:abstractNumId="89">
    <w:nsid w:val="5FB8011C"/>
    <w:multiLevelType w:val="hybridMultilevel"/>
    <w:lvl w:ilvl="0">
      <w:lvlJc w:val="left"/>
      <w:lvlText w:val="%1."/>
      <w:numFmt w:val="lowerLetter"/>
      <w:start w:val="1"/>
    </w:lvl>
  </w:abstractNum>
  <w:abstractNum w:abstractNumId="90">
    <w:nsid w:val="6AA78F7F"/>
    <w:multiLevelType w:val="hybridMultilevel"/>
    <w:lvl w:ilvl="0">
      <w:lvlJc w:val="left"/>
      <w:lvlText w:val="%1."/>
      <w:numFmt w:val="lowerLetter"/>
      <w:start w:val="2"/>
    </w:lvl>
  </w:abstractNum>
  <w:abstractNum w:abstractNumId="91">
    <w:nsid w:val="7672BD23"/>
    <w:multiLevelType w:val="hybridMultilevel"/>
    <w:lvl w:ilvl="0">
      <w:lvlJc w:val="left"/>
      <w:lvlText w:val="%1."/>
      <w:numFmt w:val="decimal"/>
      <w:start w:val="1"/>
    </w:lvl>
  </w:abstractNum>
  <w:abstractNum w:abstractNumId="92">
    <w:nsid w:val="6FC75AF8"/>
    <w:multiLevelType w:val="hybridMultilevel"/>
    <w:lvl w:ilvl="0">
      <w:lvlJc w:val="left"/>
      <w:lvlText w:val="%1."/>
      <w:numFmt w:val="decimal"/>
      <w:start w:val="2"/>
    </w:lvl>
  </w:abstractNum>
  <w:abstractNum w:abstractNumId="93">
    <w:nsid w:val="6A5F7029"/>
    <w:multiLevelType w:val="hybridMultilevel"/>
    <w:lvl w:ilvl="0">
      <w:lvlJc w:val="left"/>
      <w:lvlText w:val="%1."/>
      <w:numFmt w:val="lowerLetter"/>
      <w:start w:val="1"/>
    </w:lvl>
  </w:abstractNum>
  <w:abstractNum w:abstractNumId="94">
    <w:nsid w:val="7D5E18F8"/>
    <w:multiLevelType w:val="hybridMultilevel"/>
    <w:lvl w:ilvl="0">
      <w:lvlJc w:val="left"/>
      <w:lvlText w:val="%1"/>
      <w:numFmt w:val="lowerLetter"/>
      <w:start w:val="1"/>
    </w:lvl>
    <w:lvl w:ilvl="1">
      <w:lvlJc w:val="left"/>
      <w:lvlText w:val="%2."/>
      <w:numFmt w:val="lowerLetter"/>
      <w:start w:val="4"/>
    </w:lvl>
  </w:abstractNum>
  <w:abstractNum w:abstractNumId="95">
    <w:nsid w:val="5F3534A4"/>
    <w:multiLevelType w:val="hybridMultilevel"/>
    <w:lvl w:ilvl="0">
      <w:lvlJc w:val="left"/>
      <w:lvlText w:val="%1."/>
      <w:numFmt w:val="lowerLetter"/>
      <w:start w:val="3"/>
    </w:lvl>
    <w:lvl w:ilvl="1">
      <w:lvlJc w:val="left"/>
      <w:lvlText w:val="%2"/>
      <w:numFmt w:val="lowerLetter"/>
      <w:start w:val="1"/>
    </w:lvl>
  </w:abstractNum>
  <w:abstractNum w:abstractNumId="96">
    <w:nsid w:val="73A1821B"/>
    <w:multiLevelType w:val="hybridMultilevel"/>
    <w:lvl w:ilvl="0">
      <w:lvlJc w:val="left"/>
      <w:lvlText w:val="%1."/>
      <w:numFmt w:val="decimal"/>
      <w:start w:val="1"/>
    </w:lvl>
  </w:abstractNum>
  <w:abstractNum w:abstractNumId="97">
    <w:nsid w:val="7DE67713"/>
    <w:multiLevelType w:val="hybridMultilevel"/>
    <w:lvl w:ilvl="0">
      <w:lvlJc w:val="left"/>
      <w:lvlText w:val="%1."/>
      <w:numFmt w:val="decimal"/>
      <w:start w:val="2"/>
    </w:lvl>
  </w:abstractNum>
  <w:abstractNum w:abstractNumId="98">
    <w:nsid w:val="555C55B5"/>
    <w:multiLevelType w:val="hybridMultilevel"/>
    <w:lvl w:ilvl="0">
      <w:lvlJc w:val="left"/>
      <w:lvlText w:val="%1."/>
      <w:numFmt w:val="lowerLetter"/>
      <w:start w:val="4"/>
    </w:lvl>
  </w:abstractNum>
  <w:abstractNum w:abstractNumId="99">
    <w:nsid w:val="3FA62ACA"/>
    <w:multiLevelType w:val="hybridMultilevel"/>
    <w:lvl w:ilvl="0">
      <w:lvlJc w:val="left"/>
      <w:lvlText w:val="%1."/>
      <w:numFmt w:val="lowerLetter"/>
      <w:start w:val="5"/>
    </w:lvl>
  </w:abstractNum>
  <w:abstractNum w:abstractNumId="100">
    <w:nsid w:val="14FCE74E"/>
    <w:multiLevelType w:val="hybridMultilevel"/>
    <w:lvl w:ilvl="0">
      <w:lvlJc w:val="left"/>
      <w:lvlText w:val="%1."/>
      <w:numFmt w:val="lowerLetter"/>
      <w:start w:val="2"/>
    </w:lvl>
  </w:abstractNum>
  <w:abstractNum w:abstractNumId="101">
    <w:nsid w:val="6A3DD3E8"/>
    <w:multiLevelType w:val="hybridMultilevel"/>
    <w:lvl w:ilvl="0">
      <w:lvlJc w:val="left"/>
      <w:lvlText w:val="%1."/>
      <w:numFmt w:val="lowerLetter"/>
      <w:start w:val="1"/>
    </w:lvl>
  </w:abstractNum>
  <w:abstractNum w:abstractNumId="102">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0"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jpeg"/><Relationship Id="rId130" Type="http://schemas.openxmlformats.org/officeDocument/2006/relationships/image" Target="media/image92.png"/><Relationship Id="rId131" Type="http://schemas.openxmlformats.org/officeDocument/2006/relationships/image" Target="media/image93.jpe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jpe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91" Type="http://schemas.openxmlformats.org/officeDocument/2006/relationships/hyperlink" Target="https://www.sec.gov/Archives/edgar/data/1006281/000110465921088982/tm2121219d1_ex1-1.htm" TargetMode="External"/><Relationship Id="rId92" Type="http://schemas.openxmlformats.org/officeDocument/2006/relationships/hyperlink" Target="https://www.sec.gov/Archives/edgar/data/1006281/000114420416092335/v435826_ex3-1.htm" TargetMode="External"/><Relationship Id="rId93" Type="http://schemas.openxmlformats.org/officeDocument/2006/relationships/hyperlink" Target="https://www.sec.gov/Archives/edgar/data/1006281/000114420416111273/v443094_def14a.htm" TargetMode="External"/><Relationship Id="rId94" Type="http://schemas.openxmlformats.org/officeDocument/2006/relationships/hyperlink" Target="https://www.sec.gov/Archives/edgar/data/1006281/000114420418054229/tv504383-def14a.htm" TargetMode="External"/><Relationship Id="rId95" Type="http://schemas.openxmlformats.org/officeDocument/2006/relationships/hyperlink" Target="https://www.sec.gov/Archives/edgar/data/1006281/000110465919074602/tm1926620d1_ex3-1.htm" TargetMode="External"/><Relationship Id="rId96" Type="http://schemas.openxmlformats.org/officeDocument/2006/relationships/hyperlink" Target="https://www.sec.gov/Archives/edgar/data/1006281/000114420416086642/v432711_ex3-10.htm" TargetMode="External"/><Relationship Id="rId97" Type="http://schemas.openxmlformats.org/officeDocument/2006/relationships/hyperlink" Target="https://www.sec.gov/Archives/edgar/data/1006281/000114420412040015/v318898_ex4-1.htm" TargetMode="External"/><Relationship Id="rId98" Type="http://schemas.openxmlformats.org/officeDocument/2006/relationships/hyperlink" Target="https://www.sec.gov/Archives/edgar/data/1006281/000110465920032540/tm205240d1_ex4-7.htm" TargetMode="External"/><Relationship Id="rId99" Type="http://schemas.openxmlformats.org/officeDocument/2006/relationships/hyperlink" Target="https://www.sec.gov/Archives/edgar/data/1006281/000110465920032169/tm2012488d1_ex4-1.htm" TargetMode="External"/><Relationship Id="rId101" Type="http://schemas.openxmlformats.org/officeDocument/2006/relationships/hyperlink" Target="https://www.sec.gov/Archives/edgar/data/1006281/000110465920092375/plx-20200630xex4d8.htm" TargetMode="External"/><Relationship Id="rId102" Type="http://schemas.openxmlformats.org/officeDocument/2006/relationships/hyperlink" Target="https://www.sec.gov/Archives/edgar/data/1006281/000110465920092375/plx-20200630xex4d9.htm" TargetMode="External"/><Relationship Id="rId103" Type="http://schemas.openxmlformats.org/officeDocument/2006/relationships/hyperlink" Target="https://www.sec.gov/Archives/edgar/data/1006281/000155837021012078/plx-20210824xex4d2.htm" TargetMode="External"/><Relationship Id="rId104" Type="http://schemas.openxmlformats.org/officeDocument/2006/relationships/hyperlink" Target="https://www.sec.gov/Archives/edgar/data/1006281/000155837021012078/plx-20210824xex4d3.htm" TargetMode="External"/><Relationship Id="rId105" Type="http://schemas.openxmlformats.org/officeDocument/2006/relationships/hyperlink" Target="https://www.sec.gov/Archives/edgar/data/1006281/000095014407000141/g04822exv10w9.htm" TargetMode="External"/><Relationship Id="rId106" Type="http://schemas.openxmlformats.org/officeDocument/2006/relationships/hyperlink" Target="https://www.sec.gov/Archives/edgar/data/1006281/000095013608001374/file2.htm" TargetMode="External"/><Relationship Id="rId107" Type="http://schemas.openxmlformats.org/officeDocument/2006/relationships/hyperlink" Target="https://www.sec.gov/Archives/edgar/data/1006281/000155837021007157/plx-20210331xex10d1.htm" TargetMode="External"/><Relationship Id="rId108" Type="http://schemas.openxmlformats.org/officeDocument/2006/relationships/hyperlink" Target="https://www.sec.gov/Archives/edgar/data/1006281/000155837021007157/plx-20210331xex10d2.htm" TargetMode="External"/><Relationship Id="rId109" Type="http://schemas.openxmlformats.org/officeDocument/2006/relationships/hyperlink" Target="https://www.sec.gov/Archives/edgar/data/1006281/000155837021007157/plx-20210331xex10d3.htm" TargetMode="External"/><Relationship Id="rId110" Type="http://schemas.openxmlformats.org/officeDocument/2006/relationships/hyperlink" Target="https://www.sec.gov/Archives/edgar/data/1006281/000114420415070554/v426600_ex10-1.htm" TargetMode="External"/><Relationship Id="rId111" Type="http://schemas.openxmlformats.org/officeDocument/2006/relationships/hyperlink" Target="https://www.sec.gov/Archives/edgar/data/1006281/000114420418013053/tv486893_ex10-16.htm" TargetMode="External"/><Relationship Id="rId112" Type="http://schemas.openxmlformats.org/officeDocument/2006/relationships/hyperlink" Target="https://www.sec.gov/Archives/edgar/data/1006281/000114420418057990/tv505296_ex10-1.htm" TargetMode="External"/><Relationship Id="rId113" Type="http://schemas.openxmlformats.org/officeDocument/2006/relationships/hyperlink" Target="https://www.sec.gov/Archives/edgar/data/1006281/000114420419027423/tv522023_ex10-1.htm" TargetMode="External"/><Relationship Id="rId114" Type="http://schemas.openxmlformats.org/officeDocument/2006/relationships/hyperlink" Target="https://www.sec.gov/Archives/edgar/data/1006281/000114420419036350/tv526084_ex10-1.htm" TargetMode="External"/><Relationship Id="rId115" Type="http://schemas.openxmlformats.org/officeDocument/2006/relationships/hyperlink" Target="https://www.sec.gov/Archives/edgar/data/1006281/000110465920032169/tm2012488d1_ex10-1.htm" TargetMode="External"/><Relationship Id="rId116" Type="http://schemas.openxmlformats.org/officeDocument/2006/relationships/hyperlink" Target="https://www.sec.gov/Archives/edgar/data/1006281/000110465920092375/plx-20200630xex10d1.htm" TargetMode="External"/><Relationship Id="rId117" Type="http://schemas.openxmlformats.org/officeDocument/2006/relationships/hyperlink" Target="https://www.sec.gov/Archives/edgar/data/1006281/000110465920070904/tm2022015d1_ex10-1.htm" TargetMode="External"/><Relationship Id="rId118" Type="http://schemas.openxmlformats.org/officeDocument/2006/relationships/hyperlink" Target="https://www.sec.gov/Archives/edgar/data/1006281/000110465920070904/tm2022015d1_ex10-2.htm" TargetMode="External"/><Relationship Id="rId119" Type="http://schemas.openxmlformats.org/officeDocument/2006/relationships/hyperlink" Target="https://www.sec.gov/Archives/edgar/data/1006281/000155837021011566/plx-20210812xex10d1.htm" TargetMode="External"/><Relationship Id="rId120" Type="http://schemas.openxmlformats.org/officeDocument/2006/relationships/hyperlink" Target="https://www.sec.gov/Archives/edgar/data/1006281/000155837021012078/plx-20210824xex10d1.htm" TargetMode="External"/><Relationship Id="rId121" Type="http://schemas.openxmlformats.org/officeDocument/2006/relationships/hyperlink" Target="https://www.sec.gov/Archives/edgar/data/1006281/000155837021012078/plx-20210824xex10d2.htm" TargetMode="External"/><Relationship Id="rId122" Type="http://schemas.openxmlformats.org/officeDocument/2006/relationships/hyperlink" Target="https://www.sec.gov/Archives/edgar/data/1006281/000095012310017277/y03091exv21w1.htm" TargetMode="External"/><Relationship Id="rId164" Type="http://schemas.openxmlformats.org/officeDocument/2006/relationships/hyperlink" Target="https://www.sec.gov/Archives/edgar/data/1006281/000114420416138423/v45458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2022-03-31T06:20:00Z</dcterms:created>
  <dcterms:modified xsi:type="dcterms:W3CDTF">2022-03-31T06:20:00Z</dcterms:modified>
</cp:coreProperties>
</file>