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42"/>
        </w:trPr>
        <w:tc>
          <w:tcPr>
            <w:tcW w:w="1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3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May 1, 2024, approximately 73,316,084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2"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March 31, 2024 and December 31, 2023</w:t>
            </w:r>
          </w:p>
        </w:tc>
        <w:tc>
          <w:tcPr>
            <w:tcW w:w="118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 For the Three Months Ended March 31, 2024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(Capital Deficiency) (Unaudited) – For the</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Three Months Ended March 31, 2024 and 2023</w:t>
            </w:r>
          </w:p>
        </w:tc>
        <w:tc>
          <w:tcPr>
            <w:tcW w:w="4940" w:type="dxa"/>
            <w:vAlign w:val="bottom"/>
            <w:tcBorders>
              <w:top w:val="single" w:sz="8" w:color="0000EE"/>
            </w:tcBorders>
            <w:gridSpan w:val="9"/>
          </w:tcPr>
          <w:p>
            <w:pPr>
              <w:spacing w:after="0"/>
              <w:rPr>
                <w:sz w:val="17"/>
                <w:szCs w:val="17"/>
                <w:color w:val="auto"/>
              </w:rPr>
            </w:pPr>
          </w:p>
        </w:tc>
        <w:tc>
          <w:tcPr>
            <w:tcW w:w="200" w:type="dxa"/>
            <w:vAlign w:val="bottom"/>
            <w:gridSpan w:val="2"/>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Three Months Ended March 31, 2024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56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5"/>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96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5"/>
                <w:szCs w:val="15"/>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94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60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75,404</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89,825</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60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Contracts liability</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54,828</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60,039</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29,786</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89,825</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ind w:left="1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840" w:right="24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OPERATIONS </w:t>
      </w:r>
      <w:r>
        <w:rPr>
          <w:rFonts w:ascii="Times New Roman" w:cs="Times New Roman" w:eastAsia="Times New Roman" w:hAnsi="Times New Roman"/>
          <w:sz w:val="18"/>
          <w:szCs w:val="18"/>
          <w:color w:val="auto"/>
        </w:rPr>
        <w:t>(U.S. dollars in thousands, except share and per share data)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gridSpan w:val="5"/>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6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(2,602)</w:t>
            </w:r>
          </w:p>
        </w:tc>
        <w:tc>
          <w:tcPr>
            <w:tcW w:w="200" w:type="dxa"/>
            <w:vAlign w:val="bottom"/>
          </w:tcPr>
          <w:p>
            <w:pPr>
              <w:spacing w:after="0"/>
              <w:rPr>
                <w:sz w:val="18"/>
                <w:szCs w:val="18"/>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(2,887)</w:t>
            </w: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(5,847)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2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(3,115)</w:t>
            </w:r>
          </w:p>
        </w:tc>
        <w:tc>
          <w:tcPr>
            <w:tcW w:w="200" w:type="dxa"/>
            <w:vAlign w:val="bottom"/>
          </w:tcPr>
          <w:p>
            <w:pPr>
              <w:spacing w:after="0"/>
              <w:rPr>
                <w:sz w:val="18"/>
                <w:szCs w:val="18"/>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(3,115)</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(4,856)</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(2,459)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(390)</w:t>
            </w:r>
          </w:p>
        </w:tc>
        <w:tc>
          <w:tcPr>
            <w:tcW w:w="200" w:type="dxa"/>
            <w:vAlign w:val="bottom"/>
          </w:tcPr>
          <w:p>
            <w:pPr>
              <w:spacing w:after="0"/>
              <w:rPr>
                <w:sz w:val="17"/>
                <w:szCs w:val="17"/>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BEFORE TAX BENEFIT (TAXES ON INCOME)</w:t>
            </w: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(4,733)</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(2,936)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TAX BENEFIT (TAXES ON INCOME)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FOR THE PERIOD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(4,595)</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(3,131)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LOSS PER SHARE OF COMMON STOCK-BASIC AND DILUTED</w:t>
            </w:r>
          </w:p>
        </w:tc>
        <w:tc>
          <w:tcPr>
            <w:tcW w:w="2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(0.06)</w:t>
            </w:r>
          </w:p>
        </w:tc>
        <w:tc>
          <w:tcPr>
            <w:tcW w:w="2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gridSpan w:val="2"/>
          </w:tcPr>
          <w:p>
            <w:pPr>
              <w:jc w:val="right"/>
              <w:ind w:right="660"/>
              <w:spacing w:after="0" w:line="156" w:lineRule="exact"/>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7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2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USED IN COMPUTING LOSS PER SHARE (Basic and Diluted):</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73,036,569</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57,480,009</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CHANGES IN STOCKHOLDERS’ EQUITY (CAPITAL DEFICIENCY) </w:t>
      </w:r>
      <w:r>
        <w:rPr>
          <w:rFonts w:ascii="Times New Roman" w:cs="Times New Roman" w:eastAsia="Times New Roman" w:hAnsi="Times New Roman"/>
          <w:sz w:val="18"/>
          <w:szCs w:val="18"/>
          <w:color w:val="auto"/>
        </w:rPr>
        <w:t>(U.S. dollars in thousands, except share data)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53,790,167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54</w:t>
            </w:r>
          </w:p>
        </w:tc>
        <w:tc>
          <w:tcPr>
            <w:tcW w:w="2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379,167</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(389,861)</w:t>
            </w:r>
          </w:p>
        </w:tc>
        <w:tc>
          <w:tcPr>
            <w:tcW w:w="180" w:type="dxa"/>
            <w:vAlign w:val="bottom"/>
            <w:gridSpan w:val="2"/>
            <w:shd w:val="clear" w:color="auto" w:fill="CCEEFF"/>
          </w:tcPr>
          <w:p>
            <w:pPr>
              <w:jc w:val="right"/>
              <w:ind w:right="43"/>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(10,640)</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March 31, 2023:</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8,212,482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14,233</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(3,131)</w:t>
            </w: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62,002,649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393,938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(392,992)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72,952,124</w:t>
            </w: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415,045</w:t>
            </w:r>
          </w:p>
        </w:tc>
        <w:tc>
          <w:tcPr>
            <w:tcW w:w="180" w:type="dxa"/>
            <w:vAlign w:val="bottom"/>
          </w:tcPr>
          <w:p>
            <w:pPr>
              <w:spacing w:after="0"/>
              <w:rPr>
                <w:sz w:val="11"/>
                <w:szCs w:val="11"/>
                <w:color w:val="auto"/>
              </w:rPr>
            </w:pPr>
          </w:p>
        </w:tc>
        <w:tc>
          <w:tcPr>
            <w:tcW w:w="22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(381,549)</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33,569</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March 31, 2024:</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Initial adoption of ASU 2020-06</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(4,595)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73,052,124</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415,633</w:t>
            </w: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(385,920)</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29,786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an amount equal to less than $1.</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Authorized – as of March 31, 2024 and December 31, 2023 – 185,000,000 shares.</w:t>
      </w:r>
    </w:p>
    <w:p>
      <w:pPr>
        <w:spacing w:after="0" w:line="22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loss to net cash provided by (used in) operating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income,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deferred tax asset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(gain) on amounts funded in respect of employee rights upon retirement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(decrease) in contracts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 accounts receivable-trade and 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inventories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short-term 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 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1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22"/>
                <w:szCs w:val="22"/>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 new operating lease liabilities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1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Interest received</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7"/>
                <w:szCs w:val="17"/>
                <w:color w:val="auto"/>
              </w:rPr>
            </w:pPr>
          </w:p>
        </w:tc>
        <w:tc>
          <w:tcPr>
            <w:tcW w:w="600" w:type="dxa"/>
            <w:vAlign w:val="bottom"/>
            <w:tcBorders>
              <w:bottom w:val="single" w:sz="8" w:color="auto"/>
            </w:tcBorders>
          </w:tcPr>
          <w:p>
            <w:pPr>
              <w:jc w:val="right"/>
              <w:ind w:right="41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right="140"/>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with Gaucher disease. Elfabrio, which the Company referred to as PRX-102 during its development stage, has been approved for marketing in the United States, the European Union, Great Britain, Switzerland and Israel. The Company has partnered with Chiesi Farmaceutici S.p.A. (“Chiesi”) for the development and commercialization of Elfabrio.</w:t>
      </w:r>
    </w:p>
    <w:p>
      <w:pPr>
        <w:spacing w:after="0" w:line="172" w:lineRule="exact"/>
        <w:rPr>
          <w:rFonts w:ascii="Times New Roman" w:cs="Times New Roman" w:eastAsia="Times New Roman" w:hAnsi="Times New Roman"/>
          <w:sz w:val="18"/>
          <w:szCs w:val="18"/>
          <w:b w:val="1"/>
          <w:bCs w:val="1"/>
          <w:color w:val="auto"/>
        </w:rPr>
      </w:pPr>
    </w:p>
    <w:p>
      <w:pPr>
        <w:ind w:left="98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licensed the rights to commercialize Elelyso worldwide (other than Brazil) to Pfizer Inc. (“Pfizer”), and in Brazil to Fundação Oswaldo Cruz (“Fiocruz”), an arm of the Brazilian Ministry of Health (the “Brazilian MoH”). Elelyso is marketed as BioManguinhos alfataliglicerase in Brazil.</w:t>
      </w:r>
    </w:p>
    <w:p>
      <w:pPr>
        <w:spacing w:after="0" w:line="135" w:lineRule="exact"/>
        <w:rPr>
          <w:rFonts w:ascii="Times New Roman" w:cs="Times New Roman" w:eastAsia="Times New Roman" w:hAnsi="Times New Roman"/>
          <w:sz w:val="18"/>
          <w:szCs w:val="18"/>
          <w:b w:val="1"/>
          <w:bCs w:val="1"/>
          <w:color w:val="auto"/>
        </w:rPr>
      </w:pPr>
    </w:p>
    <w:p>
      <w:pPr>
        <w:ind w:left="980" w:right="2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leveraging its track record of success as the Company progresses with the development of treatments for rare and orphan diseases. Accordingly, the Company is turning its focus to new, early-stage product candidates that treat indications for which there are high unmet needs in terms of efficacy and safety, including renal diseases. Treatments of interest will address both genetic and non-genetic diseases. The Company intends to use its ProCellEx platform and PEGylization capabilities, as well as other modalities such as small molecules and antibodies, to take advantage of highly innovative opportunities. The Company is also exploring novel platform technologies.</w:t>
      </w:r>
    </w:p>
    <w:p>
      <w:pPr>
        <w:spacing w:after="0" w:line="146" w:lineRule="exact"/>
        <w:rPr>
          <w:rFonts w:ascii="Times New Roman" w:cs="Times New Roman" w:eastAsia="Times New Roman" w:hAnsi="Times New Roman"/>
          <w:sz w:val="18"/>
          <w:szCs w:val="18"/>
          <w:b w:val="1"/>
          <w:bCs w:val="1"/>
          <w:color w:val="auto"/>
        </w:rPr>
      </w:pPr>
    </w:p>
    <w:p>
      <w:pPr>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5, 2023, the European Commission (“EC”) announced that it had approved the Marketing Authorization Application (“MAA”) for Elfabrio and on May 9, 2023, the U.S. Food and Drug Administration (“FDA”) announced that it had approved the Biologics License Application (“BLA”) for Elfabrio, each for adult patients with a confirmed diagnosis of Fabry disease. Both approvals cover the 1 mg/kg every two weeks dosage. The European Medicines Agency (“EMA”) approval followed the February 2023 adoption of a positive opinion and recommendation of marketing authorization for Elfabrio by the EMA’s Committee for Medicinal Products for Human Use the (“CHMP”).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60" w:lineRule="exact"/>
        <w:rPr>
          <w:rFonts w:ascii="Times New Roman" w:cs="Times New Roman" w:eastAsia="Times New Roman" w:hAnsi="Times New Roman"/>
          <w:sz w:val="18"/>
          <w:szCs w:val="18"/>
          <w:b w:val="1"/>
          <w:bCs w:val="1"/>
          <w:color w:val="auto"/>
        </w:rPr>
      </w:pPr>
    </w:p>
    <w:p>
      <w:pPr>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two exclusive global licensing and supply agreements for Elfabrio with Chiesi.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60" w:lineRule="exact"/>
        <w:rPr>
          <w:rFonts w:ascii="Times New Roman" w:cs="Times New Roman" w:eastAsia="Times New Roman" w:hAnsi="Times New Roman"/>
          <w:sz w:val="18"/>
          <w:szCs w:val="18"/>
          <w:b w:val="1"/>
          <w:bCs w:val="1"/>
          <w:color w:val="auto"/>
        </w:rPr>
      </w:pPr>
    </w:p>
    <w:p>
      <w:pPr>
        <w:ind w:left="98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Elfabrio was the subject of a phase III clinical program studying the drug as a treatment of patients with Fabry disease, a rare, genetic lysosomal disorder. The phase III clinical program included three separate studies, which are referred to as the BALANCE study, the BRIDGE study and the BRIGHT study. The phase III clinical program analyzed two potential dosing regimens: 1 mg/kg every two weeks and 2 mg/kg every four weeks. In addition, the phase III clinical program included two</w:t>
      </w:r>
    </w:p>
    <w:p>
      <w:pPr>
        <w:spacing w:after="0" w:line="3" w:lineRule="exact"/>
        <w:rPr>
          <w:sz w:val="20"/>
          <w:szCs w:val="20"/>
          <w:color w:val="auto"/>
        </w:rPr>
      </w:pPr>
    </w:p>
    <w:p>
      <w:pPr>
        <w:jc w:val="both"/>
        <w:ind w:left="980" w:right="160"/>
        <w:spacing w:after="0" w:line="250" w:lineRule="auto"/>
        <w:rPr>
          <w:sz w:val="20"/>
          <w:szCs w:val="20"/>
          <w:color w:val="auto"/>
        </w:rPr>
      </w:pPr>
      <w:r>
        <w:rPr>
          <w:rFonts w:ascii="Times New Roman" w:cs="Times New Roman" w:eastAsia="Times New Roman" w:hAnsi="Times New Roman"/>
          <w:sz w:val="18"/>
          <w:szCs w:val="18"/>
          <w:color w:val="auto"/>
        </w:rPr>
        <w:t>extension studies in which subjects that participated in the Company’s phase I/II clinical trials and phase III clinical trials had the opportunity to enroll and continue to be treated with PRX-102. As of March 1, 2023, sponsorship of the two open label extension studies was transferred to Chiesi, which is now administering the extension studies.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From time to time, and as Elfabrio is approved for marketing in different jurisdictions, participants withdraw from the open label extension studies. Some of the withdrawals transfer to a commercial setting, others withdraw for other reasons.</w:t>
      </w:r>
    </w:p>
    <w:p>
      <w:pPr>
        <w:spacing w:after="0" w:line="148" w:lineRule="exact"/>
        <w:rPr>
          <w:sz w:val="20"/>
          <w:szCs w:val="20"/>
          <w:color w:val="auto"/>
        </w:rPr>
      </w:pPr>
    </w:p>
    <w:p>
      <w:pPr>
        <w:ind w:left="980" w:right="200"/>
        <w:spacing w:after="0" w:line="266" w:lineRule="auto"/>
        <w:rPr>
          <w:sz w:val="20"/>
          <w:szCs w:val="20"/>
          <w:color w:val="auto"/>
        </w:rPr>
      </w:pPr>
      <w:r>
        <w:rPr>
          <w:rFonts w:ascii="Times New Roman" w:cs="Times New Roman" w:eastAsia="Times New Roman" w:hAnsi="Times New Roman"/>
          <w:sz w:val="18"/>
          <w:szCs w:val="18"/>
          <w:color w:val="auto"/>
        </w:rPr>
        <w:t>The BLA for Elfabrio for the treatment of adult patients with Fabry disease was resubmitted to the FDA on November 9, 2022. An initial BLA for Elfabrio was submitted to the FDA on May 27, 2020 under the FDA’s Accelerated Approval pathway, but resulted in a Complete Response Letter (“CRL”).</w:t>
      </w:r>
    </w:p>
    <w:p>
      <w:pPr>
        <w:spacing w:after="0" w:line="149"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MAA was submitted to the EMA on February 7, 2022, after the October 8, 2021 meeting the Company held, together with Chiesi, with the Rapporteur and Co-Rapporteur of the EMA regarding PRX-102.</w:t>
      </w:r>
    </w:p>
    <w:p>
      <w:pPr>
        <w:spacing w:after="0" w:line="148" w:lineRule="exact"/>
        <w:rPr>
          <w:sz w:val="20"/>
          <w:szCs w:val="20"/>
          <w:color w:val="auto"/>
        </w:rPr>
      </w:pPr>
    </w:p>
    <w:p>
      <w:pPr>
        <w:ind w:left="980"/>
        <w:spacing w:after="0" w:line="272" w:lineRule="auto"/>
        <w:rPr>
          <w:sz w:val="20"/>
          <w:szCs w:val="20"/>
          <w:color w:val="auto"/>
        </w:rPr>
      </w:pPr>
      <w:r>
        <w:rPr>
          <w:rFonts w:ascii="Times New Roman" w:cs="Times New Roman" w:eastAsia="Times New Roman" w:hAnsi="Times New Roman"/>
          <w:sz w:val="17"/>
          <w:szCs w:val="17"/>
          <w:color w:val="auto"/>
        </w:rPr>
        <w:t xml:space="preserve">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(Study PB-102-F01/02) with confirmatory evidence provided by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(also referred to as Study PB-102-F20). The FDA review team also concluded that the </w:t>
      </w:r>
      <w:r>
        <w:rPr>
          <w:rFonts w:ascii="Times New Roman" w:cs="Times New Roman" w:eastAsia="Times New Roman" w:hAnsi="Times New Roman"/>
          <w:sz w:val="17"/>
          <w:szCs w:val="17"/>
          <w:i w:val="1"/>
          <w:iCs w:val="1"/>
          <w:color w:val="auto"/>
        </w:rPr>
        <w:t xml:space="preserve">BALANCE </w:t>
      </w:r>
      <w:r>
        <w:rPr>
          <w:rFonts w:ascii="Times New Roman" w:cs="Times New Roman" w:eastAsia="Times New Roman" w:hAnsi="Times New Roman"/>
          <w:sz w:val="17"/>
          <w:szCs w:val="17"/>
          <w:color w:val="auto"/>
        </w:rPr>
        <w:t>study met its primary efficacy endpoint, which assessed the annualized rate of change in eGFR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glomerular filtration rate) over 104 weeks. However, the FDA also determined that the results from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did not support a non-inferiority claim to the comparator product due to the lack of data to support a non-inferiority margin.</w:t>
      </w:r>
    </w:p>
    <w:p>
      <w:pPr>
        <w:spacing w:after="0" w:line="158" w:lineRule="exact"/>
        <w:rPr>
          <w:sz w:val="20"/>
          <w:szCs w:val="20"/>
          <w:color w:val="auto"/>
        </w:rPr>
      </w:pPr>
    </w:p>
    <w:p>
      <w:pPr>
        <w:ind w:left="980" w:right="100"/>
        <w:spacing w:after="0" w:line="289" w:lineRule="auto"/>
        <w:rPr>
          <w:sz w:val="20"/>
          <w:szCs w:val="20"/>
          <w:color w:val="auto"/>
        </w:rPr>
      </w:pPr>
      <w:r>
        <w:rPr>
          <w:rFonts w:ascii="Times New Roman" w:cs="Times New Roman" w:eastAsia="Times New Roman" w:hAnsi="Times New Roman"/>
          <w:sz w:val="17"/>
          <w:szCs w:val="17"/>
          <w:color w:val="auto"/>
        </w:rPr>
        <w:t>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drug candidates.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product pipeline currently includes, among other candidates:</w:t>
      </w:r>
    </w:p>
    <w:p>
      <w:pPr>
        <w:spacing w:after="0" w:line="212" w:lineRule="exact"/>
        <w:rPr>
          <w:sz w:val="20"/>
          <w:szCs w:val="20"/>
          <w:color w:val="auto"/>
        </w:rPr>
      </w:pPr>
    </w:p>
    <w:p>
      <w:pPr>
        <w:ind w:left="980" w:right="2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uncontrolled gout; and</w:t>
      </w:r>
    </w:p>
    <w:p>
      <w:pPr>
        <w:spacing w:after="0" w:line="134" w:lineRule="exact"/>
        <w:rPr>
          <w:rFonts w:ascii="Times New Roman" w:cs="Times New Roman" w:eastAsia="Times New Roman" w:hAnsi="Times New Roman"/>
          <w:sz w:val="18"/>
          <w:szCs w:val="18"/>
          <w:color w:val="auto"/>
        </w:rPr>
      </w:pPr>
    </w:p>
    <w:p>
      <w:pPr>
        <w:ind w:left="980" w:right="54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the Company’s plant cell-expressed PEGylated recombinant human DNase I product candidate being designed to elongate half-life in the circulation for NETs-related diseases.</w:t>
      </w:r>
    </w:p>
    <w:p>
      <w:pPr>
        <w:spacing w:after="0" w:line="148" w:lineRule="exact"/>
        <w:rPr>
          <w:sz w:val="20"/>
          <w:szCs w:val="20"/>
          <w:color w:val="auto"/>
        </w:rPr>
      </w:pPr>
    </w:p>
    <w:p>
      <w:pPr>
        <w:jc w:val="both"/>
        <w:ind w:left="980" w:right="100"/>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35"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On March 21, 2023, the first patient was dosed in the Company’s phase I First-in-Human clinical trial of PRX-115. This study was designed to be conducted in approximately 56 adult male and female subjects in the dose escalation phase with seven sequential dosing cohorts, each composed of eight subjects (six active and two placebo). As of March 31, 2024, 56 patients have been dosed in this study. The Company has decided to expand the study by adding an eighth cohort with eight new subjects and to commence preparations for a phase II clinical trial of PRX-115.</w:t>
      </w:r>
    </w:p>
    <w:p>
      <w:pPr>
        <w:spacing w:after="0" w:line="156" w:lineRule="exact"/>
        <w:rPr>
          <w:sz w:val="20"/>
          <w:szCs w:val="20"/>
          <w:color w:val="auto"/>
        </w:rPr>
      </w:pPr>
    </w:p>
    <w:p>
      <w:pPr>
        <w:ind w:left="980" w:right="60"/>
        <w:spacing w:after="0" w:line="258" w:lineRule="auto"/>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“2021 Sales Agreement”) with H.C. Wainwright &amp; Co., LLC, as the Company’s sales agent (the “Agent”) which was amended on May 2, 2022. Pursuant to the terms of the 2021 Sales Agreement, the Company was able to sell, from time to time through the Agent, shares of its common stock, par value $0.001 per share (the “Common Stock”), having an aggregate offering price of up to $20.0 million (the “ATM Shares”).</w:t>
      </w:r>
    </w:p>
    <w:p>
      <w:pPr>
        <w:spacing w:after="0" w:line="143"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During the term of the 2021 Sales Agreement which ended during the quarter ended March 31, 2023, the Company sold a total of 13,980,060 ATM Shares for total gross proceeds of approximately $20.0 million thereby completing the ATM program under said agreement.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80"/>
        <w:spacing w:after="0" w:line="281" w:lineRule="auto"/>
        <w:rPr>
          <w:sz w:val="20"/>
          <w:szCs w:val="20"/>
          <w:color w:val="auto"/>
        </w:rPr>
      </w:pPr>
      <w:r>
        <w:rPr>
          <w:rFonts w:ascii="Times New Roman" w:cs="Times New Roman" w:eastAsia="Times New Roman" w:hAnsi="Times New Roman"/>
          <w:sz w:val="17"/>
          <w:szCs w:val="17"/>
          <w:color w:val="auto"/>
        </w:rPr>
        <w:t>On February 27, 2023, the Company entered into an At The Market Offering Agreement (the “2023 Sales Agreement”) with the Agent. Pursuant to the terms of the 2023 Sales Agreement, the Company may sell, from time to time through the Agent, ATM Shares having an aggregate offering price of up to $20.0 million. As of March 31, 2024, shares of Common Stock for total gross proceeds of approximately $6.4 million remain available to be sold under the 2023 Sales Agreement.</w:t>
      </w:r>
    </w:p>
    <w:p>
      <w:pPr>
        <w:spacing w:after="0" w:line="124"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and to receive additional payments of up to $320.0 million, in the aggregate, in regulatory and commercial milestone payments. Under the Chiesi US Agreement, Protalix Ltd. is entitled to payments of up to a maximum of $20.0 million to cover development costs for pegunigalsidase alfa and to receive additional payments of up to a maximum of $760.0 million, in the aggregate, in regulatory and commercial milestone payments. To date, Protalix Ltd. has received the complete amount of development costs to which it is entitled under the Chiesi Agreements. In addition, following the approval of Elfabrio by the FDA, the Company received a milestone payment equal to $20.0 million.</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May 13, 2021, the Company signed a binding term sheet with Chiesi pursuant to which the Company and Chiesi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amended the Chiesi Agreements in order to provide the Company with near-term capital. Chiesi agreed to make 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 million payment to the Company before the end of the second quarter of 2021 in exchange for a $25.0 million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reduction in a longer term regulatory milestone payment provided in the Chiesi EX-US Agreement. All other regulatory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commercial milestone payments remain unchanged. The Company received the payment in June 2021. The Company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also agreed to negotiate certain manufacturing related matters.</w:t>
      </w:r>
    </w:p>
    <w:p>
      <w:pPr>
        <w:spacing w:after="0" w:line="139" w:lineRule="exact"/>
        <w:rPr>
          <w:sz w:val="20"/>
          <w:szCs w:val="20"/>
          <w:color w:val="auto"/>
        </w:rPr>
      </w:pPr>
    </w:p>
    <w:p>
      <w:pPr>
        <w:ind w:left="980" w:right="100"/>
        <w:spacing w:after="0" w:line="254"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is required to manufacture all of the Elfabrio drug substance needed under the agreements, subject to certain exceptions, and Chiesi will purchase Elfabrio drug product from Protalix, subject to certain terms and conditions. The consideration for Protalix Ltd. is based on the drug product supplied to Chiesi and the average selling price of the drug product in the relevant territory multiplied by tiered payments as described in the relevant agreement. Under the Chiesi Ex-US Agreement, the price payable to the Company for drug product supplied is based on a range of 15% to 35% of the average selling price of the drug product in the applicable territory, and under the Chiesi US Agreement, such price is based on a range of 15% to 40% of the average selling price of the drug product in the United States.</w:t>
      </w:r>
    </w:p>
    <w:p>
      <w:pPr>
        <w:spacing w:after="0" w:line="111"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On August 29, 2022, the Company entered into a Fill/Finish Agreement (the “F/F Agreement”) and a Letter Agreement (the “Letter Agreement”), in each case with Chiesi. The Company agreed to supply Chiesi with drug substance for pegunigalsidase alfa in connection with the commercial fill/finish services. Under the F/F Agreement, and, following relevant technology and technical information transfer activities, Chiesi agreed, among other things, to provide the Company with commercial fill/finish services for pegunigalsidase alfa, including to support the anticipated global launch of pegunigalsidase alfa.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w:t>
      </w:r>
    </w:p>
    <w:p>
      <w:pPr>
        <w:spacing w:after="0" w:line="124" w:lineRule="exact"/>
        <w:rPr>
          <w:sz w:val="20"/>
          <w:szCs w:val="20"/>
          <w:color w:val="auto"/>
        </w:rPr>
      </w:pPr>
    </w:p>
    <w:p>
      <w:pPr>
        <w:ind w:left="980" w:right="60"/>
        <w:spacing w:after="0" w:line="254" w:lineRule="auto"/>
        <w:rPr>
          <w:sz w:val="20"/>
          <w:szCs w:val="20"/>
          <w:color w:val="auto"/>
        </w:rPr>
      </w:pPr>
      <w:r>
        <w:rPr>
          <w:rFonts w:ascii="Times New Roman" w:cs="Times New Roman" w:eastAsia="Times New Roman" w:hAnsi="Times New Roman"/>
          <w:sz w:val="18"/>
          <w:szCs w:val="18"/>
          <w:color w:val="auto"/>
        </w:rPr>
        <w:t>Since its approval by the FDA, taliglucerase alfa has been marketed by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24" w:lineRule="exact"/>
        <w:rPr>
          <w:sz w:val="20"/>
          <w:szCs w:val="20"/>
          <w:color w:val="auto"/>
        </w:rPr>
      </w:pPr>
    </w:p>
    <w:p>
      <w:pPr>
        <w:ind w:left="980" w:right="100"/>
        <w:spacing w:after="0" w:line="255"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Fiocruz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supply BioManguinhos alfataliglicerase to Fiocruz and patients continue to be treated with BioManguinhos alfataliglicerase in Brazil.</w:t>
      </w:r>
    </w:p>
    <w:p>
      <w:pPr>
        <w:spacing w:after="0" w:line="94"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7"/>
          <w:szCs w:val="17"/>
          <w:color w:val="auto"/>
        </w:rPr>
        <w:t>Because the Company’s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At the same time, clashes between Israel and Hezbollah in Lebanon have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Since the outbreak of the war, other regional actors, including Iran, have taken military action against Israel. It is currently not possible to predict the duration or severity of the ongoing conflict or its effects on the Company’s business, operations and financial conditions. The ongoing conflict is rapidly evolving and developing, and could disrupt certain of the Company’s business and operations, among others. The Company has elected to store manufactured drug substance in multiple locations, both within and outside of Israel, to mitigate the risk of loss due to the military operations. As of the issuance of these financial statements, the impact of the war has not had an adverse effect on the Company’s operations.</w:t>
      </w:r>
    </w:p>
    <w:p>
      <w:pPr>
        <w:spacing w:after="0" w:line="103" w:lineRule="exact"/>
        <w:rPr>
          <w:sz w:val="20"/>
          <w:szCs w:val="20"/>
          <w:color w:val="auto"/>
        </w:rPr>
      </w:pPr>
    </w:p>
    <w:p>
      <w:pPr>
        <w:ind w:left="980" w:right="260"/>
        <w:spacing w:after="0" w:line="255"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the product candidates. Under the terms of the Company’s outstanding 7.50% Senior Secured Convertible Notes due September 2024 (the “2024 Notes”), the Company is required to comply with certain financial covenants, including the maintenance of a minimum cash balance of at least $7.5 million. As of March 31, 2024, the Company is in compliance with all such covenants. The Company believes that its cash, cash equivalents and short-term bank deposits as of March 31, 2024 are sufficient to satisfy the Company’s capital needs for at least 12 months from the date that these financial statements are issued.</w:t>
      </w:r>
    </w:p>
    <w:p>
      <w:pPr>
        <w:spacing w:after="0" w:line="117"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87" w:lineRule="exact"/>
        <w:rPr>
          <w:rFonts w:ascii="Times New Roman" w:cs="Times New Roman" w:eastAsia="Times New Roman" w:hAnsi="Times New Roman"/>
          <w:sz w:val="18"/>
          <w:szCs w:val="18"/>
          <w:b w:val="1"/>
          <w:bCs w:val="1"/>
          <w:color w:val="auto"/>
        </w:rPr>
      </w:pPr>
    </w:p>
    <w:p>
      <w:pPr>
        <w:ind w:left="98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2023, filed by the Company with the U.S. Securities and Exchange Commission (the “Commission”). The comparative balance sheet at December 31, 2023 has been derived from the audited financial statements at that date. There have been no material changes in our significant accounting policies as described in our consolidated financial statements for the year ended December 31, 2023.</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98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loss per share by dividing the net loss by the weighted average number of shares of Common Stock outstanding during each period.</w:t>
      </w:r>
    </w:p>
    <w:p>
      <w:pPr>
        <w:spacing w:after="0" w:line="121" w:lineRule="exact"/>
        <w:rPr>
          <w:rFonts w:ascii="Times New Roman" w:cs="Times New Roman" w:eastAsia="Times New Roman" w:hAnsi="Times New Roman"/>
          <w:sz w:val="18"/>
          <w:szCs w:val="18"/>
          <w:b w:val="1"/>
          <w:bCs w:val="1"/>
          <w:color w:val="auto"/>
        </w:rPr>
      </w:pPr>
    </w:p>
    <w:p>
      <w:pPr>
        <w:ind w:left="98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earnings per share is calculated by dividing the net loss by the weighted-average number of shares of Common Stock outstanding during each period increased to include the number of additional shares of Common Stock that would have been outstanding if the potentially dilutive shares had been issued.</w:t>
      </w:r>
    </w:p>
    <w:p>
      <w:pPr>
        <w:spacing w:after="0" w:line="149"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In computing diluted earnings per share, basic earnings per share are adjusted to take into account the potential dilution that could occur upon: (i) the exercise of options granted under employee stock compensation plans using the treasury</w:t>
      </w: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stock method; (ii) the exercise of warrants using the treasury stock method; and (iii) the conversion of the convertible notes using the “if-converted” method.</w:t>
      </w:r>
    </w:p>
    <w:p>
      <w:pPr>
        <w:spacing w:after="0" w:line="121"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Diluted loss per share does not include 36,292,208 shares of Common Stock underlying outstanding stock options, warrants and the 2024 Notes for the three months ended March 31, 2023 because the effect would be anti-dilutive. Diluted loss per share does not include 31,839,345 shares of Common Stock underlying outstanding stock options, warrants and the 2024 Notes for the three months ended March 31, 2024 because the effect would be anti-dilutive.</w:t>
      </w:r>
    </w:p>
    <w:p>
      <w:pPr>
        <w:spacing w:after="0" w:line="149"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229" w:lineRule="exact"/>
        <w:rPr>
          <w:rFonts w:ascii="Times New Roman" w:cs="Times New Roman" w:eastAsia="Times New Roman" w:hAnsi="Times New Roman"/>
          <w:sz w:val="18"/>
          <w:szCs w:val="18"/>
          <w:b w:val="1"/>
          <w:bCs w:val="1"/>
          <w:color w:val="auto"/>
        </w:rPr>
      </w:pPr>
    </w:p>
    <w:p>
      <w:pPr>
        <w:ind w:left="98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January 1, 2024, the Company accounted for its outstanding convertible notes using the guidance set forth in the Financial Accounting Standards Board (“FASB”) Accounting Standards Codification (“ASC”) 815 which required that the Company determine whether the embedded conversion option must be separated from the other features of the applicable note instrument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Company’s outstanding 2024 Notes were accounted for as a liability (debt) and equity component (conversion option) as the convertible notes may be settled wholly or partly in cash, at the option of the Company, when converted.</w:t>
      </w:r>
    </w:p>
    <w:p>
      <w:pPr>
        <w:spacing w:after="0" w:line="147" w:lineRule="exact"/>
        <w:rPr>
          <w:rFonts w:ascii="Times New Roman" w:cs="Times New Roman" w:eastAsia="Times New Roman" w:hAnsi="Times New Roman"/>
          <w:sz w:val="18"/>
          <w:szCs w:val="18"/>
          <w:b w:val="1"/>
          <w:bCs w:val="1"/>
          <w:color w:val="auto"/>
        </w:rPr>
      </w:pPr>
    </w:p>
    <w:p>
      <w:pPr>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 – 40)” (“ASU 2020-06”). ASU 2020-06 simplifies the accounting for convertible instruments by removing certain separation models in ASC 470-20, Debt—Debt with Conversion and Other Options, for convertible instruments. ASU 2020-06 updates the guidance on certain embedded conversion features that are not required to be accounted for as derivatives under Topic 815, Derivatives and Hedging, or that do not result in substantial premiums accounted for as paid-in capital, such that those features are no longer required to be separated from the host contract. The convertible debt instruments will be accounted for as a single liability measured at amortized cost. This will also result in the interest expense recognized for convertible debt instruments to be typically closer to the coupon interest rate when applying the guidance in Topic 835. On January 1, 2024, the Company adopted ASU 2020-06 using the modified retrospective method of adoption. Under this method, the Company applied the guidance to the 2024 Notes at the adoption date and was required to make an adjustment to January 1, 2024, opening accumulated deficit balance and additional paid in capital. The prior period consolidated financial statements have not been retrospectively adjusted and continue to be reported under the accounting standards in effect for those periods. Under ASU 2020-06, the 2024 Notes (debt and conversion option) are accounted for as a liability. The impact to the Company's consolidated balance sheet as of December 31, 2023 resulting from its adoption of ASU 2020-06 is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Updated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Effect of</w:t>
            </w: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414,652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impact of adoption of ASU 2020-06 on the condensed consolidated balance sheet as of March 31, 2024 and on the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Company’s condensed consolidated statement of operations for the three months ended March 31, 2024 was as follows: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9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Balances</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Adoption of</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Effect of</w:t>
            </w:r>
          </w:p>
        </w:tc>
      </w:tr>
      <w:tr>
        <w:trPr>
          <w:trHeight w:val="238"/>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ASU 2020-06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416,026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386,206</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bl>
    <w:p>
      <w:pPr>
        <w:spacing w:after="0" w:line="17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6"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6" w:lineRule="exact"/>
        <w:rPr>
          <w:rFonts w:ascii="Times New Roman" w:cs="Times New Roman" w:eastAsia="Times New Roman" w:hAnsi="Times New Roman"/>
          <w:sz w:val="18"/>
          <w:szCs w:val="18"/>
          <w:b w:val="1"/>
          <w:bCs w:val="1"/>
          <w:color w:val="auto"/>
        </w:rPr>
      </w:pPr>
    </w:p>
    <w:p>
      <w:pPr>
        <w:ind w:left="98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ASU 2020-06, which was issued by the FASB in August 2020 and adopted by the Company in January 2024, simplifies the accounting for certain financial instruments with characteristics of both liability and equity, including convertible instruments and contracts on an entity’s own equity. The amendments to this guidance are effective for fiscal years beginning after December 15, 2023, and interim periods within those fiscal years. See Note 1(d).</w:t>
      </w:r>
    </w:p>
    <w:p>
      <w:pPr>
        <w:spacing w:after="0" w:line="150"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6" w:lineRule="exact"/>
        <w:rPr>
          <w:rFonts w:ascii="Times New Roman" w:cs="Times New Roman" w:eastAsia="Times New Roman" w:hAnsi="Times New Roman"/>
          <w:sz w:val="18"/>
          <w:szCs w:val="18"/>
          <w:b w:val="1"/>
          <w:bCs w:val="1"/>
          <w:color w:val="auto"/>
        </w:rPr>
      </w:pPr>
    </w:p>
    <w:p>
      <w:pPr>
        <w:ind w:left="98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Early adoption is permitted, with the option to apply the standard retrospectively. The Company is currently evaluating this guidance to determine the impact it may have on its consolidated financial statements disclosures.</w:t>
      </w:r>
    </w:p>
    <w:p>
      <w:pPr>
        <w:spacing w:after="0" w:line="148" w:lineRule="exact"/>
        <w:rPr>
          <w:rFonts w:ascii="Times New Roman" w:cs="Times New Roman" w:eastAsia="Times New Roman" w:hAnsi="Times New Roman"/>
          <w:sz w:val="18"/>
          <w:szCs w:val="18"/>
          <w:b w:val="1"/>
          <w:bCs w:val="1"/>
          <w:color w:val="auto"/>
        </w:rPr>
      </w:pPr>
    </w:p>
    <w:p>
      <w:pPr>
        <w:ind w:left="98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of the disclosures required under ASC 280.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and related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at March 31, 2024 and December 31, 2023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2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inventory</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8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w:t>
      </w:r>
    </w:p>
    <w:p>
      <w:pPr>
        <w:spacing w:after="0" w:line="189" w:lineRule="exact"/>
        <w:rPr>
          <w:sz w:val="20"/>
          <w:szCs w:val="20"/>
          <w:color w:val="auto"/>
        </w:rPr>
      </w:pPr>
    </w:p>
    <w:p>
      <w:pPr>
        <w:jc w:val="both"/>
        <w:ind w:left="660" w:right="180"/>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9" w:lineRule="exact"/>
        <w:rPr>
          <w:sz w:val="20"/>
          <w:szCs w:val="20"/>
          <w:color w:val="auto"/>
        </w:rPr>
      </w:pPr>
    </w:p>
    <w:p>
      <w:pPr>
        <w:jc w:val="both"/>
        <w:ind w:left="660" w:right="18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21"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usually identical or close to their carrying value.</w:t>
      </w:r>
    </w:p>
    <w:p>
      <w:pPr>
        <w:spacing w:after="0" w:line="135" w:lineRule="exact"/>
        <w:rPr>
          <w:sz w:val="20"/>
          <w:szCs w:val="20"/>
          <w:color w:val="auto"/>
        </w:rPr>
      </w:pPr>
    </w:p>
    <w:p>
      <w:pPr>
        <w:ind w:left="640"/>
        <w:spacing w:after="0" w:line="266" w:lineRule="auto"/>
        <w:rPr>
          <w:sz w:val="20"/>
          <w:szCs w:val="20"/>
          <w:color w:val="auto"/>
        </w:rPr>
      </w:pPr>
      <w:r>
        <w:rPr>
          <w:rFonts w:ascii="Times New Roman" w:cs="Times New Roman" w:eastAsia="Times New Roman" w:hAnsi="Times New Roman"/>
          <w:sz w:val="18"/>
          <w:szCs w:val="18"/>
          <w:color w:val="auto"/>
        </w:rPr>
        <w:t>Based on a Level 3 measurement, as of March 31, 2024, the fair value of the $20.4 million aggregate principal amount of the Company’s outstanding 2024 Notes is approximately $21.2 million. The value of these notes was estimated by implementing the binomial model. The liability component was valued based on the Income Approach. The following parameters were used:</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80" w:type="dxa"/>
            <w:vAlign w:val="bottom"/>
            <w:tcBorders>
              <w:bottom w:val="single" w:sz="8" w:color="CCEEFF"/>
            </w:tcBorders>
          </w:tcPr>
          <w:p>
            <w:pPr>
              <w:spacing w:after="0"/>
              <w:rPr>
                <w:sz w:val="15"/>
                <w:szCs w:val="15"/>
                <w:color w:val="auto"/>
              </w:rPr>
            </w:pP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disaggregation of revenues: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20" w:type="dxa"/>
            <w:vAlign w:val="bottom"/>
          </w:tcPr>
          <w:p>
            <w:pPr>
              <w:spacing w:after="0"/>
              <w:rPr>
                <w:sz w:val="18"/>
                <w:szCs w:val="18"/>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Revenues from license and R&amp;D services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4,522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 TRANSACTIONS</w:t>
      </w:r>
    </w:p>
    <w:p>
      <w:pPr>
        <w:spacing w:after="0" w:line="189"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On January 15, 2024, the Company granted, with the approval of the Company’s compensation committee, 100,000 shares of restricted Common Stock, in the aggregate, to certain of the Company’s employees under the Company’s Amended and Restated 2006 Employee Stock Incentive Plan, as amended (the “Plan”). All such shares of restricted Common Stock vest over a three-year period in 12 equal quarterly increments. The Company estimated the fair value of the restricted stock on the date of grant to be approximately $0.2 million.</w:t>
      </w:r>
    </w:p>
    <w:p>
      <w:pPr>
        <w:sectPr>
          <w:pgSz w:w="11900" w:h="16838" w:orient="portrait"/>
          <w:cols w:equalWidth="0" w:num="1">
            <w:col w:w="9920"/>
          </w:cols>
          <w:pgMar w:left="980" w:top="661" w:right="99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40" w:right="196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TAXES ON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on income</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214" w:lineRule="exact"/>
              <w:rPr>
                <w:sz w:val="20"/>
                <w:szCs w:val="20"/>
                <w:color w:val="auto"/>
              </w:rPr>
            </w:pPr>
            <w:r>
              <w:rPr>
                <w:rFonts w:ascii="Calibri" w:cs="Calibri" w:eastAsia="Calibri" w:hAnsi="Calibri"/>
                <w:sz w:val="20"/>
                <w:szCs w:val="20"/>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taxes on income (tax benefit)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Company had an effective tax rate of (3)% for the three months ended March 31, 2024, compared to an effective tax rate of 7% for the three months ended March 31, 2023. For the three months ended March 31, 2024, the difference between the Company’s effective tax rate and the U.S. federal statutory rate of 21% was the result of forecasted profits derived primarily from U.S. taxable GILTI income mainly due to Section 174 of the U.S. Tax Cuts and Jobs Act, which was enacted in December 2017 (the “TCJA”).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SUPPLEMENTARY FINANCIAL STATEMENT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Sales reserve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9" w:lineRule="exact"/>
        <w:rPr>
          <w:sz w:val="20"/>
          <w:szCs w:val="20"/>
          <w:color w:val="auto"/>
        </w:rPr>
      </w:pPr>
    </w:p>
    <w:p>
      <w:pPr>
        <w:ind w:left="1300" w:right="46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9, 2024 the Company collected approximately $1.1 million from sales to Pfizer and on May 8, 2024 the Company collected approximately $2.6 million from sales to Brazil.</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89" w:lineRule="auto"/>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 2024, the Company granted, with the approval of the Company’s compensation committee, 263,960 shares of fully-vested restricted Common Stock, in the aggregate, to its President and Chief Executive Officer under the Plan. The Company estimated the fair value of the restricted stock on the date of grant to be approximately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2023. Some of the information contained in this discussion and analysis, particularly with respect to our plans and strategy for our business and related financing, includes forward-looking statements within the meanings of Section 27A of the Securities Act of 1933, as amended,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our subsidiaries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right="80" w:firstLine="656"/>
        <w:spacing w:after="0" w:line="217"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71" w:lineRule="exact"/>
        <w:rPr>
          <w:rFonts w:ascii="Times New Roman" w:cs="Times New Roman" w:eastAsia="Times New Roman" w:hAnsi="Times New Roman"/>
          <w:sz w:val="18"/>
          <w:szCs w:val="18"/>
          <w:color w:val="auto"/>
        </w:rPr>
      </w:pPr>
    </w:p>
    <w:p>
      <w:pPr>
        <w:ind w:right="6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FDA approval received for the product;</w:t>
      </w:r>
    </w:p>
    <w:p>
      <w:pPr>
        <w:spacing w:after="0" w:line="121" w:lineRule="exact"/>
        <w:rPr>
          <w:rFonts w:ascii="Times New Roman" w:cs="Times New Roman" w:eastAsia="Times New Roman" w:hAnsi="Times New Roman"/>
          <w:sz w:val="18"/>
          <w:szCs w:val="18"/>
          <w:color w:val="auto"/>
        </w:rPr>
      </w:pPr>
    </w:p>
    <w:p>
      <w:pPr>
        <w:ind w:right="4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war declared by Israel’s security cabinet against the Hamas terrorist organization located in the Gaza Strip, the military campaign against the Hezbollah and other terrorist activities and armed conflict, including as a result of the disruption of the operations of certain regulatory authorities and of certain of our suppliers, collaborative partners, licensees, clinical trial sites, distributors and customers, and the risk that the current hostilities will result in a greater regional conflict;</w:t>
      </w:r>
    </w:p>
    <w:p>
      <w:pPr>
        <w:spacing w:after="0" w:line="14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for our products and product candidates;</w:t>
      </w:r>
    </w:p>
    <w:p>
      <w:pPr>
        <w:spacing w:after="0" w:line="184" w:lineRule="exact"/>
        <w:rPr>
          <w:rFonts w:ascii="Times New Roman" w:cs="Times New Roman" w:eastAsia="Times New Roman" w:hAnsi="Times New Roman"/>
          <w:sz w:val="18"/>
          <w:szCs w:val="18"/>
          <w:color w:val="auto"/>
        </w:rPr>
      </w:pPr>
    </w:p>
    <w:p>
      <w:pPr>
        <w:ind w:right="8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2" w:lineRule="exact"/>
        <w:rPr>
          <w:rFonts w:ascii="Times New Roman" w:cs="Times New Roman" w:eastAsia="Times New Roman" w:hAnsi="Times New Roman"/>
          <w:sz w:val="18"/>
          <w:szCs w:val="18"/>
          <w:color w:val="auto"/>
        </w:rPr>
      </w:pPr>
    </w:p>
    <w:p>
      <w:pPr>
        <w:ind w:right="14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EMA or other health regulatory authorities for our other product candidates, and other risks relating to the review process;</w:t>
      </w:r>
    </w:p>
    <w:p>
      <w:pPr>
        <w:spacing w:after="0" w:line="134" w:lineRule="exact"/>
        <w:rPr>
          <w:rFonts w:ascii="Times New Roman" w:cs="Times New Roman" w:eastAsia="Times New Roman" w:hAnsi="Times New Roman"/>
          <w:sz w:val="18"/>
          <w:szCs w:val="18"/>
          <w:color w:val="auto"/>
        </w:rPr>
      </w:pPr>
    </w:p>
    <w:p>
      <w:pPr>
        <w:ind w:firstLine="656"/>
        <w:spacing w:after="0" w:line="266"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global conditions and developments such as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35" w:lineRule="exact"/>
        <w:rPr>
          <w:rFonts w:ascii="Times New Roman" w:cs="Times New Roman" w:eastAsia="Times New Roman" w:hAnsi="Times New Roman"/>
          <w:sz w:val="18"/>
          <w:szCs w:val="18"/>
          <w:color w:val="auto"/>
        </w:rPr>
      </w:pPr>
    </w:p>
    <w:p>
      <w:pPr>
        <w:ind w:right="10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ectPr>
          <w:pgSz w:w="11900" w:h="16838" w:orient="portrait"/>
          <w:cols w:equalWidth="0" w:num="1">
            <w:col w:w="9920"/>
          </w:cols>
          <w:pgMar w:left="980" w:top="661" w:right="99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9" w:lineRule="exact"/>
        <w:rPr>
          <w:rFonts w:ascii="Times New Roman" w:cs="Times New Roman" w:eastAsia="Times New Roman" w:hAnsi="Times New Roman"/>
          <w:sz w:val="17"/>
          <w:szCs w:val="17"/>
          <w:color w:val="auto"/>
        </w:rPr>
      </w:pPr>
    </w:p>
    <w:p>
      <w:pPr>
        <w:ind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and Chiesi;</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cash equivalents and short-term bank deposits;</w:t>
      </w:r>
    </w:p>
    <w:p>
      <w:pPr>
        <w:spacing w:after="0" w:line="184" w:lineRule="exact"/>
        <w:rPr>
          <w:rFonts w:ascii="Times New Roman" w:cs="Times New Roman" w:eastAsia="Times New Roman" w:hAnsi="Times New Roman"/>
          <w:sz w:val="18"/>
          <w:szCs w:val="18"/>
          <w:color w:val="auto"/>
        </w:rPr>
      </w:pPr>
    </w:p>
    <w:p>
      <w:pPr>
        <w:ind w:right="520"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make scheduled payments of the principal of, to pay interest on or to refinance our outstanding notes or any other indebtedness;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98" w:lineRule="exact"/>
        <w:rPr>
          <w:rFonts w:ascii="Times New Roman" w:cs="Times New Roman" w:eastAsia="Times New Roman" w:hAnsi="Times New Roman"/>
          <w:sz w:val="18"/>
          <w:szCs w:val="18"/>
          <w:color w:val="auto"/>
        </w:rPr>
      </w:pPr>
    </w:p>
    <w:p>
      <w:pPr>
        <w:ind w:right="400"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Fiocruz with its purchase obligations under our supply and technology transfer agreement, which may have a material adverse effect on us and may also result in the termination of such agreement;</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 developing;</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84" w:lineRule="exact"/>
        <w:rPr>
          <w:rFonts w:ascii="Times New Roman" w:cs="Times New Roman" w:eastAsia="Times New Roman" w:hAnsi="Times New Roman"/>
          <w:sz w:val="18"/>
          <w:szCs w:val="18"/>
          <w:color w:val="auto"/>
        </w:rPr>
      </w:pPr>
    </w:p>
    <w:p>
      <w:pPr>
        <w:ind w:right="100"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9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Company Developments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May 2024, we decided to expand our phase I First-in-Human clinical trial of PRX-115 by adding an eighth cohort with eight new patients. We also decided to commence preparations for a phase II clinical trial of PRX-115.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 in suspension. We are the first and only company to gain FDA approval of a protein produced through plant cell-based expression, and with the recent approval of Elfabrio, we now have two commercial proteins produced through our platform.</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 The system plays an important role in the execution of our corporate strategy as its allows us to develop and produce tailored complex recombinant therapeutic proteins and to genetically engineer and/or chemically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modify such proteins pre- and/or post-production. The engineering and modification of the therapeutic proteins have the potential to provide added clinical benefits by improving the biological characteristics (e.g., glycosylation, half-life, immunogenicity).</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manufacture of recombinant proteins which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4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131445</wp:posOffset>
            </wp:positionV>
            <wp:extent cx="6172200" cy="2623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78105</wp:posOffset>
            </wp:positionV>
            <wp:extent cx="6172200" cy="258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131445</wp:posOffset>
            </wp:positionV>
            <wp:extent cx="6172200" cy="1954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commercial products, each of which is an ERT; Elelyso and Elfabrio.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23 markets including the United States, Brazil, Israel and others.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09" w:lineRule="exact"/>
        <w:rPr>
          <w:sz w:val="20"/>
          <w:szCs w:val="20"/>
          <w:color w:val="auto"/>
        </w:rPr>
      </w:pPr>
    </w:p>
    <w:p>
      <w:pPr>
        <w:jc w:val="both"/>
        <w:ind w:right="260"/>
        <w:spacing w:after="0" w:line="226"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 $1.6 billion in 2023, is forecasted to be approximately $1.6 billion in 2024 and is forecasted to grow at a CAGR of approximately 1% from 2023-2029.</w:t>
      </w:r>
    </w:p>
    <w:p>
      <w:pPr>
        <w:spacing w:after="0" w:line="174"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18"/>
          <w:szCs w:val="18"/>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Sanofi Genzyme’s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Takeda’s (Shire) Vpriv.</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Elfabrio, our second commercial product, was approved by the EC for marketing in the EU and by the FDA for marketing in the United States in May 2023 for adult patients with Fabry disease. Both approvals cover the 1 mg/kg every two weeks dosage.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 According to the EMA, overall, the benefit/risk balance of Elfabrio is positive in the claimed indication (Fabry disease). The FDA publicly released the internal review documents for Elfabrio.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our phase I\II clinical trial of Fabry disease, with confirmatory evidence provided by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FDA review team also concluded that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met its primary efficacy endpoint, which 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6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August and September of 2023, Elfabrio was approved in Great Britain and Switzerland, respectively, and by the Israeli Ministry of Health in January 2024, for long-term enzyme replacement therapy in adult patients with a confirmed diagnosis of Fabry disease.</w:t>
      </w:r>
    </w:p>
    <w:p>
      <w:pPr>
        <w:spacing w:after="0" w:line="121"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ERTs for Fabry disease are agalsidase alfa, agalsidase beta, and now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market for Fabry disease, that includes agalsidase beta, Sanofi’s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alfa, Shire’s (acquired by Takeda</w:t>
      </w:r>
    </w:p>
    <w:p>
      <w:pPr>
        <w:spacing w:after="0" w:line="180" w:lineRule="auto"/>
        <w:rPr>
          <w:sz w:val="20"/>
          <w:szCs w:val="20"/>
          <w:color w:val="auto"/>
        </w:rPr>
      </w:pPr>
      <w:r>
        <w:rPr>
          <w:rFonts w:ascii="Times New Roman" w:cs="Times New Roman" w:eastAsia="Times New Roman" w:hAnsi="Times New Roman"/>
          <w:sz w:val="17"/>
          <w:szCs w:val="17"/>
          <w:color w:val="auto"/>
        </w:rPr>
        <w:t>Pharmaceutical Company Limited) Replagal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Amicus Therapeutics’ Galafold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among others, is forecasted to be approximately</w:t>
      </w:r>
    </w:p>
    <w:p>
      <w:pPr>
        <w:spacing w:after="0"/>
        <w:rPr>
          <w:sz w:val="20"/>
          <w:szCs w:val="20"/>
          <w:color w:val="auto"/>
        </w:rPr>
      </w:pPr>
      <w:r>
        <w:rPr>
          <w:rFonts w:ascii="Times New Roman" w:cs="Times New Roman" w:eastAsia="Times New Roman" w:hAnsi="Times New Roman"/>
          <w:sz w:val="18"/>
          <w:szCs w:val="18"/>
          <w:color w:val="auto"/>
        </w:rPr>
        <w:t>$2.0 billion in 2023 and is forecasted to grow at a CAGR of 6.8% from 2023-2029 reaching approximately $3.1 billion in annual sales at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end of the decade.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Regulatory Background</w:t>
      </w:r>
    </w:p>
    <w:p>
      <w:pPr>
        <w:spacing w:after="0" w:line="189" w:lineRule="exact"/>
        <w:rPr>
          <w:sz w:val="20"/>
          <w:szCs w:val="20"/>
          <w:color w:val="auto"/>
        </w:rPr>
      </w:pPr>
    </w:p>
    <w:p>
      <w:pPr>
        <w:jc w:val="both"/>
        <w:ind w:right="560"/>
        <w:spacing w:after="0" w:line="257" w:lineRule="auto"/>
        <w:rPr>
          <w:sz w:val="20"/>
          <w:szCs w:val="20"/>
          <w:color w:val="auto"/>
        </w:rPr>
      </w:pPr>
      <w:r>
        <w:rPr>
          <w:rFonts w:ascii="Times New Roman" w:cs="Times New Roman" w:eastAsia="Times New Roman" w:hAnsi="Times New Roman"/>
          <w:sz w:val="18"/>
          <w:szCs w:val="18"/>
          <w:color w:val="auto"/>
        </w:rPr>
        <w:t>On November 9, 2022, we, together with Chiesi, resubmitted to the FDA a BLA for PRX-102, the name we assigned to Elfabrio internally prior to its approvals, for the potential treatment of adult patients with Fabry disease. The initial BLA for PRX-102 was submitted to the FDA on May 27, 2020 under the FDA’s Accelerated Approval pathway, and the submission was subsequently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accepted by the FDA and granted Priority Review designation. However, in April 2021, the FDA issued a complete response letter, or CRL, in response to the initial BLA. In preparation for the BLA resubmission, we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had the potential to support a traditional approval of PRX-102 for the treatment of Fabry disease. The data package in the BLA resubmission, given the change in the regulatory landscape in the United States, included the final two-year analyses of our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which were completed in July 2022, and long-term data from our open-label extension study of PRX-102 in adult patients treated with a</w:t>
      </w:r>
    </w:p>
    <w:p>
      <w:pPr>
        <w:spacing w:after="0" w:line="2"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 xml:space="preserve">2 mg/kg every four weeks dosage of PRX-102. The initial BLA included a comprehensive set of preclinical, clinical and manufacturing data compiled from our completed phase I/II clinical trial of PRX-102, including the related extension study, interim clinical data from our phase III BRIDGE clinical trial of PRX-102 for the treatment of Fabry disease, or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safety data from our then on-going clinical studies of PRX-102 in adult patients receiving 1 mg/kg every two weeks.</w:t>
      </w:r>
    </w:p>
    <w:p>
      <w:pPr>
        <w:spacing w:after="0" w:line="14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 concerns relating to the potential safety or efficacy of PRX-102 in the submitted data package were raised in the CRL. The FDA noted in CRL that the FDA noted that an inspection of our manufacturing facility in Carmiel, Israel, including the FDA’s subsequent assessment of any related FDA findings, is required before the FDA can approve a new drug. Due to travel restrictions during the COVID-19 pandemic, the FDA was unable to conduct the required pre-approval inspection during the review cycle. In addition to the foregoing, the FDA noted that agalsidase beta had recently been converted to full approval, a change in regulatory circumstances which had to be addressed in the resubmitted BLA for PRX-102.</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February 7, 2022, the PRX-102 MAA was submitted to, and subsequently validated by, the EMA. The submission was made after the October 8, 2021 meeting we held, together with Chiesi, with the Rapporteur and Co-Rapporteur of the EMA regarding PRX-102. At the meeting, we and Chiesi discussed the scope of the anticipated MAA submission for the European Union, and the Rapporteur and Co-Rapporteur were generally supportive of the planned MAA submission. The MAA submission included a comprehensive set of preclinical, clinical and manufacturing data compiled from our completed and ongoing clinical studies evaluating PRX-102 as a potential alternative treatment for adult patients with Fabry disease. The submission was supported by the 12-month interim data analysis generated from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was released in June 2021. Data generated from the completed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phase I/II clinical trial in naive or untreated patients, and from the extension studies with 1 mg/kg every two weeks were also included in the submission. In addition, the MAA included data from the completed 12-month switch–over phase III BRIGHT clinical trial of PRX-102 for the treatment of Fabry disease for adult patients with Fabry disease treated with the 2 mg/kg every four weeks dosage, or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As part of the EMA review process, we and Chiesi received the Day 120 list of questions in June 2022, and the full response package thereto was submitted to the EMA in September 2022 (following a 3-month clock-stop period). An essential portion of the response included the submission of the final analysis of the two-year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final Clinical Study Report), and an interim analysis of the long-term, open-label extension study of PRX-102 in adult patients with Fabry disease treated with the 2 mg/kg every four weeks dosage.</w:t>
      </w:r>
    </w:p>
    <w:p>
      <w:pPr>
        <w:spacing w:after="0" w:line="15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February 24, 2023, we, together with Chiesi, announced that the CHMP had adopted a positive opinion, recommending marketing authorization for PRX-102. The CHMP opinion was then referred for final action to the EC. As disclosed above, Elfabrio was subsequently approved by the EC for marketing in the EU and in the United States in May 2023 for adult patients with Fabry disease. Both approvals cover the 1 mg/kg every two weeks dosage.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Key Trials and Design</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PRX-102 clinical development program was designed to show that PRX-102 has a potential clinical benefit in all adult Fabry patient populations when compared to the then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phase III clinical program included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all of which have been completed. In the phase III clinical program overall, two potential dosing regimens for PRX-102 were analyzed; 1 mg/kg every two weeks, with the potential for improved efficacy and safety offering a potential alternative to existing enzyme replacement therapies, and 2 mg/kg every four weeks. The phase III program was preceded by the phase I/II clinical trial, a dose range finding study in ERT-naïve adult patients with Fabry disease, which was completed in 2016.</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BALANCE Study</w:t>
      </w:r>
    </w:p>
    <w:p>
      <w:pPr>
        <w:spacing w:after="0" w:line="20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(PB-102-F20, NCT02795676) was a pivotal 24-month, randomized, double blind, active control study of PRX-102 in adult Fabry patients with deteriorating renal function designed to evaluate the safety and efficacy of 1 mg/kg of PRX-102</w:t>
      </w: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administered every two weeks compared to agalsidase beta. The Clinical Study Report for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completed in July 2022. The final analysis confirmed the positive top-line results (announced in April 2022) and favorable tolerability profile. A total of 78 patients who were previously treated with agalsidase beta for at least one year with an eGFR slope at screening worse than</w:t>
      </w:r>
    </w:p>
    <w:p>
      <w:pPr>
        <w:spacing w:after="0" w:line="1" w:lineRule="exact"/>
        <w:rPr>
          <w:sz w:val="20"/>
          <w:szCs w:val="20"/>
          <w:color w:val="auto"/>
        </w:rPr>
      </w:pPr>
    </w:p>
    <w:p>
      <w:pPr>
        <w:jc w:val="both"/>
        <w:ind w:right="160"/>
        <w:spacing w:after="0" w:line="222" w:lineRule="auto"/>
        <w:rPr>
          <w:sz w:val="20"/>
          <w:szCs w:val="20"/>
          <w:color w:val="auto"/>
        </w:rPr>
      </w:pPr>
      <w:r>
        <w:rPr>
          <w:rFonts w:ascii="Times New Roman" w:cs="Times New Roman" w:eastAsia="Times New Roman" w:hAnsi="Times New Roman"/>
          <w:sz w:val="18"/>
          <w:szCs w:val="18"/>
          <w:color w:val="auto"/>
        </w:rPr>
        <w:t>-2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5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TEAEs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(21.2%) patients in the PRX-102 arm experienced a total of 13 events compared to six (24.0%) patients experiencing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events in the agalsidase beta arm. The number of infusion-related reactions adjusted to 100 infusions is 0.5 for the PRX-102 arm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for agalsidase beta arm.</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Considering that in the trial patients in the PRX-102 arm were exposed for the first time to the novel enzyme, tolerability data appear favorable for PRX-102 and in-line with what was observed in the previous clinical studies of PRX-102.</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from both the PRX-102 and agalsidase beta treatment arms, 69 opted, with the advice of the treating physician, to receive PRX-102 1 mg/kg every two weeks in the long-term open-label extension study which is now sponsored by Chiesi.</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3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BRIDGE Study</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(PB-102-F30, NCT03018730) was a 12-month open-label, single arm switch-over study evaluating the safety and efficacy of PRX-102, 1 mg/kg infused every two weeks, in up to 22 Fabry patients previously treated with agalsidase alfa for at least two years and on a stable dose for at least six months. In the study, patients were screened and evaluated over three months while continuing agalsidase alfa treatment. The study was completed in December 2019.</w:t>
      </w:r>
    </w:p>
    <w:p>
      <w:pPr>
        <w:sectPr>
          <w:pgSz w:w="11900" w:h="16838" w:orient="portrait"/>
          <w:cols w:equalWidth="0" w:num="1">
            <w:col w:w="9920"/>
          </w:cols>
          <w:pgMar w:left="980" w:top="661" w:right="99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Final results of the data generated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showed substantial improvement in renal function as measured by mean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annualized eGFR slope in both male and female patients. Twenty of 22 patients completed the 12-month treatment duration. Eighteen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patients who completed the study opted to roll over to a long-term extension study and continue to be treated with PRX-102. In the</w:t>
      </w:r>
    </w:p>
    <w:p>
      <w:pPr>
        <w:spacing w:after="0" w:line="181" w:lineRule="auto"/>
        <w:rPr>
          <w:sz w:val="20"/>
          <w:szCs w:val="20"/>
          <w:color w:val="auto"/>
        </w:rPr>
      </w:pPr>
      <w:r>
        <w:rPr>
          <w:rFonts w:ascii="Times New Roman" w:cs="Times New Roman" w:eastAsia="Times New Roman" w:hAnsi="Times New Roman"/>
          <w:sz w:val="18"/>
          <w:szCs w:val="18"/>
          <w:color w:val="auto"/>
        </w:rPr>
        <w:t>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 to</w:t>
      </w:r>
    </w:p>
    <w:p>
      <w:pPr>
        <w:spacing w:after="0" w:line="181" w:lineRule="auto"/>
        <w:rPr>
          <w:sz w:val="20"/>
          <w:szCs w:val="20"/>
          <w:color w:val="auto"/>
        </w:rPr>
      </w:pPr>
      <w:r>
        <w:rPr>
          <w:rFonts w:ascii="Times New Roman" w:cs="Times New Roman" w:eastAsia="Times New Roman" w:hAnsi="Times New Roman"/>
          <w:sz w:val="17"/>
          <w:szCs w:val="17"/>
          <w:color w:val="auto"/>
        </w:rPr>
        <w:t>-1.19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on PRX-102 in all patients. Male patients improved from -6.36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w:t>
      </w:r>
    </w:p>
    <w:p>
      <w:pPr>
        <w:spacing w:after="0" w:line="180" w:lineRule="auto"/>
        <w:rPr>
          <w:sz w:val="20"/>
          <w:szCs w:val="20"/>
          <w:color w:val="auto"/>
        </w:rPr>
      </w:pPr>
      <w:r>
        <w:rPr>
          <w:rFonts w:ascii="Times New Roman" w:cs="Times New Roman" w:eastAsia="Times New Roman" w:hAnsi="Times New Roman"/>
          <w:sz w:val="17"/>
          <w:szCs w:val="17"/>
          <w:color w:val="auto"/>
        </w:rPr>
        <w:t>-1.73mL/min/1.73m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and female patients improved from -5.03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-0.21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Following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switch to PRX-102, there was a decrease in patients with progressing or fast progressing kidney disease which is consistent with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 goals for Fabry disease, as identified by Christoph Wanner, et. al., in 2019, and most patients achieved a stable status post-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switch.</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Of the 22 patients enrolled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 An immunogenicity assessment indicated that four out of 20 patients (20%) developed persistent ADAs over the course of the study, of which two had neutralizing activity.</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 patients that completed the trial, 18 opted, with the advice of the treating physician, to continue receiving PRX-102 1 mg/kg every two weeks in a long-term open-label extension study which is now sponsored by Chiesi.</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BRIGHT Study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(PB-102-F50, NCT03180840) was a multicenter, multinational open-label, switch-over study designed to evaluate the safety, efficacy and pharmacokinetics of treatment with 2 mg/kg of PRX-102 administered every four weeks for 52 weeks (a total of 14 infusions). The study was completed in June 2020. The 2 mg/kg every four weeks dosage has not been approved by the EMA, FDA or any other jurisdiction.</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5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 xml:space="preserve">The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First infusions of PRX-102 were administered under controlled conditions at the investigation site. Based on the protocol-specified criteria, patients were able to receive their PRX-102 infusions at a home care setup once the applicable Investigator and Sponsor Medical Monitor agreed that it was safe to do so. Safety and efficacy exploratory endpoints were assessed throughout the 52-week study.</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outcome measures show that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concentrations remained stable during the study with a mean change (±SE) of</w:t>
      </w:r>
    </w:p>
    <w:p>
      <w:pPr>
        <w:spacing w:after="0" w:line="44"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(1.39). Mean (SE) eGFR slope, at the end of the study, for the overall population, was -2.92 (1.05)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stability.</w:t>
      </w:r>
    </w:p>
    <w:p>
      <w:pPr>
        <w:spacing w:after="0" w:line="4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 Additional long term data is being collected as part of the ongoing long term extension study (PB-102-F51, NCT03614234) of the 2 mg/kg PRX-102 every four weeks dose.</w:t>
      </w:r>
    </w:p>
    <w:p>
      <w:pPr>
        <w:spacing w:after="0" w:line="1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29 opted, with the advice of the treating physician, to continue receiving PRX-102 2 mg/kg every four weeks in a long-term open-label extension study which is now sponsored by Chiesi. Two of such patients are being treated with 1 mg/kg every two weeks dosage.</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Study</w:t>
      </w:r>
    </w:p>
    <w:p>
      <w:pPr>
        <w:spacing w:after="0" w:line="20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phase I/II clinical trial of PRX-102 (NCT01678898) was a worldwide, multi-center, open-label, dose ranging study designed to evaluate the safety, tolerability, pharmacokinetics, immunogenicity and efficacy parameters of PRX-102 in adult patients with Fabry disease. It was completed in 2015.</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initiated the phase I\II study after PRX-102, in preclinical studies,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ADAs.</w:t>
      </w:r>
    </w:p>
    <w:p>
      <w:pPr>
        <w:spacing w:after="0" w:line="139"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color w:val="auto"/>
        </w:rPr>
        <w:t>Sixteen adult, naïve Fabry patients (9 male and 7 female) completed the phase I/II study, each in one of three dosing groups, 0.2 mg/kg, 1 mg/kg and 2 mg/kg. Each patient received IV infusions of PRX-102 every two weeks for 12 weeks, with efficacy follow-up after six-month and twelve-month periods.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4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53"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 xml:space="preserve">Of the patients who completed the trial, 10 patients opted to continue receiving PRX-102 in an open-label, 60-month extension study under which all patients were switched to receive 1 mg/kg of the drug, the selected dose for our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studies.</w:t>
      </w:r>
    </w:p>
    <w:p>
      <w:pPr>
        <w:sectPr>
          <w:pgSz w:w="11900" w:h="16838" w:orient="portrait"/>
          <w:cols w:equalWidth="0" w:num="1">
            <w:col w:w="9880"/>
          </w:cols>
          <w:pgMar w:left="980" w:top="661" w:right="1039" w:bottom="1440" w:gutter="0" w:footer="0" w:header="0"/>
        </w:sectPr>
      </w:pP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Extension Studies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were offered the opportunity to continue PRX-102 treatment in one of two long-term open-label extension studies. Overall, 126 subjects who participated in our PRX-102 clinical program initially opted, with the advice of the treating physician, to enroll in one of our long-term, open label, extension studies of PRX-102: 97 patients in the 1 mg/kg every two weeks extension study (PB-102-F60, NCT03566017) (10 subjects who completed an extension study from the phase I/II study, 18 subjects who completed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69 subjects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29 subjects who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2 mg/kg every four weeks extension study (PB-102-F51, NCT03614234). Two of the subjects in the PB-102-F51 study are being treated with 1 mg/kg every two weeks. As of March 1, 2023, sponsorship of the two extension studies was transferred to Chiesi, and Chiesi is now administering the open-label extension studies.</w:t>
      </w:r>
    </w:p>
    <w:p>
      <w:pPr>
        <w:spacing w:after="0" w:line="16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Over time, and as Elfabrio is approved for marketing in different jurisdictions, participants switch-out of the open-label extension studies. Most of them have transferred to a commercial setting; others withdraw for other reasons.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Pediatric FLY Study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Chiesi is sponsoring, with our collaborative efforts, a clinical trial entitled “Multi-Centre, Open-label Trial to Assess the Safety, Pharmacodynamics, Efficacy and Pharmacokinetics of pegunigalsidase alfa in Patients From 2 Years to Less Than 18 Years of Age With Confirmed Fabry Disease,” or the </w:t>
      </w:r>
      <w:r>
        <w:rPr>
          <w:rFonts w:ascii="Times New Roman" w:cs="Times New Roman" w:eastAsia="Times New Roman" w:hAnsi="Times New Roman"/>
          <w:sz w:val="18"/>
          <w:szCs w:val="18"/>
          <w:i w:val="1"/>
          <w:iCs w:val="1"/>
          <w:color w:val="auto"/>
        </w:rPr>
        <w:t>FLY</w:t>
      </w:r>
      <w:r>
        <w:rPr>
          <w:rFonts w:ascii="Times New Roman" w:cs="Times New Roman" w:eastAsia="Times New Roman" w:hAnsi="Times New Roman"/>
          <w:sz w:val="18"/>
          <w:szCs w:val="18"/>
          <w:color w:val="auto"/>
        </w:rPr>
        <w:t xml:space="preserve"> study (NCT06328608). The FLY study is currently in the start-up phase. The design of the study is based on the Initial Pediatric Study Plan (iPSP) agreed to with the FDA and the paediatric investigation plan (PIP) for Elfabrio, which has been accepted, as amended, by the Paediatric Committee (PDCO) of the EMA.</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Japanese RISE Study</w:t>
      </w:r>
    </w:p>
    <w:p>
      <w:pPr>
        <w:spacing w:after="0" w:line="2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Chiesi is currently enrolling patients in its clinical trial entitled “A Multicenter Open-Label Study to Evaluate the Safety, Pharmacokinetics, Pharmacodynamics, and Efficacy of Pegunigalsidase Alfa (PRX-102) in Japanese Patients With Fabry Disease,” or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(NCT05710692). The aim of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is to evaluate the safety and efficacy of pegunigalsidase alfa in Japanese patients (adults and adolescents) affected by Fabry disease. It is planned that a total of approximately 18-20 male and female Fabry disease patients between the ages of 13 and 60 years will be enrolled in the study which is being conducted in Japan.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Approved Products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with Chiesi Farmaceutici</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development cost reimbursements of $45.0 million, and is entitled to approximately $1.0 billion in potential milestone payments as well as additional payments as consideration for drug product supply. The additional payments for drug product supplied are based on the average selling price of the drug product in the relevant territory multiplied by tiered payments, as detailed below. During the quarter ended June 30, 2023, we received net proceeds of $20.0 million representing a milestone payment earned upon the FDA’s approval of Elfabrio for adult Fabry patients.</w:t>
      </w:r>
    </w:p>
    <w:p>
      <w:pPr>
        <w:spacing w:after="0" w:line="14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for drug product purchased from Protalix based on the average selling price of the drug product in the relevant territory multiplied by 15% to 35%, depending on the amount of annual net sales outside of the United States.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for drug product purchased from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Protalix based on the average selling price of the drug product in the United States multiplied by 15% to 40%, subject to certain terms and conditions, depending on the amount of annual net sales in the United States.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August 29, 2022, we entered into the F/F Agreement and the Letter Agreement with Chiesi. Under the F/F Agreement, we agreed to supply Chiesi with drug substance for PRX-102 and, following relevant technology and technical information transfer activities, Chiesi agreed, among other things, to provide us with commercial fill/finish services for PRX-102, including to support the anticipated global launch of PRX-102. The F/F Agreement will expire December 31, 2025, unless terminated earlier in accordance with its terms and may be extended by mutual agreement in writing for an additional period of seven years. The Letter Agreement changed our obligations and those of Chiesi under the License Agreements with respect to, among other things, the evaluation, selection and establishment of an initial alternate source of commercial fill/finish services for PRX-102. In addition, the Letter Agreement amended certain provisions of the License Agreements to reflect the appointment of Chiesi as a supplier to our company of commercial fill/finish services and the potential establishment of an initial alternate source of commercial fill/finish services.</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1, 2023, sponsorship of the two extension studies was transferred to Chiesi, and Chiesi is now administering the extension studies.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for Elelyso</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first 10-year period after the execution of the October 2015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(i.e., until October 2030).</w:t>
      </w:r>
    </w:p>
    <w:p>
      <w:pPr>
        <w:spacing w:after="0" w:line="15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maintain distribution rights to Elelyso in Brazil through a supply and technology transfer agreement with Fiocruz, an arm of the Brazilian MoH.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Pipeline</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corporate strategy includes development of treatments for rare and orphan diseases. To execute on the strategy,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PEGylization capabilities, as well as other modalities such as small molecules and antibodies, to take advantage of highly innovative opportunities. Our current pipeline of product candidates includes PEGylated uricase for the treatment of uncontrolled gout, Long Acting (LA) DNase I for the treatment of NETs and other technologies and preclinical assets.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PRX-115 is our recombinant PEGylated uricase (urate oxidase) – a chemically modified enzyme under development for the potential treatment of patients with uncontrolled gout. The uricase enzyme converts uric acid to allantoin, which is easily eliminated through urine and does not exist naturally in humans. This recombinant enzyme, expressed via our ProCellEx system, is designed to lower uric acid levels and improve clinical manifestation of the disease while having low immunogenicity and increased half-life of the drug in the blood. Pre-clinical data demonstrates long half-life, reduced immunogenic risk and high specific activity which supports the potential of PRX-115 to be a safe and effective treatment for patients with gout. One-month multiple dosing toxicity studies in two species and 6-month multiple dosing toxicity study in one species were conducted to support single and multiple dose studies is humans.</w:t>
      </w:r>
    </w:p>
    <w:p>
      <w:pPr>
        <w:spacing w:after="0" w:line="148"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 xml:space="preserve">PRX-115 is being analyzed for the potential treatment of uncontrolled gout in our phase I clinical trial of PRX-115 for the potential treatment of uncontrolled gout entitled “A Double-blind, Placebo-controlled, Single Ascending Dose Study to Evaluate the Safety, Tolerability, Pharmacokinetics, and Pharmacodynamics Properties of PRX-115 in Adult Volunteers With Elevated Uric Acid Levels” (NCT05745727), or the </w:t>
      </w:r>
      <w:r>
        <w:rPr>
          <w:rFonts w:ascii="Times New Roman" w:cs="Times New Roman" w:eastAsia="Times New Roman" w:hAnsi="Times New Roman"/>
          <w:sz w:val="17"/>
          <w:szCs w:val="17"/>
          <w:i w:val="1"/>
          <w:iCs w:val="1"/>
          <w:color w:val="auto"/>
        </w:rPr>
        <w:t>FIH</w:t>
      </w:r>
      <w:r>
        <w:rPr>
          <w:rFonts w:ascii="Times New Roman" w:cs="Times New Roman" w:eastAsia="Times New Roman" w:hAnsi="Times New Roman"/>
          <w:sz w:val="17"/>
          <w:szCs w:val="17"/>
          <w:color w:val="auto"/>
        </w:rPr>
        <w:t xml:space="preserve"> Study. The first subject was dosed in the study on March 21, 2023. The study is being conducted at New</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Zealand Clinical Research (NZCR) under the New Zealand Medicines and Medical Devices Safety Authority (MedSafe) and the Health and Disability Ethics Committee (HDEC) guidelines. The study was initially designed to include sequential dosing cohorts, each composed of eight subjects (six active and two placebo), a 3:1 ratio. Subjects in each cohort, males and females aged 18 through 65, received a single dose of PRX-115 and are analyzed for safety, pharmacokinetics (PK) and pharmacodynamics (PD) (concentrations of plasma uric acid) for 85 days. As of March 31, 2024, 56 subjects with no previous exposure to PEGylated uricase have been enrolled in the study.</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After a review of initial positive top-line results from the seven cohorts, and following the review and acceptance of the safety data from cohort 7 by the safety and monitoring committee for dose escalation for the FIH Study, the Company decided to expand the study by adding an eighth cohort of eight new subjects to analyze a higher dose and its potential to result in increased exposure time. In addition to the expansion of the FIH Study, the Company also decided to commence preparations for a phase II clinical trial of PRX-115.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preliminary results from the FIH Study are as follows:</w:t>
      </w:r>
    </w:p>
    <w:p>
      <w:pPr>
        <w:spacing w:after="0" w:line="225"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PRX-115 increased in a dose-dependent manner.</w:t>
      </w:r>
    </w:p>
    <w:p>
      <w:pPr>
        <w:spacing w:after="0" w:line="225" w:lineRule="exact"/>
        <w:rPr>
          <w:rFonts w:ascii="Times New Roman" w:cs="Times New Roman" w:eastAsia="Times New Roman" w:hAnsi="Times New Roman"/>
          <w:sz w:val="18"/>
          <w:szCs w:val="18"/>
          <w:color w:val="auto"/>
        </w:rPr>
      </w:pPr>
    </w:p>
    <w:p>
      <w:pPr>
        <w:ind w:right="120" w:firstLine="656"/>
        <w:spacing w:after="0" w:line="312" w:lineRule="auto"/>
        <w:tabs>
          <w:tab w:leader="none" w:pos="1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PRX-115 rapidly reduced plasma uric acid concentrations to below 6.0 mg/dL over time following a single administration. The effect of PRX-115 on plasma uric acid concentrations and the duration of response was found to be dose dependent.</w:t>
      </w:r>
    </w:p>
    <w:p>
      <w:pPr>
        <w:spacing w:after="0" w:line="139" w:lineRule="exact"/>
        <w:rPr>
          <w:rFonts w:ascii="Times New Roman" w:cs="Times New Roman" w:eastAsia="Times New Roman" w:hAnsi="Times New Roman"/>
          <w:sz w:val="17"/>
          <w:szCs w:val="17"/>
          <w:color w:val="auto"/>
        </w:rPr>
      </w:pPr>
    </w:p>
    <w:p>
      <w:pPr>
        <w:ind w:right="20" w:firstLine="656"/>
        <w:spacing w:after="0" w:line="258"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was well-tolerated. Twenty-six percent (11/42) of the subjects treated with PRX-115 in the first seven cohorts reported study drug-related adverse events, the majority being mild to moderate and transient in nature. One subject in cohort 2 experienced an anaphylactic reaction immediately following the commencement of the infusion, and the reaction was fully resolved. There were no other serious adverse events reported in the study, and no adverse events were reported in the highest doses, cohorts 6 and 7.</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Gout is the most common inflammatory arthritis, affecting an estimated 14.0 million adults in the United States, 2.0 million in France, 2.0 million in United Kingdom, 0.7 million in Italy, 1.5 million in Germany, 0.7 million in Spain and over 190.0 million in China. An estimated approximately 5% of the gout population is considered to have chronic refractory disease. The risk of gout increases with age, and it is thus more common in ageing populations.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in a combination known as the metabolic syndrome.</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Uncontrolled gout occurs when oral gout therapies fail to lower serum uric acid (sUA) levels below the gout guideline goal of 6 mg/dL at the maximum medically appropriate dosage or when gout does not improve clinically with oral urate-lowering therapies (ULTs), and may involve systemic urate deposition. Uncontrolled gout is also reported to involve urate crystal deposition and associated inflammation in joints, soft tissues, and organs, such as the heart, kidneys, and eyes. Currently available ULTs can be effective in treating gout. However, low adherence, under dosing and disease progression that cause high patient burden require new, effective and safe therapies to treat these underserved uncontrolled gout patients.</w:t>
      </w:r>
    </w:p>
    <w:p>
      <w:pPr>
        <w:spacing w:after="0" w:line="139" w:lineRule="exact"/>
        <w:rPr>
          <w:sz w:val="20"/>
          <w:szCs w:val="20"/>
          <w:color w:val="auto"/>
        </w:rPr>
      </w:pPr>
    </w:p>
    <w:p>
      <w:pPr>
        <w:ind w:right="380"/>
        <w:spacing w:after="0" w:line="211"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uric acid treatments) and</w:t>
      </w:r>
    </w:p>
    <w:p>
      <w:pPr>
        <w:spacing w:after="0" w:line="1" w:lineRule="exact"/>
        <w:rPr>
          <w:sz w:val="20"/>
          <w:szCs w:val="20"/>
          <w:color w:val="auto"/>
        </w:rPr>
      </w:pPr>
    </w:p>
    <w:p>
      <w:pPr>
        <w:ind w:right="20" w:firstLine="8"/>
        <w:spacing w:after="0" w:line="235"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The FDA label of Krystexxa was amended in 2022 to include co-treatment of metrotrexate to prolong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 We believe that new effective, safe therapies are needed to treat severe gout, chronic refractory and uncontrolled gout, regardless of treatment history.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20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being designed to elongate half-life in the circulation for NETs-related diseases. NETs, Neutrophil extracellular traps, are web-like structures, released by activated</w:t>
      </w: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these conditions.</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 Additional preclinical development is ongoing.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March 31, 2024, we hold a broad portfolio of more than 70 patents in Europe, the United States, Israel and additional countries worldwide, as well as more than 45 pending patent applications.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work on the further development of our ProCellEx plant cell expression technology and bioreactor system.</w:t>
      </w:r>
    </w:p>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Consistent with our corporate strategy, we are focusing on new, early-stage product candidates that treat indications for which there are high unmet needs in terms of efficacy and safety, including renal diseases. Treatments of interest will address both genetic and non-genetic diseases. We intend to use our ProCellEx platform and PEGylization capabilities, as well as other modalities such as small molecules and antibodies, to take advantage of highly innovative opportunities. We are also exploring novel platform technologies.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2023.</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the three months ended March 31, 2023</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recorded revenues from selling goods of $3.7 million during the three months ended March 31, 2024, a decrease of $1.4 million, or 27%, compared to revenues of $5.1 million for the three months ended March 31, 2023. The decrease resulted primarily from a decrease of $1.1 million in sales to Pfizer, and of $0.3 million in sales to Brazil which decreases resulted primarily from the timing of delivery.</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$0.1 million for the three months ended March 31, 2024, a decrease of</w:t>
      </w:r>
    </w:p>
    <w:p>
      <w:pPr>
        <w:spacing w:after="0" w:line="27"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$4.4 million, or 98%, compared to revenues of $4.5 million for the three months ended March 31, 2023. Revenues from license and R&amp;D services are comprised primarily of revenues we recognized in connection with the Chiesi Agreements. The decrease resulted primarily from the completion of our research and development obligations with respect to Elfabrio and, as Elfabrio was approved in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United States and the European Union in May 2023, from the completion of the regulatory processes related to the review of the BLA and the MAA for Elfabrio by the FDA and EMA, respectively.</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Cost of goods sold was $2.6 million for the three months ended March 31, 2024, a decrease of $0.5 million, or 16%, from cost of goods sold of $3.1 million for the three months ended March 31, 2023. The decrease in cost of goods sold was primarily the result of the decrease in sales to Pfizer and to Brazil.</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our total research and development expenses were approximately $2.9 million comprised of approximately $0.5 million in subcontractor-related expenses, approximately $1.5 million of salary and related expenses, approximately $0.2 million of materials-related expenses and approximately $0.7 million of other expenses. For the three months ended March 31, 2023, our total research and development expenses were approximately $5.8 million comprised of approximately $3.5 million of subcontractor-related expenses, approximately $1.5 million of salary and related expenses, approximately $0.1 million of materials-related expenses and approximately $0.7 million of other expenses.</w:t>
      </w:r>
    </w:p>
    <w:p>
      <w:pPr>
        <w:spacing w:after="0" w:line="187"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Total decrease in research and developments expenses for the three months ended March 31, 2024 was $2.9 million, or 50%, compared to the three months ended March 31, 2023. The decrease in research and development expenses primarily resulted from the completion of our Fabry clinical program and the regulatory processes related to the BLA and MAA review of Elfabrio by the applicable regulatory agencies.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increasing research and development expenses as we enter into a more advanced stage of preclinical and clinical trials for certain of our product candidates.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$3.1 million for the three months ended March 31, 2024 and for the three months ended March 31, 2023.</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income, net were $0.1 million for the three months ended March 31, 2024, compared to financial expenses, net of $0.5 million for the three months ended March 31, 2023. The change resulted primarily from higher interest income on bank deposits and lower notes interest expenses due to notes conversions executed in 2023.</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2024, we recorded a tax benefit of approximately $(0.1) million, compared to income taxes of</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$0.2 million for the three months ended March 31, 2023. Income taxes recorded are primarily the result of the provision for current taxes in respect of Section 174 of the TCJA.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sources of liquidity include our cash and cash equivalents balances and short term bank deposits. At March 31, 2024, we had</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$48.5 million in cash and cash equivalents and short term bank deposits. We have primarily financed our operations through equity and debt financings, business collaborations, grants funding and revenues from selling goods.</w:t>
      </w:r>
    </w:p>
    <w:p>
      <w:pPr>
        <w:spacing w:after="0" w:line="14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2023, we raised gross proceeds equal to approximately $24.9 million from the sale of 12,560,150 shares of our common stock under our ATM program. All such sales were completed during the quarters ended March 31, 2023 and June 30, 2023. No sales were completed during the quarters ended September 30, 2023, December 31, 2023 or March 31, 2024.</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25, 2021, we completed exchanges, or the Exchanges, with institutional note holders of a substantial majority of the then outstanding 7.50% Senior Secured Convertible Notes due 2021, or the 2021 Notes. The Exchanges involved the exchange of an aggregate of $54.65 million principal amount of 2021 Notes for an aggregate of $28.75 million principal amount of newly issued 2024 Notes, $25.90 million in cash and approximately $1.1 million in cash representing accrued and unpaid interest through the closing date. The initial conversion rate of the 2024 Notes is 563.2216 shares of our common stock per $1,000 principal amount of 2024 Notes, which is equivalent to an initial conversion price of approximately $1.7755 per share of common stock, subject to adjustment</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2024 Notes were issued pursuant to the 2024 Indenture which was entered into between us, the guarantors party thereto, The Bank of New York Mellon Trust Company, N.A., as trustee and Wilmington Savings Fund Society, FSB, as collateral agent. Interest on the 2024 Notes are payable semi-annually at a rate of 7.50% per annum. The 2024 Notes will mature three years after the issuance thereof, unless earlier purchased, converted, exchanged or redeemed and will be guaranteed by our subsidiaries. The 2024 Notes are secured by perfected liens on all of our assets, including those of our subsidiaries.</w:t>
      </w:r>
    </w:p>
    <w:p>
      <w:pPr>
        <w:spacing w:after="0" w:line="1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our cash, cash equivalents and short term bank deposits as of March 31, 2024 are sufficient to satisfy our capital needs for at least 12 months from the date that these financial statements are issued.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provided by operations was $4.2 million for the three months ended March 31, 2024. The net loss for the three months ended March 31, 2024 of $4.6 million was increased by a $3.3 million increase in inventories, a $1.4 million decrease in accounts payable and accruals and was offset by an $11.0 million increase in contracts liability, a $1.7 million decrease in accounts receivable-trade and other assets and $1.0 million in share-based compensation. Net cash used in investing activities for the three months ended March 31, 2024 was $0.6 million and consisted primarily of the purchase of property and equipment.</w:t>
      </w:r>
    </w:p>
    <w:p>
      <w:pPr>
        <w:spacing w:after="0" w:line="1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Net cash used in operations was $3.0 million for the three months ended March 31, 2023. The net loss for the three months ended March 31, 2023 of $3.1 million was increased by a $1.4 million decrease in contracts liability and a $3.5 million increase in inventories and was partially offset by a $3.8 million decrease in accounts receivable-trade and other assets and $0.5 million in share-based compensation. Net cash provided by investing activities for the three months ended March 31, 2023 was $4.7 million and consisted primarily of proceeds from sale of short-term deposits. Net cash provided by financing activities was $14.2 million resulting primarily from the sale of common stock under our ATM program.</w:t>
      </w:r>
    </w:p>
    <w:p>
      <w:pPr>
        <w:spacing w:after="0" w:line="14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2024, the total principal amount of our 2024 Notes outstanding was $20.42 million, and 2020 Warrants to purchase 13,439,712 shares were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research and development expenditures which have not been offset by revenues. We have not generated significant revenues from sales of Elelyso, and commercial sales of Elfabrio only commenced in the middle of 2023. We have generated operating losses from our continuing operations since our inception although the revenues generated in the year ended December 31, 2023 exceeded our expenditures for the same period.</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Under the terms of the 2024 Indenture, we are required to comply with </w:t>
      </w:r>
      <w:r>
        <w:rPr>
          <w:rFonts w:ascii="Times New Roman" w:cs="Times New Roman" w:eastAsia="Times New Roman" w:hAnsi="Times New Roman"/>
          <w:sz w:val="18"/>
          <w:szCs w:val="18"/>
          <w:color w:val="222222"/>
        </w:rPr>
        <w:t>certain covenants, including the requirement to</w:t>
      </w:r>
      <w:r>
        <w:rPr>
          <w:rFonts w:ascii="Times New Roman" w:cs="Times New Roman" w:eastAsia="Times New Roman" w:hAnsi="Times New Roman"/>
          <w:sz w:val="18"/>
          <w:szCs w:val="18"/>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March 31, 2024, we were in compliance with all covenants.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 advisors and fees for service providers in connection with our research and development efforts, (v) payments of principal and interest on our outstanding 2024 Notes and (vi) tax payments. We believe that the funds currently available to us are sufficient to satisfy our capital needs for at least 12 months.</w:t>
      </w:r>
    </w:p>
    <w:p>
      <w:pPr>
        <w:spacing w:after="0" w:line="14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113" w:lineRule="exact"/>
        <w:rPr>
          <w:sz w:val="20"/>
          <w:szCs w:val="20"/>
          <w:color w:val="auto"/>
        </w:rPr>
      </w:pPr>
    </w:p>
    <w:p>
      <w:pPr>
        <w:ind w:left="1000" w:right="3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ectPr>
          <w:pgSz w:w="11900" w:h="16838" w:orient="portrait"/>
          <w:cols w:equalWidth="0" w:num="1">
            <w:col w:w="9860"/>
          </w:cols>
          <w:pgMar w:left="980" w:top="661" w:right="1059" w:bottom="1440" w:gutter="0" w:footer="0" w:header="0"/>
        </w:sectPr>
      </w:pP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00" w:right="74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 On February 27, 2023, we entered into the 2023 Sales Agreement pursuant to which we may sell from time to time through the Agent ATM Shares having an aggregate offering price of up to $20.0 million as we had then completed the ATM program under the 2021 Sales Agreement. As of March 31, 2024, shares of our common stock for total gross proceeds of approximately $6.4 million remain available to be sold under the 2023 Sales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three and nine months ended of March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of each of March 31,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Approximately 44%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9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180" w:type="dxa"/>
            <w:vAlign w:val="bottom"/>
            <w:tcBorders>
              <w:top w:val="single" w:sz="8" w:color="auto"/>
            </w:tcBorders>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3.662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3"/>
              </w:rPr>
              <w:t>3.536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3.687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3.681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3"/>
              </w:rPr>
              <w:t>3.615</w:t>
            </w:r>
          </w:p>
        </w:tc>
        <w:tc>
          <w:tcPr>
            <w:tcW w:w="160" w:type="dxa"/>
            <w:vAlign w:val="bottom"/>
          </w:tcPr>
          <w:p>
            <w:pPr>
              <w:spacing w:after="0"/>
              <w:rPr>
                <w:sz w:val="20"/>
                <w:szCs w:val="20"/>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3.627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2024 that have materially affected, or that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previously disclosed in our Annual Report on Form 10-K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adopted or terminated a Rule 10b5-1 trading arrangement or non-Rule 10b5-1 trading arrangement (as such terms are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gridSpan w:val="3"/>
          </w:tcPr>
          <w:p>
            <w:pPr>
              <w:jc w:val="center"/>
              <w:ind w:right="571"/>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60" w:type="dxa"/>
            <w:vAlign w:val="bottom"/>
            <w:gridSpan w:val="1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gridSpan w:val="1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4"/>
        </w:trPr>
        <w:tc>
          <w:tcPr>
            <w:tcW w:w="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3660" w:type="dxa"/>
            <w:vAlign w:val="bottom"/>
            <w:gridSpan w:val="16"/>
          </w:tcPr>
          <w:p>
            <w:pPr>
              <w:spacing w:after="0" w:line="194"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Certificate of Incorporation of the Company</w:t>
              </w:r>
            </w:hyperlink>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April 1, 2016</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660" w:type="dxa"/>
            <w:vAlign w:val="bottom"/>
            <w:gridSpan w:val="16"/>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Amendment to Certificate of Incorporation of the</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Company</w:t>
              </w:r>
            </w:hyperlink>
          </w:p>
        </w:tc>
        <w:tc>
          <w:tcPr>
            <w:tcW w:w="1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Second Amendment to Certificate of</w:t>
              </w:r>
            </w:hyperlink>
          </w:p>
        </w:tc>
        <w:tc>
          <w:tcPr>
            <w:tcW w:w="1000" w:type="dxa"/>
            <w:vAlign w:val="bottom"/>
            <w:gridSpan w:val="9"/>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6"/>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Incorporation of the Company</w:t>
              </w:r>
            </w:hyperlink>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660" w:type="dxa"/>
            <w:vAlign w:val="bottom"/>
            <w:gridSpan w:val="16"/>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Third Amendment to Certificate of Incorporation</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of the Company</w:t>
              </w:r>
            </w:hyperlink>
          </w:p>
        </w:tc>
        <w:tc>
          <w:tcPr>
            <w:tcW w:w="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660" w:type="dxa"/>
            <w:vAlign w:val="bottom"/>
            <w:gridSpan w:val="16"/>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Fourth Amendment to Certificate of Incorporation</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2022</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of the Company</w:t>
              </w:r>
            </w:hyperlink>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5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Fifth Amendment to Certificate of Incorporation</w:t>
              </w:r>
            </w:hyperlink>
          </w:p>
        </w:tc>
        <w:tc>
          <w:tcPr>
            <w:tcW w:w="160" w:type="dxa"/>
            <w:vAlign w:val="bottom"/>
            <w:gridSpan w:val="4"/>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16"/>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of the Company</w:t>
              </w:r>
            </w:hyperlink>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660" w:type="dxa"/>
            <w:vAlign w:val="bottom"/>
            <w:gridSpan w:val="16"/>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Bylaws of the Company</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Form of Restricted Stock Agreement/Notice</w:t>
              </w:r>
            </w:hyperlink>
          </w:p>
        </w:tc>
        <w:tc>
          <w:tcPr>
            <w:tcW w:w="460" w:type="dxa"/>
            <w:vAlign w:val="bottom"/>
            <w:gridSpan w:val="7"/>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18, 2012</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Description of Capital Stock</w:t>
              </w:r>
            </w:hyperlink>
          </w:p>
        </w:tc>
        <w:tc>
          <w:tcPr>
            <w:tcW w:w="1600" w:type="dxa"/>
            <w:vAlign w:val="bottom"/>
            <w:gridSpan w:val="11"/>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60" w:type="dxa"/>
            <w:vAlign w:val="bottom"/>
            <w:gridSpan w:val="16"/>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Warrant</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2020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660" w:type="dxa"/>
            <w:vAlign w:val="bottom"/>
            <w:gridSpan w:val="16"/>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Stock Option Agreement (Executives)</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10-Q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3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of Stock Option Agreement (Standard)</w:t>
              </w:r>
            </w:hyperlink>
          </w:p>
        </w:tc>
        <w:tc>
          <w:tcPr>
            <w:tcW w:w="280" w:type="dxa"/>
            <w:vAlign w:val="bottom"/>
            <w:gridSpan w:val="5"/>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10-Q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5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Indenture, dated as of August 24, 2021, between</w:t>
              </w:r>
            </w:hyperlink>
          </w:p>
        </w:tc>
        <w:tc>
          <w:tcPr>
            <w:tcW w:w="180" w:type="dxa"/>
            <w:vAlign w:val="bottom"/>
            <w:gridSpan w:val="4"/>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4.2</w:t>
            </w:r>
          </w:p>
        </w:tc>
        <w:tc>
          <w:tcPr>
            <w:tcW w:w="23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August 26, 2021</w:t>
            </w:r>
          </w:p>
        </w:tc>
      </w:tr>
      <w:tr>
        <w:trPr>
          <w:trHeight w:val="196"/>
        </w:trPr>
        <w:tc>
          <w:tcPr>
            <w:tcW w:w="840" w:type="dxa"/>
            <w:vAlign w:val="bottom"/>
          </w:tcPr>
          <w:p>
            <w:pPr>
              <w:spacing w:after="0"/>
              <w:rPr>
                <w:sz w:val="17"/>
                <w:szCs w:val="17"/>
                <w:color w:val="auto"/>
              </w:rPr>
            </w:pPr>
          </w:p>
        </w:tc>
        <w:tc>
          <w:tcPr>
            <w:tcW w:w="3680" w:type="dxa"/>
            <w:vAlign w:val="bottom"/>
            <w:gridSpan w:val="1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Protalix BioTherapeutics, Inc., the guarantors</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party thereto, The Bank of New York Mellon</w:t>
              </w:r>
            </w:hyperlink>
          </w:p>
        </w:tc>
        <w:tc>
          <w:tcPr>
            <w:tcW w:w="20" w:type="dxa"/>
            <w:vAlign w:val="bottom"/>
            <w:tcBorders>
              <w:top w:val="single" w:sz="8" w:color="0000EE"/>
            </w:tcBorders>
          </w:tcPr>
          <w:p>
            <w:pPr>
              <w:spacing w:after="0"/>
              <w:rPr>
                <w:sz w:val="17"/>
                <w:szCs w:val="17"/>
                <w:color w:val="auto"/>
              </w:rPr>
            </w:pPr>
          </w:p>
        </w:tc>
        <w:tc>
          <w:tcPr>
            <w:tcW w:w="40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Trust Company, N.A., as trustee and Wilmington</w:t>
              </w:r>
            </w:hyperlink>
          </w:p>
        </w:tc>
        <w:tc>
          <w:tcPr>
            <w:tcW w:w="14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680" w:type="dxa"/>
            <w:vAlign w:val="bottom"/>
            <w:gridSpan w:val="1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Savings Fund Society, FSB, as collateral agent</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3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Exchange Note (2024)</w:t>
              </w:r>
            </w:hyperlink>
          </w:p>
        </w:tc>
        <w:tc>
          <w:tcPr>
            <w:tcW w:w="320" w:type="dxa"/>
            <w:vAlign w:val="bottom"/>
            <w:gridSpan w:val="7"/>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4.3</w:t>
            </w:r>
          </w:p>
        </w:tc>
        <w:tc>
          <w:tcPr>
            <w:tcW w:w="23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August 26, 2021</w:t>
            </w:r>
          </w:p>
        </w:tc>
      </w:tr>
      <w:tr>
        <w:trPr>
          <w:trHeight w:val="20"/>
        </w:trPr>
        <w:tc>
          <w:tcPr>
            <w:tcW w:w="84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80" w:type="dxa"/>
            <w:vAlign w:val="bottom"/>
            <w:gridSpan w:val="16"/>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Amended and Restated Pro BioTherapeutics, Inc.</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3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August 7, 2023</w:t>
            </w:r>
          </w:p>
        </w:tc>
      </w:tr>
      <w:tr>
        <w:trPr>
          <w:trHeight w:val="196"/>
        </w:trPr>
        <w:tc>
          <w:tcPr>
            <w:tcW w:w="8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2006 Stock Incentive Plan, as amended</w:t>
              </w:r>
            </w:hyperlink>
          </w:p>
        </w:tc>
        <w:tc>
          <w:tcPr>
            <w:tcW w:w="700" w:type="dxa"/>
            <w:vAlign w:val="bottom"/>
            <w:tcBorders>
              <w:top w:val="single" w:sz="8" w:color="0000EE"/>
            </w:tcBorders>
            <w:gridSpan w:val="10"/>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 13a-14(a) as adopted pursuant to Section</w:t>
            </w:r>
          </w:p>
        </w:tc>
        <w:tc>
          <w:tcPr>
            <w:tcW w:w="20" w:type="dxa"/>
            <w:vAlign w:val="bottom"/>
            <w:tcBorders>
              <w:top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302 of the Sarbanes-Oxley Act of 2002</w:t>
            </w:r>
          </w:p>
        </w:tc>
        <w:tc>
          <w:tcPr>
            <w:tcW w:w="84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w:t>
            </w:r>
          </w:p>
        </w:tc>
        <w:tc>
          <w:tcPr>
            <w:tcW w:w="18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5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 13a-14(a) as adopted pursuant to Section</w:t>
            </w:r>
          </w:p>
        </w:tc>
        <w:tc>
          <w:tcPr>
            <w:tcW w:w="16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82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tcBorders>
              <w:top w:val="single" w:sz="8" w:color="0000EE"/>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40" w:type="dxa"/>
            <w:vAlign w:val="bottom"/>
          </w:tcPr>
          <w:p>
            <w:pPr>
              <w:spacing w:after="0"/>
              <w:rPr>
                <w:sz w:val="18"/>
                <w:szCs w:val="18"/>
                <w:color w:val="auto"/>
              </w:rPr>
            </w:pP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76" w:lineRule="exact"/>
        <w:rPr>
          <w:sz w:val="20"/>
          <w:szCs w:val="20"/>
          <w:color w:val="auto"/>
        </w:rPr>
      </w:pPr>
    </w:p>
    <w:p>
      <w:pPr>
        <w:ind w:left="840" w:right="5460" w:hanging="833"/>
        <w:spacing w:after="0" w:line="26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hanging="313"/>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compensation plans or arrangements in which directors or executive officers are eligible to participate.</w:t>
      </w:r>
    </w:p>
    <w:p>
      <w:pPr>
        <w:sectPr>
          <w:pgSz w:w="11900" w:h="16838" w:orient="portrait"/>
          <w:cols w:equalWidth="0" w:num="1">
            <w:col w:w="9580"/>
          </w:cols>
          <w:pgMar w:left="980" w:top="648" w:right="1339" w:bottom="1440" w:gutter="0" w:footer="0" w:header="0"/>
        </w:sectPr>
      </w:pPr>
    </w:p>
    <w:p>
      <w:pPr>
        <w:spacing w:after="0" w:line="3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PROTALIX BIOTHERAPEUTICS, INC.</w:t>
            </w:r>
          </w:p>
        </w:tc>
      </w:tr>
      <w:tr>
        <w:trPr>
          <w:trHeight w:val="234"/>
        </w:trPr>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6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Dror Bashan</w:t>
            </w:r>
          </w:p>
        </w:tc>
      </w:tr>
      <w:tr>
        <w:trPr>
          <w:trHeight w:val="191"/>
        </w:trPr>
        <w:tc>
          <w:tcPr>
            <w:tcW w:w="3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Dror Bashan</w:t>
            </w:r>
          </w:p>
        </w:tc>
      </w:tr>
      <w:tr>
        <w:trPr>
          <w:trHeight w:val="216"/>
        </w:trPr>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6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Eyal Rubin</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191"/>
        </w:trPr>
        <w:tc>
          <w:tcPr>
            <w:tcW w:w="3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Eyal Rubin</w:t>
            </w:r>
          </w:p>
        </w:tc>
      </w:tr>
      <w:tr>
        <w:trPr>
          <w:trHeight w:val="216"/>
        </w:trPr>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Treasurer and</w:t>
            </w:r>
          </w:p>
        </w:tc>
      </w:tr>
      <w:tr>
        <w:trPr>
          <w:trHeight w:val="216"/>
        </w:trPr>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5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18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March 31, 2024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March 31, 2024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2"/>
    </w:lvl>
  </w:abstractNum>
  <w:abstractNum w:abstractNumId="6">
    <w:nsid w:val="DED7263"/>
    <w:multiLevelType w:val="hybridMultilevel"/>
    <w:lvl w:ilvl="0">
      <w:lvlJc w:val="left"/>
      <w:lvlText w:val="%1."/>
      <w:numFmt w:val="lowerLetter"/>
      <w:start w:val="4"/>
    </w:lvl>
  </w:abstractNum>
  <w:abstractNum w:abstractNumId="7">
    <w:nsid w:val="7FDCC233"/>
    <w:multiLevelType w:val="hybridMultilevel"/>
    <w:lvl w:ilvl="0">
      <w:lvlJc w:val="left"/>
      <w:lvlText w:val="%1."/>
      <w:numFmt w:val="lowerLetter"/>
      <w:start w:val="5"/>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Roman"/>
      <w:start w:val="2"/>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50" Type="http://schemas.openxmlformats.org/officeDocument/2006/relationships/hyperlink" Target="https://www.sec.gov/Archives/edgar/data/1006281/000114420416092335/v435826_ex3-1.htm" TargetMode="External"/><Relationship Id="rId51" Type="http://schemas.openxmlformats.org/officeDocument/2006/relationships/hyperlink" Target="https://www.sec.gov/Archives/edgar/data/1006281/000114420416111273/v443094_def14a.htm" TargetMode="External"/><Relationship Id="rId52" Type="http://schemas.openxmlformats.org/officeDocument/2006/relationships/hyperlink" Target="https://www.sec.gov/Archives/edgar/data/1006281/000114420418054229/tv504383-def14a.htm" TargetMode="External"/><Relationship Id="rId53" Type="http://schemas.openxmlformats.org/officeDocument/2006/relationships/hyperlink" Target="https://www.sec.gov/Archives/edgar/data/1006281/000110465919074602/tm1926620d1_ex3-1.htm" TargetMode="External"/><Relationship Id="rId54" Type="http://schemas.openxmlformats.org/officeDocument/2006/relationships/hyperlink" Target="https://www.sec.gov/Archives/edgar/data/1006281/000155837022013560/plx-20220630xex3d5.htm" TargetMode="External"/><Relationship Id="rId55" Type="http://schemas.openxmlformats.org/officeDocument/2006/relationships/hyperlink" Target="https://www.sec.gov/Archives/edgar/data/1006281/000155837023013483/plx-20230630xex3d6.htm" TargetMode="External"/><Relationship Id="rId56" Type="http://schemas.openxmlformats.org/officeDocument/2006/relationships/hyperlink" Target="https://www.sec.gov/Archives/edgar/data/1006281/000114420416092335/v435826_ex3-2.htm" TargetMode="External"/><Relationship Id="rId57" Type="http://schemas.openxmlformats.org/officeDocument/2006/relationships/hyperlink" Target="https://www.sec.gov/Archives/edgar/data/1006281/000114420412040015/v318898_ex4-1.htm" TargetMode="External"/><Relationship Id="rId58" Type="http://schemas.openxmlformats.org/officeDocument/2006/relationships/hyperlink" Target="https://www.sec.gov/Archives/edgar/data/1006281/000155837023002102/plx-20221231xex4d7.htm" TargetMode="External"/><Relationship Id="rId59" Type="http://schemas.openxmlformats.org/officeDocument/2006/relationships/hyperlink" Target="https://www.sec.gov/Archives/edgar/data/1006281/000110465920032169/tm2012488d1_ex4-1.htm" TargetMode="External"/><Relationship Id="rId60" Type="http://schemas.openxmlformats.org/officeDocument/2006/relationships/hyperlink" Target="https://www.sec.gov/Archives/edgar/data/1006281/000110465920092375/plx-20200630xex4d8.htm" TargetMode="External"/><Relationship Id="rId61" Type="http://schemas.openxmlformats.org/officeDocument/2006/relationships/hyperlink" Target="https://www.sec.gov/Archives/edgar/data/1006281/000110465920092375/plx-20200630xex4d9.htm" TargetMode="External"/><Relationship Id="rId62" Type="http://schemas.openxmlformats.org/officeDocument/2006/relationships/hyperlink" Target="https://www.sec.gov/Archives/edgar/data/1006281/000155837021012078/plx-20210824xex4d2.htm" TargetMode="External"/><Relationship Id="rId63" Type="http://schemas.openxmlformats.org/officeDocument/2006/relationships/hyperlink" Target="https://www.sec.gov/Archives/edgar/data/1006281/000155837021012078/plx-20210824xex4d3.htm" TargetMode="External"/><Relationship Id="rId64" Type="http://schemas.openxmlformats.org/officeDocument/2006/relationships/hyperlink" Target="https://www.sec.gov/Archives/edgar/data/1006281/000155837023013483/plx-202306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2024-05-10T06:27:26Z</dcterms:created>
  <dcterms:modified xsi:type="dcterms:W3CDTF">2024-05-10T06:27:26Z</dcterms:modified>
</cp:coreProperties>
</file>