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791845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138430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4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001-33357</w:t>
            </w:r>
          </w:p>
        </w:tc>
      </w:tr>
      <w:tr>
        <w:trPr>
          <w:trHeight w:val="190"/>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PROTALIX BIOTHERAPEUTICS,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40" w:type="dxa"/>
            <w:vAlign w:val="bottom"/>
            <w:gridSpan w:val="4"/>
          </w:tcPr>
          <w:p>
            <w:pPr>
              <w:spacing w:after="0"/>
              <w:rPr>
                <w:sz w:val="13"/>
                <w:szCs w:val="13"/>
                <w:color w:val="auto"/>
              </w:rPr>
            </w:pPr>
          </w:p>
        </w:tc>
        <w:tc>
          <w:tcPr>
            <w:tcW w:w="1260" w:type="dxa"/>
            <w:vAlign w:val="bottom"/>
            <w:gridSpan w:val="5"/>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other jurisdiction</w:t>
            </w:r>
          </w:p>
        </w:tc>
        <w:tc>
          <w:tcPr>
            <w:tcW w:w="1260" w:type="dxa"/>
            <w:vAlign w:val="bottom"/>
            <w:gridSpan w:val="5"/>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54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5420" w:type="dxa"/>
            <w:vAlign w:val="bottom"/>
            <w:gridSpan w:val="7"/>
          </w:tcPr>
          <w:p>
            <w:pPr>
              <w:jc w:val="center"/>
              <w:ind w:right="2988"/>
              <w:spacing w:after="0"/>
              <w:rPr>
                <w:sz w:val="20"/>
                <w:szCs w:val="20"/>
                <w:color w:val="auto"/>
              </w:rPr>
            </w:pPr>
            <w:r>
              <w:rPr>
                <w:rFonts w:ascii="Times New Roman" w:cs="Times New Roman" w:eastAsia="Times New Roman" w:hAnsi="Times New Roman"/>
                <w:sz w:val="14"/>
                <w:szCs w:val="14"/>
                <w:b w:val="1"/>
                <w:bCs w:val="1"/>
                <w:color w:val="auto"/>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1080" w:type="dxa"/>
            <w:vAlign w:val="bottom"/>
            <w:gridSpan w:val="4"/>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(Address of</w:t>
            </w:r>
          </w:p>
        </w:tc>
        <w:tc>
          <w:tcPr>
            <w:tcW w:w="4720" w:type="dxa"/>
            <w:vAlign w:val="bottom"/>
            <w:gridSpan w:val="6"/>
          </w:tcPr>
          <w:p>
            <w:pPr>
              <w:jc w:val="center"/>
              <w:ind w:right="3668"/>
              <w:spacing w:after="0" w:line="160" w:lineRule="exact"/>
              <w:rPr>
                <w:sz w:val="20"/>
                <w:szCs w:val="20"/>
                <w:color w:val="auto"/>
              </w:rPr>
            </w:pPr>
            <w:r>
              <w:rPr>
                <w:rFonts w:ascii="Times New Roman" w:cs="Times New Roman" w:eastAsia="Times New Roman" w:hAnsi="Times New Roman"/>
                <w:sz w:val="14"/>
                <w:szCs w:val="14"/>
                <w:b w:val="1"/>
                <w:bCs w:val="1"/>
                <w:color w:val="auto"/>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8"/>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4"/>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PLX</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55"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right="2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26"/>
        </w:trPr>
        <w:tc>
          <w:tcPr>
            <w:tcW w:w="1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54" w:lineRule="exact"/>
        <w:rPr>
          <w:sz w:val="24"/>
          <w:szCs w:val="24"/>
          <w:color w:val="auto"/>
        </w:rPr>
      </w:pPr>
    </w:p>
    <w:p>
      <w:pPr>
        <w:ind w:right="4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ind w:right="236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On May 10, 2022, approximately 47,063,300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49530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92075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32" w:right="10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40" w:type="dxa"/>
            <w:vAlign w:val="bottom"/>
            <w:gridSpan w:val="13"/>
          </w:tcPr>
          <w:p>
            <w:pPr>
              <w:jc w:val="center"/>
              <w:ind w:right="23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5"/>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 – As of March 31, 2022 and December 31, 2021</w:t>
            </w:r>
          </w:p>
        </w:tc>
        <w:tc>
          <w:tcPr>
            <w:tcW w:w="1180" w:type="dxa"/>
            <w:vAlign w:val="bottom"/>
            <w:gridSpan w:val="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 For the Three Months Ended March 31, 2022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(Capital Deficiency) (Unaudited) – For the</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Three Months Ended March 31, 2022 and 2021</w:t>
            </w:r>
          </w:p>
        </w:tc>
        <w:tc>
          <w:tcPr>
            <w:tcW w:w="514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 For the Three Months ended March 31, 2022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56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00" w:type="dxa"/>
            <w:vAlign w:val="bottom"/>
            <w:gridSpan w:val="7"/>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27</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27</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1"/>
          </w:tcPr>
          <w:p>
            <w:pPr>
              <w:jc w:val="center"/>
              <w:ind w:right="286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00" w:type="dxa"/>
            <w:vAlign w:val="bottom"/>
            <w:gridSpan w:val="5"/>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6"/>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22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40" w:type="dxa"/>
            <w:vAlign w:val="bottom"/>
            <w:gridSpan w:val="1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3"/>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960" w:type="dxa"/>
            <w:vAlign w:val="bottom"/>
            <w:gridSpan w:val="1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92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56,542</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68,391</w:t>
            </w:r>
          </w:p>
        </w:tc>
        <w:tc>
          <w:tcPr>
            <w:tcW w:w="2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NET OF CAPITAL DEFICIENCY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200" w:type="dxa"/>
            <w:vAlign w:val="bottom"/>
          </w:tcPr>
          <w:p>
            <w:pPr>
              <w:spacing w:after="0"/>
              <w:rPr>
                <w:sz w:val="18"/>
                <w:szCs w:val="18"/>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Contracts liability</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Contracts liability</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40,546</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75,877</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DEFICIENCY</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(7,486)</w:t>
            </w:r>
          </w:p>
        </w:tc>
        <w:tc>
          <w:tcPr>
            <w:tcW w:w="4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 net of capital deficiency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ind w:left="1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840" w:right="24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CONDENSED CONSOLIDATED STATEMENTS OF OPERATIONS </w:t>
      </w:r>
      <w:r>
        <w:rPr>
          <w:rFonts w:ascii="Times New Roman" w:cs="Times New Roman" w:eastAsia="Times New Roman" w:hAnsi="Times New Roman"/>
          <w:sz w:val="18"/>
          <w:szCs w:val="18"/>
          <w:color w:val="auto"/>
        </w:rPr>
        <w:t>(U.S. dollars in thousands, except share and per share data)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9,028</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4,511</w:t>
            </w:r>
          </w:p>
        </w:tc>
        <w:tc>
          <w:tcPr>
            <w:tcW w:w="2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7,057</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6,809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16,085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11,320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GOODS SOLD (1)</w:t>
            </w:r>
          </w:p>
        </w:tc>
        <w:tc>
          <w:tcPr>
            <w:tcW w:w="200" w:type="dxa"/>
            <w:vAlign w:val="bottom"/>
          </w:tcPr>
          <w:p>
            <w:pPr>
              <w:spacing w:after="0"/>
              <w:rPr>
                <w:sz w:val="12"/>
                <w:szCs w:val="12"/>
                <w:color w:val="auto"/>
              </w:rPr>
            </w:pPr>
          </w:p>
        </w:tc>
        <w:tc>
          <w:tcPr>
            <w:tcW w:w="17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(6,034)</w:t>
            </w:r>
          </w:p>
        </w:tc>
        <w:tc>
          <w:tcPr>
            <w:tcW w:w="22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(4,765)</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RESEARCH AND DEVELOPMENT EXPENSES (2)</w:t>
            </w: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(8,767)</w:t>
            </w:r>
          </w:p>
        </w:tc>
        <w:tc>
          <w:tcPr>
            <w:tcW w:w="2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(7,122)</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SELLING, GENERAL AND ADMINISTRATIVE EXPENSES (3)</w:t>
            </w:r>
          </w:p>
        </w:tc>
        <w:tc>
          <w:tcPr>
            <w:tcW w:w="200" w:type="dxa"/>
            <w:vAlign w:val="bottom"/>
          </w:tcPr>
          <w:p>
            <w:pPr>
              <w:spacing w:after="0"/>
              <w:rPr>
                <w:sz w:val="12"/>
                <w:szCs w:val="12"/>
                <w:color w:val="auto"/>
              </w:rPr>
            </w:pPr>
          </w:p>
        </w:tc>
        <w:tc>
          <w:tcPr>
            <w:tcW w:w="17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(3,154)</w:t>
            </w:r>
          </w:p>
        </w:tc>
        <w:tc>
          <w:tcPr>
            <w:tcW w:w="22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42"/>
        </w:trPr>
        <w:tc>
          <w:tcPr>
            <w:tcW w:w="6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(1,870)</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(3,705)</w:t>
            </w:r>
          </w:p>
        </w:tc>
        <w:tc>
          <w:tcPr>
            <w:tcW w:w="2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EXPENSES</w:t>
            </w:r>
          </w:p>
        </w:tc>
        <w:tc>
          <w:tcPr>
            <w:tcW w:w="20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(2,156)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INCOME</w:t>
            </w:r>
          </w:p>
        </w:tc>
        <w:tc>
          <w:tcPr>
            <w:tcW w:w="2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EXPENSES – NET</w:t>
            </w:r>
          </w:p>
        </w:tc>
        <w:tc>
          <w:tcPr>
            <w:tcW w:w="20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(1,821)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2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 FOR THE PERIOD</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(2,286)</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(5,475)</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LOSS PER SHARE OF COMMON STOCK – BASIC AND DILUTED</w:t>
            </w:r>
          </w:p>
        </w:tc>
        <w:tc>
          <w:tcPr>
            <w:tcW w:w="2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(0.05)</w:t>
            </w:r>
          </w:p>
        </w:tc>
        <w:tc>
          <w:tcPr>
            <w:tcW w:w="2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(0.14)</w:t>
            </w:r>
          </w:p>
        </w:tc>
        <w:tc>
          <w:tcPr>
            <w:tcW w:w="2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4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45,843,563</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39,933,972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400" w:type="dxa"/>
            <w:vAlign w:val="bottom"/>
            <w:tcBorders>
              <w:bottom w:val="single" w:sz="8" w:color="CCEEFF"/>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USED IN COMPUTING LOSS PER SHARE – BASIC AND DILUTED</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6400" w:type="dxa"/>
            <w:vAlign w:val="bottom"/>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b w:val="1"/>
                <w:bCs w:val="1"/>
                <w:color w:val="auto"/>
              </w:rPr>
              <w:t>(1) Includes share-based compensation</w:t>
            </w:r>
          </w:p>
        </w:tc>
        <w:tc>
          <w:tcPr>
            <w:tcW w:w="2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109</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(2) Includes share-based compensation</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(3) Includes share-based compensation</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766</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CONDENSED CONSOLIDATED STATEMENTS OF CHANGES IN STOCKHOLDERS’ EQUITY (CAPITAL DEFICIENCY) </w:t>
      </w:r>
      <w:r>
        <w:rPr>
          <w:rFonts w:ascii="Times New Roman" w:cs="Times New Roman" w:eastAsia="Times New Roman" w:hAnsi="Times New Roman"/>
          <w:sz w:val="18"/>
          <w:szCs w:val="18"/>
          <w:color w:val="auto"/>
        </w:rPr>
        <w:t>(U.S. dollars in thousands, except share data)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0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34,765,280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w:t>
            </w:r>
          </w:p>
        </w:tc>
        <w:tc>
          <w:tcPr>
            <w:tcW w:w="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320,280</w:t>
            </w:r>
          </w:p>
        </w:tc>
        <w:tc>
          <w:tcPr>
            <w:tcW w:w="40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(347,352)</w:t>
            </w:r>
          </w:p>
        </w:tc>
        <w:tc>
          <w:tcPr>
            <w:tcW w:w="180" w:type="dxa"/>
            <w:vAlign w:val="bottom"/>
            <w:tcBorders>
              <w:top w:val="single" w:sz="8" w:color="auto"/>
            </w:tcBorders>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(27,037)</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March 31, 2021:</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8,749,999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37,625</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1,867,552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8,575</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(5,475)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(5,475)</w:t>
            </w:r>
          </w:p>
        </w:tc>
        <w:tc>
          <w:tcPr>
            <w:tcW w:w="0" w:type="dxa"/>
            <w:vAlign w:val="bottom"/>
          </w:tcPr>
          <w:p>
            <w:pPr>
              <w:spacing w:after="0"/>
              <w:rPr>
                <w:sz w:val="1"/>
                <w:szCs w:val="1"/>
                <w:color w:val="auto"/>
              </w:rPr>
            </w:pPr>
          </w:p>
        </w:tc>
      </w:tr>
      <w:tr>
        <w:trPr>
          <w:trHeight w:val="182"/>
        </w:trPr>
        <w:tc>
          <w:tcPr>
            <w:tcW w:w="48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45,382,831</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w:t>
            </w: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367,285</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(352,827)</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14,504</w:t>
            </w:r>
          </w:p>
        </w:tc>
        <w:tc>
          <w:tcPr>
            <w:tcW w:w="0" w:type="dxa"/>
            <w:vAlign w:val="bottom"/>
          </w:tcPr>
          <w:p>
            <w:pPr>
              <w:spacing w:after="0"/>
              <w:rPr>
                <w:sz w:val="1"/>
                <w:szCs w:val="1"/>
                <w:color w:val="auto"/>
              </w:rPr>
            </w:pPr>
          </w:p>
        </w:tc>
      </w:tr>
      <w:tr>
        <w:trPr>
          <w:trHeight w:val="129"/>
        </w:trPr>
        <w:tc>
          <w:tcPr>
            <w:tcW w:w="48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45,556,647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368,852</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(374,934)</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(6,036)</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March 31, 2022:</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759,482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46,316,129</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369,688</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(377,220)</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(7,486)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less than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Common stock, $0.001 par value; Authorized – as of March 31, 2022 and 2021 - 120,000,000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income, net (mainly exchange differences)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(gain) on amounts funded in respect of employee rights upon retirement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contracts liability (including non-current portion)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accounts receivable and 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right of use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 other long term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short-term deposits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restricted deposit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promissory note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PERIOD</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PERIOD</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 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INVOLVING CASH FLOWS:</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Right of use assets obtained in exchange for new operating lease liabilities</w:t>
            </w:r>
          </w:p>
        </w:tc>
        <w:tc>
          <w:tcPr>
            <w:tcW w:w="340" w:type="dxa"/>
            <w:vAlign w:val="bottom"/>
            <w:tcBorders>
              <w:top w:val="single" w:sz="8" w:color="auto"/>
              <w:bottom w:val="single" w:sz="8" w:color="auto"/>
            </w:tcBorders>
            <w:shd w:val="clear" w:color="auto" w:fill="CCEEFF"/>
          </w:tcPr>
          <w:p>
            <w:pPr>
              <w:jc w:val="right"/>
              <w:ind w:right="15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4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Interest received</w:t>
            </w:r>
          </w:p>
        </w:tc>
        <w:tc>
          <w:tcPr>
            <w:tcW w:w="340" w:type="dxa"/>
            <w:vAlign w:val="bottom"/>
            <w:shd w:val="clear" w:color="auto" w:fill="CCEEFF"/>
          </w:tcPr>
          <w:p>
            <w:pPr>
              <w:jc w:val="right"/>
              <w:ind w:right="15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880" w:type="dxa"/>
            <w:vAlign w:val="bottom"/>
            <w:gridSpan w:val="2"/>
            <w:shd w:val="clear" w:color="auto" w:fill="CCEEFF"/>
          </w:tcPr>
          <w:p>
            <w:pPr>
              <w:jc w:val="right"/>
              <w:ind w:right="479"/>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980" w:right="160"/>
        <w:spacing w:after="0" w:line="23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taliglucerase alfa (marketed under the name BioManguinhos alfataliglicerase in Brazil and certain other Latin American countries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rest of the territories) for the treatment of Gaucher disease that has been approved for marketing in the United States, Brazil, Israel and other markets. The Company has a number of product candidates in varying stages of the clinical development process. The Company’s strategy is to develop proprietary recombinant proteins that are therapeutically superior to existing recombinant proteins currently marketed for the same indications.</w:t>
      </w:r>
    </w:p>
    <w:p>
      <w:pPr>
        <w:spacing w:after="0" w:line="171" w:lineRule="exact"/>
        <w:rPr>
          <w:rFonts w:ascii="Times New Roman" w:cs="Times New Roman" w:eastAsia="Times New Roman" w:hAnsi="Times New Roman"/>
          <w:sz w:val="18"/>
          <w:szCs w:val="18"/>
          <w:b w:val="1"/>
          <w:bCs w:val="1"/>
          <w:color w:val="auto"/>
        </w:rPr>
      </w:pPr>
    </w:p>
    <w:p>
      <w:pPr>
        <w:ind w:left="98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most advanced investigational drug in the Company’s product pipeline is pegunigalsidase alfa, or PRX-102, a therapeutic protein candidate for the treatment of Fabry disease, a rare, genetic lysosomal disorder, which is the subject of a phase III clinical program. The PRX-102 phase III clinical program includes three separate studies which are referred to as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have been completed, and the last patient from the BALANCE study received the final dose of the study in October 2021. In addition, the phase III clinical program includes two extension studies in which subjects that participated in our phase I/II clinical trials and our phase III clinical trials may enroll and continue to be treated with PRX-102. The studies are designed to evaluate the potential superiority of PRX-102 over current therapies in a head-to-head study and a switch-over study, evaluate the potential for improved efficacy and better quality of life for patients with Fabry disease and evaluate the safety of our drug/therapy.</w:t>
      </w:r>
    </w:p>
    <w:p>
      <w:pPr>
        <w:spacing w:after="0" w:line="153" w:lineRule="exact"/>
        <w:rPr>
          <w:rFonts w:ascii="Times New Roman" w:cs="Times New Roman" w:eastAsia="Times New Roman" w:hAnsi="Times New Roman"/>
          <w:sz w:val="18"/>
          <w:szCs w:val="18"/>
          <w:b w:val="1"/>
          <w:bCs w:val="1"/>
          <w:color w:val="auto"/>
        </w:rPr>
      </w:pPr>
    </w:p>
    <w:p>
      <w:pPr>
        <w:ind w:left="980"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7, 2022, a Marketing Authorization Application (“MAA”) for PRX-102 was submitted to, and subsequently validated by, the European Medicines Agency (“EMA”). The submission was made after the October 8, 2021 meeting the Company held, together with the Company’s development and commercialization partner for PRX-102, Chiesi Farmaceutici S.p.A. (“Chiesi”), with the Rapporteur and Co-Rapporteur of the EMA regarding PRX-102. At the meeting, Chiesi and the Company discussed the scope of the then anticipated MAA submission for the European Union, and the Rapporteur and Co-Rapporteur were generally supportive of the planned MAA submission for PRX-102.</w:t>
      </w:r>
    </w:p>
    <w:p>
      <w:pPr>
        <w:spacing w:after="0" w:line="146" w:lineRule="exact"/>
        <w:rPr>
          <w:rFonts w:ascii="Times New Roman" w:cs="Times New Roman" w:eastAsia="Times New Roman" w:hAnsi="Times New Roman"/>
          <w:sz w:val="18"/>
          <w:szCs w:val="18"/>
          <w:b w:val="1"/>
          <w:bCs w:val="1"/>
          <w:color w:val="auto"/>
        </w:rPr>
      </w:pPr>
    </w:p>
    <w:p>
      <w:pPr>
        <w:ind w:left="980"/>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28, 2021, the Company, together with Chiesi, announced that the receipt of a Complete Response Letter (CRL) from the U.S. Food and Drug Administration (the “FDA”) regarding the biologics license application (“BLA”) for PRX-102 for the treatment of adult patients with Fabry disease. The PRX-102 BLA was submitted to the FDA on May 27, 2020 under the FDA’s Accelerated Approval pathway, and was subsequently accepted by the FDA and granted Priority Review designation. The CRL did not report any concerns relating to the potential safety or efficacy of PRX-102 in the submitted data package. In the CRL, the FDA noted that an inspection of the Company’s manufacturing facility in Carmiel, Israel, including the FDA’s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the novel coronavirus disease (“COVID-19”), the FDA reviewed records under Section 704(a)(4) of the U.S. Federal Food, Drug, and Cosmetic Act (the “FFDCA”) in lieu of a pre-licensing inspection. In the CRL, the FDA stated that it will communicate remaining issues to the facility in order to seek prompt resolution of any pending items. In addition to the foregoing, in the CRL, the FDA noted that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(agalsidase beta), a therapy used to treat Fabry patients (marketed by Sanofi after the acquisition of Genzyme), was recently converted to full approval and is now an “available therapy,” which must be addressed in the context of any potential resubmission of a BLA for PRX-102.</w:t>
      </w:r>
    </w:p>
    <w:p>
      <w:pPr>
        <w:spacing w:after="0" w:line="175" w:lineRule="exact"/>
        <w:rPr>
          <w:rFonts w:ascii="Times New Roman" w:cs="Times New Roman" w:eastAsia="Times New Roman" w:hAnsi="Times New Roman"/>
          <w:sz w:val="18"/>
          <w:szCs w:val="18"/>
          <w:b w:val="1"/>
          <w:bCs w:val="1"/>
          <w:color w:val="auto"/>
        </w:rPr>
      </w:pPr>
    </w:p>
    <w:p>
      <w:pPr>
        <w:ind w:left="980" w:right="100"/>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and Chiesi participated in a Type A (End of Review) meeting with the FDA on September 9, 2021. As part of the meeting minutes provided by the FDA, which included the preliminary comments and meeting discussion, the FDA,</w:t>
      </w:r>
    </w:p>
    <w:p>
      <w:pPr>
        <w:spacing w:after="0" w:line="1" w:lineRule="exact"/>
        <w:rPr>
          <w:sz w:val="20"/>
          <w:szCs w:val="20"/>
          <w:color w:val="auto"/>
        </w:rPr>
      </w:pPr>
    </w:p>
    <w:p>
      <w:pPr>
        <w:ind w:left="980" w:right="540"/>
        <w:spacing w:after="0" w:line="250" w:lineRule="auto"/>
        <w:rPr>
          <w:sz w:val="20"/>
          <w:szCs w:val="20"/>
          <w:color w:val="auto"/>
        </w:rPr>
      </w:pPr>
      <w:r>
        <w:rPr>
          <w:rFonts w:ascii="Times New Roman" w:cs="Times New Roman" w:eastAsia="Times New Roman" w:hAnsi="Times New Roman"/>
          <w:sz w:val="18"/>
          <w:szCs w:val="18"/>
          <w:color w:val="auto"/>
        </w:rPr>
        <w:t>in principle, agreed that the data package proposed to the FDA for a BLA resubmission has the potential to support a traditional approval of PRX-102 for the treatment of Fabry disease. The planned data package for the BLA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40"/>
        <w:spacing w:after="0" w:line="266" w:lineRule="auto"/>
        <w:rPr>
          <w:sz w:val="20"/>
          <w:szCs w:val="20"/>
          <w:color w:val="auto"/>
        </w:rPr>
      </w:pPr>
      <w:r>
        <w:rPr>
          <w:rFonts w:ascii="Times New Roman" w:cs="Times New Roman" w:eastAsia="Times New Roman" w:hAnsi="Times New Roman"/>
          <w:sz w:val="18"/>
          <w:szCs w:val="18"/>
          <w:color w:val="auto"/>
        </w:rPr>
        <w:t xml:space="preserve">resubmission, given the changed regulatory landscape in the United States, will include the final two-year analyses of the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The Company intends to continue to work collaboratively with the FDA to resolve the issues noted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CRL and provide a new, alternative drug to Fabry patients.</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to PRX-102, the Company’s product pipeline currently includes, among other candidates:</w:t>
      </w:r>
    </w:p>
    <w:p>
      <w:pPr>
        <w:spacing w:after="0" w:line="198" w:lineRule="exact"/>
        <w:rPr>
          <w:sz w:val="20"/>
          <w:szCs w:val="20"/>
          <w:color w:val="auto"/>
        </w:rPr>
      </w:pPr>
    </w:p>
    <w:p>
      <w:pPr>
        <w:ind w:left="1340" w:hanging="333"/>
        <w:spacing w:after="0" w:line="261"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alidornase alfa, or PRX-110, a proprietary plant cell recombinant human Deoxyribonuclease 1, or DNase, which has successfully completed a phase II efficacy and safety study; we are continuing to evaluate potential strategic marketing partnerships and collaboration programs with biotechnology and pharmaceutical companies for this product candidate for various respiratory indications;</w:t>
      </w:r>
    </w:p>
    <w:p>
      <w:pPr>
        <w:spacing w:after="0" w:line="139" w:lineRule="exact"/>
        <w:rPr>
          <w:rFonts w:ascii="Times New Roman" w:cs="Times New Roman" w:eastAsia="Times New Roman" w:hAnsi="Times New Roman"/>
          <w:sz w:val="18"/>
          <w:szCs w:val="18"/>
          <w:color w:val="auto"/>
        </w:rPr>
      </w:pPr>
    </w:p>
    <w:p>
      <w:pPr>
        <w:ind w:left="1340" w:right="20" w:hanging="333"/>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refractory gout; and</w:t>
      </w:r>
    </w:p>
    <w:p>
      <w:pPr>
        <w:spacing w:after="0" w:line="121" w:lineRule="exact"/>
        <w:rPr>
          <w:rFonts w:ascii="Times New Roman" w:cs="Times New Roman" w:eastAsia="Times New Roman" w:hAnsi="Times New Roman"/>
          <w:sz w:val="18"/>
          <w:szCs w:val="18"/>
          <w:color w:val="auto"/>
        </w:rPr>
      </w:pPr>
    </w:p>
    <w:p>
      <w:pPr>
        <w:ind w:left="1340" w:right="520" w:hanging="333"/>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the Company’s plant cell-expressed PEGylated recombinant human DNase I product candidate being designed to elongate half-life in the circulation for NETs-related diseases.</w:t>
      </w:r>
    </w:p>
    <w:p>
      <w:pPr>
        <w:spacing w:after="0" w:line="135" w:lineRule="exact"/>
        <w:rPr>
          <w:sz w:val="20"/>
          <w:szCs w:val="20"/>
          <w:color w:val="auto"/>
        </w:rPr>
      </w:pPr>
    </w:p>
    <w:p>
      <w:pPr>
        <w:jc w:val="both"/>
        <w:ind w:left="980" w:right="60"/>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The Company cannot reasonably predict the outcome of these activities.</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“Sales Agreement”) with</w:t>
      </w:r>
    </w:p>
    <w:p>
      <w:pPr>
        <w:spacing w:after="0" w:line="27" w:lineRule="exact"/>
        <w:rPr>
          <w:sz w:val="20"/>
          <w:szCs w:val="20"/>
          <w:color w:val="auto"/>
        </w:rPr>
      </w:pPr>
    </w:p>
    <w:p>
      <w:pPr>
        <w:ind w:left="980" w:right="140"/>
        <w:spacing w:after="0" w:line="235" w:lineRule="auto"/>
        <w:rPr>
          <w:sz w:val="20"/>
          <w:szCs w:val="20"/>
          <w:color w:val="auto"/>
        </w:rPr>
      </w:pPr>
      <w:r>
        <w:rPr>
          <w:rFonts w:ascii="Times New Roman" w:cs="Times New Roman" w:eastAsia="Times New Roman" w:hAnsi="Times New Roman"/>
          <w:sz w:val="18"/>
          <w:szCs w:val="18"/>
          <w:color w:val="auto"/>
        </w:rPr>
        <w:t>H.C. Wainwright &amp; Co., LLC, as the Company’s sales agent (the “Agent”) which was amended on May 2, 2022. Pursuant to the terms of the Sales Agreement, the Company may sell from time to time through the Agent shares of its common stock, par value $0.001 per share (the “Common Stock”), having an aggregate offering price of up to $20.0 million (the “ATM Shares”). Upon execution of the Sales Agreement, the Company terminated the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it had entered into on October 1, 2020 with BofA Securities, Inc. (“BofA Securities”). During the term of the sales agreement with BofA Securities, the Company sold a total of 3,296,123 shares of Common Stock for total gross proceeds of approximately $13.8 million.</w:t>
      </w:r>
    </w:p>
    <w:p>
      <w:pPr>
        <w:spacing w:after="0" w:line="160"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On October 19, 2017, Protalix Ltd. and Chiesi entered into an Exclusive License and Supply Agreement (the “Chiesi Ex-US Agreement”) pursuant to which Protalix Ltd. granted to Chiesi an exclusive license for all markets outside of the United States to commercialize pegunigalsidase alfa. On July 23, 2018, Protalix Ltd. entered into an Exclusive License and Supply Agreement with Chiesi (the “Chiesi US Agreement”) with respect to the commercialization of pegunigalsidase alfa in the United States.</w:t>
      </w:r>
    </w:p>
    <w:p>
      <w:pPr>
        <w:spacing w:after="0" w:line="156" w:lineRule="exact"/>
        <w:rPr>
          <w:sz w:val="20"/>
          <w:szCs w:val="20"/>
          <w:color w:val="auto"/>
        </w:rPr>
      </w:pPr>
    </w:p>
    <w:p>
      <w:pPr>
        <w:ind w:left="980" w:right="60"/>
        <w:spacing w:after="0" w:line="253" w:lineRule="auto"/>
        <w:rPr>
          <w:sz w:val="20"/>
          <w:szCs w:val="20"/>
          <w:color w:val="auto"/>
        </w:rPr>
      </w:pPr>
      <w:r>
        <w:rPr>
          <w:rFonts w:ascii="Times New Roman" w:cs="Times New Roman" w:eastAsia="Times New Roman" w:hAnsi="Times New Roman"/>
          <w:sz w:val="18"/>
          <w:szCs w:val="18"/>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capped at $10.0 million per year, and to receive additional payments of up to $320.0 million, in the aggregate, in regulatory and commercial milestone payments. Under the Chiesi US Agreement, Protalix Ltd. is entitled to payments of up to a maximum of $20.0 million to cover development costs for pegunigalsidase alfa, subject to a maximum of $7.5 million per year, and to receive additional payments of up to a maximum of</w:t>
      </w:r>
    </w:p>
    <w:p>
      <w:pPr>
        <w:spacing w:after="0" w:line="3" w:lineRule="exact"/>
        <w:rPr>
          <w:sz w:val="20"/>
          <w:szCs w:val="20"/>
          <w:color w:val="auto"/>
        </w:rPr>
      </w:pPr>
    </w:p>
    <w:p>
      <w:pPr>
        <w:ind w:left="980" w:right="100"/>
        <w:spacing w:after="0" w:line="260" w:lineRule="auto"/>
        <w:rPr>
          <w:sz w:val="20"/>
          <w:szCs w:val="20"/>
          <w:color w:val="auto"/>
        </w:rPr>
      </w:pPr>
      <w:r>
        <w:rPr>
          <w:rFonts w:ascii="Times New Roman" w:cs="Times New Roman" w:eastAsia="Times New Roman" w:hAnsi="Times New Roman"/>
          <w:sz w:val="18"/>
          <w:szCs w:val="18"/>
          <w:color w:val="auto"/>
        </w:rPr>
        <w:t>$760.0 million, in the aggregate, in regulatory and commercial milestone payments. To date, Protalix Ltd. has received the full amount of development costs to which it is entitled under the Chiesi Agreements.</w:t>
      </w:r>
    </w:p>
    <w:p>
      <w:pPr>
        <w:spacing w:after="0" w:line="100" w:lineRule="exact"/>
        <w:rPr>
          <w:sz w:val="20"/>
          <w:szCs w:val="20"/>
          <w:color w:val="auto"/>
        </w:rPr>
      </w:pPr>
    </w:p>
    <w:p>
      <w:pPr>
        <w:ind w:left="980" w:right="80"/>
        <w:spacing w:after="0" w:line="256"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will manufacture all of the pegunigalsidase alfa needed under the agreements, subject to certain exceptions, and Chiesi will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120" w:lineRule="exact"/>
        <w:rPr>
          <w:sz w:val="20"/>
          <w:szCs w:val="20"/>
          <w:color w:val="auto"/>
        </w:rPr>
      </w:pPr>
    </w:p>
    <w:p>
      <w:pPr>
        <w:ind w:left="980" w:right="460"/>
        <w:spacing w:after="0" w:line="276" w:lineRule="auto"/>
        <w:rPr>
          <w:sz w:val="20"/>
          <w:szCs w:val="20"/>
          <w:color w:val="auto"/>
        </w:rPr>
      </w:pPr>
      <w:r>
        <w:rPr>
          <w:rFonts w:ascii="Times New Roman" w:cs="Times New Roman" w:eastAsia="Times New Roman" w:hAnsi="Times New Roman"/>
          <w:sz w:val="17"/>
          <w:szCs w:val="17"/>
          <w:color w:val="auto"/>
        </w:rPr>
        <w:t>On May 13, 2021, the Company signed a binding term sheet with Chiesi pursuant to which the Company and Chiesi amended the Chiesi Agreements in order to provide the Company with near-term capital. In accordance with the term</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sheet, Chiesi made a $10.0 million payment to the Company in the second quarter of 2021 in exchange for a $25.0 million reduction in a longer term regulatory milestone payment in the Chiesi EX-US Agreement. All other regulatory and commercial milestone payments remain unchanged. The Company also agreed to negotiate certain manufacturing related matters.</w:t>
      </w:r>
    </w:p>
    <w:p>
      <w:pPr>
        <w:spacing w:after="0" w:line="112" w:lineRule="exact"/>
        <w:rPr>
          <w:sz w:val="20"/>
          <w:szCs w:val="20"/>
          <w:color w:val="auto"/>
        </w:rPr>
      </w:pPr>
    </w:p>
    <w:p>
      <w:pPr>
        <w:ind w:left="980" w:right="20"/>
        <w:spacing w:after="0" w:line="255" w:lineRule="auto"/>
        <w:rPr>
          <w:sz w:val="20"/>
          <w:szCs w:val="20"/>
          <w:color w:val="auto"/>
        </w:rPr>
      </w:pPr>
      <w:r>
        <w:rPr>
          <w:rFonts w:ascii="Times New Roman" w:cs="Times New Roman" w:eastAsia="Times New Roman" w:hAnsi="Times New Roman"/>
          <w:sz w:val="18"/>
          <w:szCs w:val="18"/>
          <w:color w:val="auto"/>
        </w:rPr>
        <w:t>Since its approval by the FDA, taliglucerase alfa has been marketed by Pfizer in accordance with the Pfizer Agreement. In October 2015, Protalix Ltd. and Pfizer entered into an amended exclusive license and supply agreement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08" w:lineRule="exact"/>
        <w:rPr>
          <w:sz w:val="20"/>
          <w:szCs w:val="20"/>
          <w:color w:val="auto"/>
        </w:rPr>
      </w:pPr>
    </w:p>
    <w:p>
      <w:pPr>
        <w:ind w:left="980" w:right="80"/>
        <w:spacing w:after="0" w:line="256"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Fundação Oswaldo Cruz (“Fiocruz”), an arm of the Brazilian Ministry of Health (the “Brazilian MoH”),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under the Brazil Agreement, and patients continue to be treated with BioManguinhos alfataliglicerase in Brazil.</w:t>
      </w:r>
    </w:p>
    <w:p>
      <w:pPr>
        <w:spacing w:after="0" w:line="120" w:lineRule="exact"/>
        <w:rPr>
          <w:sz w:val="20"/>
          <w:szCs w:val="20"/>
          <w:color w:val="auto"/>
        </w:rPr>
      </w:pPr>
    </w:p>
    <w:p>
      <w:pPr>
        <w:ind w:left="980" w:right="20"/>
        <w:spacing w:after="0" w:line="254" w:lineRule="auto"/>
        <w:rPr>
          <w:sz w:val="20"/>
          <w:szCs w:val="20"/>
          <w:color w:val="auto"/>
        </w:rPr>
      </w:pPr>
      <w:r>
        <w:rPr>
          <w:rFonts w:ascii="Times New Roman" w:cs="Times New Roman" w:eastAsia="Times New Roman" w:hAnsi="Times New Roman"/>
          <w:sz w:val="18"/>
          <w:szCs w:val="18"/>
          <w:color w:val="auto"/>
        </w:rPr>
        <w:t>COVID-19, which was declared by the World Health Organization to be a global pandemic on March 11, 2020, has had numerous adverse effects on the global economy. To date, the Company’s clinical trials have not been adversely affected by COVID-19, although certain practices the Company has adopted in its offices and facilities in an effort to promote social distancing have resulted in minor delays in the performance of administrative activities outside of the clinical programs. The Company continues to face uncertainty as to the degree and duration of that impact going forward. The Company does not know the length of time that the pandemic and related disruptions will continue, the impact of governmental regulations or easement of regulations in response to the strengthening or weakening of the pandemic, or the degree of overall potentially permanent changes in consumer behavior that may be caused by the pandemic.</w:t>
      </w:r>
    </w:p>
    <w:p>
      <w:pPr>
        <w:spacing w:after="0" w:line="124" w:lineRule="exact"/>
        <w:rPr>
          <w:sz w:val="20"/>
          <w:szCs w:val="20"/>
          <w:color w:val="auto"/>
        </w:rPr>
      </w:pPr>
    </w:p>
    <w:p>
      <w:pPr>
        <w:ind w:left="980" w:right="140"/>
        <w:spacing w:after="0" w:line="261" w:lineRule="auto"/>
        <w:rPr>
          <w:sz w:val="20"/>
          <w:szCs w:val="20"/>
          <w:color w:val="auto"/>
        </w:rPr>
      </w:pPr>
      <w:r>
        <w:rPr>
          <w:rFonts w:ascii="Times New Roman" w:cs="Times New Roman" w:eastAsia="Times New Roman" w:hAnsi="Times New Roman"/>
          <w:sz w:val="18"/>
          <w:szCs w:val="18"/>
          <w:color w:val="auto"/>
        </w:rPr>
        <w:t>The Company believes that its cash and cash equivalents and short-term bank deposits as of March 31, 2022 are sufficient to satisfy the Company’s capital needs for at least 12 months from the date that these financial statements are issued. In addition, under the terms of the Company’s outstanding 7.50% Senior Secured Convertible Notes due 2024 (the “2024 Notes”), the Company is required to maintain a minimum cash balance of at least $7.5 million.</w:t>
      </w:r>
    </w:p>
    <w:p>
      <w:pPr>
        <w:spacing w:after="0" w:line="9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1" w:lineRule="exact"/>
        <w:rPr>
          <w:rFonts w:ascii="Times New Roman" w:cs="Times New Roman" w:eastAsia="Times New Roman" w:hAnsi="Times New Roman"/>
          <w:sz w:val="18"/>
          <w:szCs w:val="18"/>
          <w:b w:val="1"/>
          <w:bCs w:val="1"/>
          <w:color w:val="auto"/>
        </w:rPr>
      </w:pPr>
    </w:p>
    <w:p>
      <w:pPr>
        <w:ind w:left="98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87" w:lineRule="exact"/>
        <w:rPr>
          <w:rFonts w:ascii="Times New Roman" w:cs="Times New Roman" w:eastAsia="Times New Roman" w:hAnsi="Times New Roman"/>
          <w:sz w:val="18"/>
          <w:szCs w:val="18"/>
          <w:b w:val="1"/>
          <w:bCs w:val="1"/>
          <w:color w:val="auto"/>
        </w:rPr>
      </w:pPr>
    </w:p>
    <w:p>
      <w:pPr>
        <w:ind w:left="98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Annual Report on Form 10-K for the year ended December 31, 2021, filed by the Company with the U.S. Securities and y Commission (the “Commission”). The comparative balance sheet at December 31, 2021 has been derived from the audited financial statements at that date. There have been no material changes in our significant accounting policies as described in our consolidated financial statements for the year ended December 31, 2021.</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Basic and diluted loss per share (“LPS”) are computed by dividing net loss by the weighted average number of shares of the Company’s Common Stock attributable to common stockholders outstanding for each period. The calculation of</w:t>
      </w: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diluted LPS does not include 33,004,217 shares of Common Stock underlying outstanding options and shares of Common Stock issuable upon conversion of the outstanding 2024 Notes and the exercise of outstanding warrants for the three months ended March 31, 2022, and 26,769,693 shares of Common Stock underlying outstanding options and shares of Common Stock issuable upon conversion of the Company’s then outstanding 7.50% Senior Secured Convertible Notes due 2021 (the “2021 Notes”) and the exercise of outstanding warrants for the three months ended March 31, 2021, because their effect would be anti-dilutive.</w:t>
      </w:r>
    </w:p>
    <w:p>
      <w:pPr>
        <w:spacing w:after="0" w:line="18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48" w:lineRule="exact"/>
        <w:rPr>
          <w:rFonts w:ascii="Times New Roman" w:cs="Times New Roman" w:eastAsia="Times New Roman" w:hAnsi="Times New Roman"/>
          <w:sz w:val="18"/>
          <w:szCs w:val="18"/>
          <w:b w:val="1"/>
          <w:bCs w:val="1"/>
          <w:color w:val="auto"/>
        </w:rPr>
      </w:pPr>
    </w:p>
    <w:p>
      <w:pPr>
        <w:ind w:left="98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are recorded in the amount of consideration to which the Company expects to be entitled in exchange for performance obligations upon transfer of control to the customer.</w:t>
      </w:r>
    </w:p>
    <w:p>
      <w:pPr>
        <w:spacing w:after="0" w:line="134"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selling products</w:t>
      </w:r>
    </w:p>
    <w:p>
      <w:pPr>
        <w:spacing w:after="0" w:line="184" w:lineRule="exact"/>
        <w:rPr>
          <w:rFonts w:ascii="Times New Roman" w:cs="Times New Roman" w:eastAsia="Times New Roman" w:hAnsi="Times New Roman"/>
          <w:sz w:val="18"/>
          <w:szCs w:val="18"/>
          <w:color w:val="auto"/>
        </w:rPr>
      </w:pPr>
    </w:p>
    <w:p>
      <w:pPr>
        <w:ind w:left="130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revenues from selling goods at a point in time when control over the product is transferred to customers (upon delivery).</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Chiesi Agreements</w:t>
      </w:r>
    </w:p>
    <w:p>
      <w:pPr>
        <w:spacing w:after="0" w:line="184" w:lineRule="exact"/>
        <w:rPr>
          <w:rFonts w:ascii="Times New Roman" w:cs="Times New Roman" w:eastAsia="Times New Roman" w:hAnsi="Times New Roman"/>
          <w:sz w:val="18"/>
          <w:szCs w:val="18"/>
          <w:color w:val="auto"/>
        </w:rPr>
      </w:pPr>
    </w:p>
    <w:p>
      <w:pPr>
        <w:ind w:left="130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identified two performance obligations in Chiesi agreements as follows: (1) the license and research and development services and (2) the contingent performance obligation regarding future manufacturing.</w:t>
      </w:r>
    </w:p>
    <w:p>
      <w:pPr>
        <w:spacing w:after="0" w:line="134" w:lineRule="exact"/>
        <w:rPr>
          <w:rFonts w:ascii="Times New Roman" w:cs="Times New Roman" w:eastAsia="Times New Roman" w:hAnsi="Times New Roman"/>
          <w:sz w:val="18"/>
          <w:szCs w:val="18"/>
          <w:color w:val="auto"/>
        </w:rPr>
      </w:pPr>
    </w:p>
    <w:p>
      <w:pPr>
        <w:ind w:left="1300" w:right="1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17" w:lineRule="exact"/>
        <w:rPr>
          <w:rFonts w:ascii="Times New Roman" w:cs="Times New Roman" w:eastAsia="Times New Roman" w:hAnsi="Times New Roman"/>
          <w:sz w:val="18"/>
          <w:szCs w:val="18"/>
          <w:color w:val="auto"/>
        </w:rPr>
      </w:pPr>
    </w:p>
    <w:p>
      <w:pPr>
        <w:jc w:val="both"/>
        <w:ind w:left="130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manufacturing is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w:t>
      </w:r>
    </w:p>
    <w:p>
      <w:pPr>
        <w:spacing w:after="0" w:line="135" w:lineRule="exact"/>
        <w:rPr>
          <w:rFonts w:ascii="Times New Roman" w:cs="Times New Roman" w:eastAsia="Times New Roman" w:hAnsi="Times New Roman"/>
          <w:sz w:val="18"/>
          <w:szCs w:val="18"/>
          <w:color w:val="auto"/>
        </w:rPr>
      </w:pPr>
    </w:p>
    <w:p>
      <w:pPr>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w:t>
      </w:r>
    </w:p>
    <w:p>
      <w:pPr>
        <w:spacing w:after="0" w:line="161" w:lineRule="exact"/>
        <w:rPr>
          <w:rFonts w:ascii="Times New Roman" w:cs="Times New Roman" w:eastAsia="Times New Roman" w:hAnsi="Times New Roman"/>
          <w:sz w:val="18"/>
          <w:szCs w:val="18"/>
          <w:color w:val="auto"/>
        </w:rPr>
      </w:pPr>
    </w:p>
    <w:p>
      <w:pPr>
        <w:ind w:left="130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The Company used significant judgment when it determined the costs expected to be incurred upon satisfying the identified performance obligation.</w:t>
      </w:r>
    </w:p>
    <w:p>
      <w:pPr>
        <w:spacing w:after="0" w:line="139" w:lineRule="exact"/>
        <w:rPr>
          <w:rFonts w:ascii="Times New Roman" w:cs="Times New Roman" w:eastAsia="Times New Roman" w:hAnsi="Times New Roman"/>
          <w:sz w:val="18"/>
          <w:szCs w:val="18"/>
          <w:color w:val="auto"/>
        </w:rPr>
      </w:pPr>
    </w:p>
    <w:p>
      <w:pPr>
        <w:ind w:left="130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ectPr>
          <w:pgSz w:w="11900" w:h="16838" w:orient="portrait"/>
          <w:cols w:equalWidth="0" w:num="1">
            <w:col w:w="9920"/>
          </w:cols>
          <w:pgMar w:left="980" w:top="661" w:right="99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R&amp;D services</w:t>
      </w:r>
    </w:p>
    <w:p>
      <w:pPr>
        <w:spacing w:after="0" w:line="184" w:lineRule="exact"/>
        <w:rPr>
          <w:rFonts w:ascii="Times New Roman" w:cs="Times New Roman" w:eastAsia="Times New Roman" w:hAnsi="Times New Roman"/>
          <w:sz w:val="18"/>
          <w:szCs w:val="18"/>
          <w:color w:val="auto"/>
        </w:rPr>
      </w:pPr>
    </w:p>
    <w:p>
      <w:pPr>
        <w:ind w:left="130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research and development services is recognized over time using the cost-to-cost method since the customer benefits from the research and development services as the entity performs the service.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at March 31, 2022 and December 31, 2021 consisted of the following:</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w:t>
      </w:r>
    </w:p>
    <w:p>
      <w:pPr>
        <w:spacing w:after="0" w:line="189"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and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49"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21"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98"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21"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usually identical or close to their carrying value.</w:t>
      </w:r>
    </w:p>
    <w:p>
      <w:pPr>
        <w:spacing w:after="0" w:line="135" w:lineRule="exact"/>
        <w:rPr>
          <w:sz w:val="20"/>
          <w:szCs w:val="20"/>
          <w:color w:val="auto"/>
        </w:rPr>
      </w:pPr>
    </w:p>
    <w:p>
      <w:pPr>
        <w:ind w:left="640" w:right="120"/>
        <w:spacing w:after="0" w:line="282" w:lineRule="auto"/>
        <w:rPr>
          <w:sz w:val="20"/>
          <w:szCs w:val="20"/>
          <w:color w:val="auto"/>
        </w:rPr>
      </w:pPr>
      <w:r>
        <w:rPr>
          <w:rFonts w:ascii="Times New Roman" w:cs="Times New Roman" w:eastAsia="Times New Roman" w:hAnsi="Times New Roman"/>
          <w:sz w:val="18"/>
          <w:szCs w:val="18"/>
          <w:color w:val="auto"/>
        </w:rPr>
        <w:t>As of March 31, 2022, the carrying amounts of short-term deposits approximate their fair values due to the stated interest rates, which approximate market rates.</w:t>
      </w:r>
    </w:p>
    <w:p>
      <w:pPr>
        <w:spacing w:after="0" w:line="121" w:lineRule="exact"/>
        <w:rPr>
          <w:sz w:val="20"/>
          <w:szCs w:val="20"/>
          <w:color w:val="auto"/>
        </w:rPr>
      </w:pPr>
    </w:p>
    <w:p>
      <w:pPr>
        <w:ind w:left="640"/>
        <w:spacing w:after="0" w:line="266" w:lineRule="auto"/>
        <w:rPr>
          <w:sz w:val="20"/>
          <w:szCs w:val="20"/>
          <w:color w:val="auto"/>
        </w:rPr>
      </w:pPr>
      <w:r>
        <w:rPr>
          <w:rFonts w:ascii="Times New Roman" w:cs="Times New Roman" w:eastAsia="Times New Roman" w:hAnsi="Times New Roman"/>
          <w:sz w:val="18"/>
          <w:szCs w:val="18"/>
          <w:color w:val="auto"/>
        </w:rPr>
        <w:t>Based on a Level 3 measurement, as of March 31, 2022, the fair value of the $28.75 million aggregate principal amount of the Company’s outstanding 2024 Notes is approximately $33.8 million. The value of these notes was estimated by implementing the binomial model. The liability component was valued based on the Income Approach. The following parameters were used:</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0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2024 Notes</w:t>
            </w:r>
          </w:p>
        </w:tc>
        <w:tc>
          <w:tcPr>
            <w:tcW w:w="200" w:type="dxa"/>
            <w:vAlign w:val="bottom"/>
            <w:tcBorders>
              <w:bottom w:val="single" w:sz="8" w:color="CCEEFF"/>
            </w:tcBorders>
          </w:tcPr>
          <w:p>
            <w:pPr>
              <w:spacing w:after="0"/>
              <w:rPr>
                <w:sz w:val="15"/>
                <w:szCs w:val="15"/>
                <w:color w:val="auto"/>
              </w:rPr>
            </w:pP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disaggregation of revenues:</w:t>
      </w:r>
    </w:p>
    <w:p>
      <w:pPr>
        <w:spacing w:after="0" w:line="17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240" w:type="dxa"/>
            <w:vAlign w:val="bottom"/>
          </w:tcPr>
          <w:p>
            <w:pPr>
              <w:spacing w:after="0"/>
              <w:rPr>
                <w:sz w:val="15"/>
                <w:szCs w:val="15"/>
                <w:color w:val="auto"/>
              </w:rPr>
            </w:pPr>
          </w:p>
        </w:tc>
        <w:tc>
          <w:tcPr>
            <w:tcW w:w="2580" w:type="dxa"/>
            <w:vAlign w:val="bottom"/>
            <w:tcBorders>
              <w:bottom w:val="single" w:sz="8" w:color="auto"/>
            </w:tcBorders>
            <w:gridSpan w:val="5"/>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5,454</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1000" w:type="dxa"/>
            <w:vAlign w:val="bottom"/>
            <w:gridSpan w:val="2"/>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2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9,028</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197"/>
        </w:trPr>
        <w:tc>
          <w:tcPr>
            <w:tcW w:w="51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7,057</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6,809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 TRANSACTIONS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25, 2022, the Company granted, with the approval of the Company’s compensation committee, the following:</w:t>
      </w:r>
    </w:p>
    <w:p>
      <w:pPr>
        <w:spacing w:after="0" w:line="225" w:lineRule="exact"/>
        <w:rPr>
          <w:sz w:val="20"/>
          <w:szCs w:val="20"/>
          <w:color w:val="auto"/>
        </w:rPr>
      </w:pPr>
    </w:p>
    <w:p>
      <w:pPr>
        <w:jc w:val="both"/>
        <w:ind w:left="980" w:right="120"/>
        <w:spacing w:after="0" w:line="266" w:lineRule="auto"/>
        <w:tabs>
          <w:tab w:leader="none" w:pos="13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637,531 shares of restricted Common Stock to its President, Chief Executive Officer under the Company’s Amended and Restated 2006 Employee Stock Incentive Plan, as amended (the “Plan”). The Company estimated the fair value of the restricted stock on the date of grant to be approximately $523,000.</w:t>
      </w:r>
    </w:p>
    <w:p>
      <w:pPr>
        <w:spacing w:after="0" w:line="175" w:lineRule="exact"/>
        <w:rPr>
          <w:rFonts w:ascii="Times New Roman" w:cs="Times New Roman" w:eastAsia="Times New Roman" w:hAnsi="Times New Roman"/>
          <w:sz w:val="18"/>
          <w:szCs w:val="18"/>
          <w:color w:val="auto"/>
        </w:rPr>
      </w:pPr>
    </w:p>
    <w:p>
      <w:pPr>
        <w:ind w:left="980" w:right="460"/>
        <w:spacing w:after="0" w:line="282" w:lineRule="auto"/>
        <w:tabs>
          <w:tab w:leader="none" w:pos="13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121,951 shares of restricted Common Stock to its Sr. Vice President, Chief Financial Officer under the Plan. The Company estimated the fair value of the restricted stock on the date of grant to be approximately $100,000.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During April and May 2022, the Company sold, in the aggregate, 746,171 shares of Common Stock under the Sales Agreement.</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generated aggregate gross proceeds equal to approximately $886,000 in connection with such sales.</w:t>
      </w:r>
    </w:p>
    <w:p>
      <w:pPr>
        <w:spacing w:after="0" w:line="166"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On April 13, 2022, the Company collected approximately $1.2 million from expense reimbursements in connection with its collaboration with Chiesi. On May 10, 2022, the Company collected approximately $3.6 million from sales of alfataliglicerase to Fiocruz.</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2021. Some of the information contained in this discussion and analysis, particularly with respect to our plans and strategy for our business and related financing, includes forward-looking statements within the meanings of Section 27A of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85" w:lineRule="exact"/>
        <w:rPr>
          <w:sz w:val="20"/>
          <w:szCs w:val="20"/>
          <w:color w:val="auto"/>
        </w:rPr>
      </w:pPr>
    </w:p>
    <w:p>
      <w:pPr>
        <w:ind w:right="28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and progress of the preparation of an updated Biologics License Application, or BLA, for PRX-102 addressing the Complete Response Letter, or CRL;</w:t>
      </w:r>
    </w:p>
    <w:p>
      <w:pPr>
        <w:spacing w:after="0" w:line="134" w:lineRule="exact"/>
        <w:rPr>
          <w:rFonts w:ascii="Times New Roman" w:cs="Times New Roman" w:eastAsia="Times New Roman" w:hAnsi="Times New Roman"/>
          <w:sz w:val="18"/>
          <w:szCs w:val="18"/>
          <w:color w:val="auto"/>
        </w:rPr>
      </w:pPr>
    </w:p>
    <w:p>
      <w:pPr>
        <w:ind w:right="100" w:firstLine="656"/>
        <w:spacing w:after="0" w:line="261"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progress and likelihood of final approval by the U.S. Food and Drug Administration, or the FDA, and the European Medicines Agency, or the EMA, of a resubmitted Biologics License Application, or BLA, and of a Marketing Authorization Application, or an MAA, respectively, for PRX-102, and, if approved, whether the use of PRX-102 will be commercially successful;</w:t>
      </w:r>
    </w:p>
    <w:p>
      <w:pPr>
        <w:spacing w:after="0" w:line="139" w:lineRule="exact"/>
        <w:rPr>
          <w:rFonts w:ascii="Times New Roman" w:cs="Times New Roman" w:eastAsia="Times New Roman" w:hAnsi="Times New Roman"/>
          <w:sz w:val="18"/>
          <w:szCs w:val="18"/>
          <w:color w:val="auto"/>
        </w:rPr>
      </w:pPr>
    </w:p>
    <w:p>
      <w:pPr>
        <w:ind w:right="6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FDA, the European Medicines Agency, or EMA, or other foreign regulatory authorities may not accept or approve a marketing application we file for any of our product candidates, and other risks relating to the review process;</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novel coronavirus disease, or COVID-19, outbreak and variants, which may adversely impact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w:t>
      </w:r>
    </w:p>
    <w:p>
      <w:pPr>
        <w:spacing w:after="0" w:line="166" w:lineRule="exact"/>
        <w:rPr>
          <w:rFonts w:ascii="Times New Roman" w:cs="Times New Roman" w:eastAsia="Times New Roman" w:hAnsi="Times New Roman"/>
          <w:sz w:val="18"/>
          <w:szCs w:val="18"/>
          <w:color w:val="auto"/>
        </w:rPr>
      </w:pPr>
    </w:p>
    <w:p>
      <w:pPr>
        <w:ind w:right="14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alternatives;</w:t>
      </w:r>
    </w:p>
    <w:p>
      <w:pPr>
        <w:spacing w:after="0" w:line="198" w:lineRule="exact"/>
        <w:rPr>
          <w:rFonts w:ascii="Times New Roman" w:cs="Times New Roman" w:eastAsia="Times New Roman" w:hAnsi="Times New Roman"/>
          <w:sz w:val="18"/>
          <w:szCs w:val="18"/>
          <w:color w:val="auto"/>
        </w:rPr>
      </w:pPr>
    </w:p>
    <w:p>
      <w:pPr>
        <w:ind w:firstLine="656"/>
        <w:spacing w:after="0" w:line="312" w:lineRule="auto"/>
        <w:tabs>
          <w:tab w:leader="none" w:pos="12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99" w:lineRule="exact"/>
        <w:rPr>
          <w:rFonts w:ascii="Times New Roman" w:cs="Times New Roman" w:eastAsia="Times New Roman" w:hAnsi="Times New Roman"/>
          <w:sz w:val="17"/>
          <w:szCs w:val="17"/>
          <w:color w:val="auto"/>
        </w:rPr>
      </w:pPr>
    </w:p>
    <w:p>
      <w:pPr>
        <w:ind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Inc., or Pfizer, and Chiesi Farmaceutici S.p.A., or Chiesi;</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ectPr>
          <w:pgSz w:w="11900" w:h="16838" w:orient="portrait"/>
          <w:cols w:equalWidth="0" w:num="1">
            <w:col w:w="9900"/>
          </w:cols>
          <w:pgMar w:left="980" w:top="661" w:right="101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services;</w:t>
      </w:r>
    </w:p>
    <w:p>
      <w:pPr>
        <w:spacing w:after="0" w:line="16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 to Pfizer;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potential commercial value of our product and product candidates;</w:t>
      </w:r>
    </w:p>
    <w:p>
      <w:pPr>
        <w:spacing w:after="0" w:line="184"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Fundação Oswaldo Cruz, or Fiocruz, an arm of the Brazilian Ministry of Health, or the Brazilian MoH, with its purchase obligations under our supply and technology transfer agreement, which may have a material adverse effect on us and may also result in the termination of such agreement;</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84" w:lineRule="exact"/>
        <w:rPr>
          <w:rFonts w:ascii="Times New Roman" w:cs="Times New Roman" w:eastAsia="Times New Roman" w:hAnsi="Times New Roman"/>
          <w:sz w:val="18"/>
          <w:szCs w:val="18"/>
          <w:color w:val="auto"/>
        </w:rPr>
      </w:pPr>
    </w:p>
    <w:p>
      <w:pPr>
        <w:ind w:right="100"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98" w:lineRule="exact"/>
        <w:rPr>
          <w:rFonts w:ascii="Times New Roman" w:cs="Times New Roman" w:eastAsia="Times New Roman" w:hAnsi="Times New Roman"/>
          <w:sz w:val="18"/>
          <w:szCs w:val="18"/>
          <w:color w:val="auto"/>
        </w:rPr>
      </w:pPr>
    </w:p>
    <w:p>
      <w:pPr>
        <w:ind w:right="40" w:firstLine="656"/>
        <w:spacing w:after="0" w:line="266"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possible disruption of our operations due to terrorist activities and armed conflict, including as a result of the disruption of the operations of certain regulatory authorities and of certain of our suppliers, collaborative partners, licensees, clinical trial sites, distributors and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Company Developments</w:t>
      </w:r>
    </w:p>
    <w:p>
      <w:pPr>
        <w:spacing w:after="0" w:line="187" w:lineRule="exact"/>
        <w:rPr>
          <w:sz w:val="20"/>
          <w:szCs w:val="20"/>
          <w:color w:val="auto"/>
        </w:rPr>
      </w:pPr>
    </w:p>
    <w:p>
      <w:pPr>
        <w:ind w:right="280" w:firstLine="656"/>
        <w:spacing w:after="0" w:line="284" w:lineRule="auto"/>
        <w:tabs>
          <w:tab w:leader="none" w:pos="9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4, 2022, we, together with Chiesi, announced topline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pivotal Phase III clinical trial evaluating PRX–102, 1 mg/kg, administered every two weeks, compared to agalsidase beta for the treatment of Fabry disease.</w:t>
      </w:r>
    </w:p>
    <w:p>
      <w:pPr>
        <w:spacing w:after="0" w:line="131" w:lineRule="exact"/>
        <w:rPr>
          <w:rFonts w:ascii="Times New Roman" w:cs="Times New Roman" w:eastAsia="Times New Roman" w:hAnsi="Times New Roman"/>
          <w:sz w:val="18"/>
          <w:szCs w:val="18"/>
          <w:color w:val="auto"/>
        </w:rPr>
      </w:pPr>
    </w:p>
    <w:p>
      <w:pPr>
        <w:jc w:val="both"/>
        <w:ind w:right="300" w:firstLine="656"/>
        <w:spacing w:after="0" w:line="265" w:lineRule="auto"/>
        <w:tabs>
          <w:tab w:leader="none" w:pos="9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18, 2022, we, together with Chiesi, announced final results from our phase III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clinical trial of PRX-102 for the treatment of Fabry disease, or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designed to evaluate the safety, efficacy and pharmacokinetics of PRX-102 treatment, 2 mg/kg every four weeks, in up to 30 patients with Fabry disease previously treated with a commercially available enzyme replacement therapy, or ERT (agalsidase alfa – Replagal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agalsidase beta).</w:t>
      </w:r>
    </w:p>
    <w:p>
      <w:pPr>
        <w:spacing w:after="0" w:line="25" w:lineRule="exact"/>
        <w:rPr>
          <w:rFonts w:ascii="Times New Roman" w:cs="Times New Roman" w:eastAsia="Times New Roman" w:hAnsi="Times New Roman"/>
          <w:sz w:val="18"/>
          <w:szCs w:val="18"/>
          <w:color w:val="auto"/>
        </w:rPr>
      </w:pPr>
    </w:p>
    <w:p>
      <w:pPr>
        <w:ind w:right="120" w:firstLine="656"/>
        <w:spacing w:after="0" w:line="258" w:lineRule="auto"/>
        <w:tabs>
          <w:tab w:leader="none" w:pos="9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2022, we, together with Chiesi, announced that the PRX-102 MAA was submitted to the EMA following the October 8, 2021 meeting we, together with Chiesi, held with the Rapporteur and Co-Rapporteur of the EMA regarding PRX-102, and that the submission was subsequently validated by the EMA. At the meeting, we and Chiesi discussed the scope of the anticipated MAA submission for the European Union, and the Rapporteur and Co-Rapporteur were generally supportive of a planned MAA submission.</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light of recent developments relating to the COVID-19 pandemic, the focus of healthcare providers and hospitals on fighting the virus, and consistent with the FDA’s updated industry guidance for conducting clinical trials issued on March 18, 2020, we and our contract research organizations have made certain adjustments to the operation of our clinical trials in an effort to ensure the monitoring and safety of patients and minimize risk to trial integrity during the pandemic and generally, and we may need to make further adjustments in the future.</w:t>
      </w:r>
    </w:p>
    <w:p>
      <w:pPr>
        <w:spacing w:after="0" w:line="1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are in close contact with our principal investigators and clinical sites and our clinical research organizations, which are primarily located in the United States and Europe, and to date, the COVID-19 pandemic has had a minimal effect on the performance of the phase III clinical trials of PRX-102 as many of the patients were already treated in home care settings. We were able to complete two of the trials and the last patient in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received the final dose in the study in October 2021.</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will continue to evaluate the impact of the COVID-19 pandemic and its variants on our business as we learn more and the impact of COVID-19 on our industry becomes more clear. We intend to continuously assess the impact of COVID-19 on our trials, expected timelines and costs.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189" w:lineRule="exact"/>
        <w:rPr>
          <w:sz w:val="20"/>
          <w:szCs w:val="20"/>
          <w:color w:val="auto"/>
        </w:rPr>
      </w:pPr>
    </w:p>
    <w:p>
      <w:pPr>
        <w:ind w:firstLine="656"/>
        <w:spacing w:after="0" w:line="258" w:lineRule="auto"/>
        <w:tabs>
          <w:tab w:leader="none" w:pos="9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56" w:lineRule="exact"/>
        <w:rPr>
          <w:rFonts w:ascii="Times New Roman" w:cs="Times New Roman" w:eastAsia="Times New Roman" w:hAnsi="Times New Roman"/>
          <w:sz w:val="18"/>
          <w:szCs w:val="18"/>
          <w:color w:val="auto"/>
        </w:rPr>
      </w:pPr>
    </w:p>
    <w:p>
      <w:pPr>
        <w:ind w:right="20" w:firstLine="656"/>
        <w:spacing w:after="0" w:line="261" w:lineRule="auto"/>
        <w:tabs>
          <w:tab w:leader="none" w:pos="9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39" w:lineRule="exact"/>
        <w:rPr>
          <w:rFonts w:ascii="Times New Roman" w:cs="Times New Roman" w:eastAsia="Times New Roman" w:hAnsi="Times New Roman"/>
          <w:sz w:val="18"/>
          <w:szCs w:val="18"/>
          <w:color w:val="auto"/>
        </w:rPr>
      </w:pPr>
    </w:p>
    <w:p>
      <w:pPr>
        <w:jc w:val="both"/>
        <w:ind w:right="200" w:firstLine="656"/>
        <w:spacing w:after="0" w:line="261" w:lineRule="auto"/>
        <w:tabs>
          <w:tab w:leader="none" w:pos="9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first and only company to gain FDA approval of a protein produced through plant cell-based expression. Our ProCellEx platform uses flexible polyethylene disposable bioreactors and is optimized for plant cell cultures. As opposed to the large stainless-steel bioreactors commonly used for recombinant protein production, our ProCellEx bioreactors are easy to use and maintain and allow for the major advantage of rapid horizontal scale-up.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6172200" cy="2366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Plant Cell in Suspension Expression System for Therapeutic Proteins Development and Industrial Production: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6172200" cy="2665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6086475" cy="1654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647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Pegunigalsidase Alfa (PRX-102) for the Treatment of Fabry Disease</w:t>
      </w:r>
    </w:p>
    <w:p>
      <w:pPr>
        <w:spacing w:after="0" w:line="20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PRX-102 is our lead product candidate and we expect it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α-galactosidase-A resulting in the progressive accumulation of abnormal deposits of a fatty substance called globotriaosylceramide, or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in blood vessel walls throughout their body. The abnormal storage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increases with time. The ultimate consequences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 The global market for Fabry disease is forecasted to be approximately $1.9 billion and $2.1 billion in 2021 and 2022, respectively (Global Data) and to grow at a CAGR of approximately 10% from 2020-2027 (Global Data)</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7, 2022, the PRX-102 MAA was submitted to, and subsequently validated by, the EMA. The submission was made after the October 8, 2021 meeting we held, together with Chiesi, with the Rapporteur and Co-Rapporteur of the EMA regarding PRX-102. At the meeting, we and Chiesi discussed the scope of the anticipated MAA submission for the European Union, and the Rapporteur and Co-Rapporteur were generally supportive of the planned MAA submission. The MAA submission includes a comprehensive set of preclinical, clinical and manufacturing data compiled from our completed and ongoing clinical studies evaluating PRX-102 as a potential treatment for Fabry disease. The submission is supported by the 12–month interim data analysis generated from our phase III</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clinical trial of PRX-102, which was released in June 2021. Data generated from the completed phase III</w:t>
      </w:r>
      <w:r>
        <w:rPr>
          <w:rFonts w:ascii="Times New Roman" w:cs="Times New Roman" w:eastAsia="Times New Roman" w:hAnsi="Times New Roman"/>
          <w:sz w:val="18"/>
          <w:szCs w:val="18"/>
          <w:i w:val="1"/>
          <w:iCs w:val="1"/>
          <w:color w:val="auto"/>
        </w:rPr>
        <w:t xml:space="preserve"> BRIDGE </w:t>
      </w:r>
      <w:r>
        <w:rPr>
          <w:rFonts w:ascii="Times New Roman" w:cs="Times New Roman" w:eastAsia="Times New Roman" w:hAnsi="Times New Roman"/>
          <w:sz w:val="18"/>
          <w:szCs w:val="18"/>
          <w:color w:val="auto"/>
        </w:rPr>
        <w:t>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trial, the phase 1/2 clinical trial in naive or untreated patients, and from the extension studies with 1 mg/kg every two weeks were also included in the filing. In addition, the MAA includes data from the completed 12–month switch–over phase III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clinical trial of patients treated with the 2 mg/kg every 4 weeks dosage.</w:t>
      </w:r>
    </w:p>
    <w:p>
      <w:pPr>
        <w:spacing w:after="0" w:line="1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initial BLA submitted on May 27, 2020 included a comprehensive set of preclinical, clinical and manufacturing data compiled from our completed phase I/II clinical trial of PRX-102, including the related extension study succeeding our phase I/II clinical trial, interim clinical data from our phase III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switch-over study and safety data from our on-going clinical studies of PRX-102 in patients receiving 1 mg/kg every other week.</w:t>
      </w:r>
    </w:p>
    <w:p>
      <w:pPr>
        <w:spacing w:after="0" w:line="15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April 28, 2021, we, together with Chiesi, announced the receipt of a CRL from the FDA regarding the BLA. The CRL did not report any concerns relating to the potential safety or efficacy of PRX-102 in the submitted data package. In the CRL, the FDA noted that an inspection of Protalix’s manufacturing facility in Carmiel, Israel, including a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704(a)(4) of the FFDCA in lieu of a pre-licensing inspection. In the CRL, the FDA stated that it will communicate remaining issues to the facility in order to seek prompt resolution of any pending items. In addition to the foregoing, in the CRL, the FDA noted that agalsidase beta, a therapy used to treat Fabry patients, was recently converted to full approval and is now an “available therapy,” which must be addressed in the context of any potential resubmission of a BLA for PRX-102.</w:t>
      </w:r>
    </w:p>
    <w:p>
      <w:pPr>
        <w:spacing w:after="0" w:line="1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 xml:space="preserve">We and Chiesi participated in a Type A (End of Review) meeting with the FDA on September 9, 2021 to discuss the FDA’s requirements for a BLA resubmission. As part of the meeting minutes provided by the FDA, which included the preliminary comments and meeting discussion, the FDA, in principle, agreed that the clinical data package proposed to the FDA for a BLA resubmission has the potential to support a traditional approval of PRX-102 for the treatment of Fabry disease. The planned data package for the BLA resubmission, given the changed regulatory landscape in the United States, will include the final two-year analyses of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We intend to continue to work collaboratively with the FDA resolve the issues noted in the CRL and provide a new, alternative drug to Fabry patients.</w:t>
      </w:r>
    </w:p>
    <w:p>
      <w:pPr>
        <w:spacing w:after="0" w:line="13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Given the changed regulatory landscape in the United States, the planned data package for the PRX-102 BLA resubmission is expected to include the final two-year analyses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2017, the European Commission granted Orphan Drug Designation for PRX-102 for the treatment of Fabry disease. Orphan Drug Designation for PRX-102 qualifies Chiesi for access to a centralized marketing authorization procedure, including applications for inspections and for protocol assistance. If the orphan drug designation is maintained at the time PRX-102 is approved for marketing in the European Union, if at all, we expect that PRX-102 will benefit from 10 years of market exclusivity within the European Union. The market exclusivity will not have any effect on Fabry disease treatments already approved at that time.</w:t>
      </w:r>
    </w:p>
    <w:p>
      <w:pPr>
        <w:spacing w:after="0" w:line="14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clinical development program is designed to show that PRX-102 has a potential clinical benefit in adult Fabry patient populations when compared to currently marketed Fabry disease enzymes, agalsidase beta and agalsidase alfa. In preclinical studies, PRX-102 showed enhanced activity in Fabry disease target organs, reduction of the accumulated substrate, significantly longer half-life due to higher enzyme stability, and reduced immunogenicity, which together can potentially lead to improved efficacy through increased substrate clearance and significantly lower formation of antibodies. Providing a meaningful improvement in the health and quality of life for Fabry patients being treated with PRX-102 represents a significant potential market opportunity.</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Our phase III clinical program of PRX-102 for the treatment of Fabry disease includes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study and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The</w:t>
      </w:r>
      <w:r>
        <w:rPr>
          <w:rFonts w:ascii="Times New Roman" w:cs="Times New Roman" w:eastAsia="Times New Roman" w:hAnsi="Times New Roman"/>
          <w:sz w:val="18"/>
          <w:szCs w:val="18"/>
          <w:i w:val="1"/>
          <w:iCs w:val="1"/>
          <w:color w:val="auto"/>
        </w:rPr>
        <w:t xml:space="preserve"> BRIDGE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studies have been completed, and the last patient in the</w:t>
      </w:r>
      <w:r>
        <w:rPr>
          <w:rFonts w:ascii="Times New Roman" w:cs="Times New Roman" w:eastAsia="Times New Roman" w:hAnsi="Times New Roman"/>
          <w:sz w:val="18"/>
          <w:szCs w:val="18"/>
          <w:i w:val="1"/>
          <w:iCs w:val="1"/>
          <w:color w:val="auto"/>
        </w:rPr>
        <w:t xml:space="preserve"> BALANCE </w:t>
      </w:r>
      <w:r>
        <w:rPr>
          <w:rFonts w:ascii="Times New Roman" w:cs="Times New Roman" w:eastAsia="Times New Roman" w:hAnsi="Times New Roman"/>
          <w:sz w:val="18"/>
          <w:szCs w:val="18"/>
          <w:color w:val="auto"/>
        </w:rPr>
        <w:t>study received the final dose in the study in October 2021. In 2015, we completed a phase I/II clinical trial of PRX-102. In the phase III clinical program, we are studying two potential dosing regimens for PRX-102; 1 mg/kg every two weeks, with the potential for improved efficacy and safety offering a potential alternative to existing enzyme replacement therapies, and 2 mg/kg every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four weeks, which has the potential to lower treatment burden versus existing treatments and potentially provide a better quality of life for a subset of Fabry patients.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Patients that completed the </w:t>
      </w:r>
      <w:r>
        <w:rPr>
          <w:rFonts w:ascii="Times New Roman" w:cs="Times New Roman" w:eastAsia="Times New Roman" w:hAnsi="Times New Roman"/>
          <w:sz w:val="18"/>
          <w:szCs w:val="18"/>
          <w:i w:val="1"/>
          <w:iCs w:val="1"/>
          <w:color w:val="auto"/>
        </w:rPr>
        <w:t>BALANCE, 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were offered the opportunity to continue PRX-102 treatment in one of two long-term open-label extension studies. Currently, 126 subjects that participated in the our PRX-102 clinical program have opted, with the advice of the treating physician, to continue PRX-102 treatment in one of our long-term extension studies; 10 subjects that completed an extension study from the phase I/II clinical trial, 18 subjects that completed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69 subjects that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and 29 subjects that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Of the 29 subjects that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that are enrolled in a long-term extension study, 27 of them are being treated with 2 mg/kg of PRX-102 every 4 weeks and two are being treated with 1 mg/kg every two weeks.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2020, we, together with Chiesi, announced an agreement with the FDA for the Initial Pediatric Study Plan (iPSP) for PRX-</w:t>
      </w:r>
    </w:p>
    <w:p>
      <w:pPr>
        <w:spacing w:after="0" w:line="27" w:lineRule="exact"/>
        <w:rPr>
          <w:sz w:val="20"/>
          <w:szCs w:val="20"/>
          <w:color w:val="auto"/>
        </w:rPr>
      </w:pPr>
    </w:p>
    <w:p>
      <w:pPr>
        <w:jc w:val="both"/>
        <w:ind w:right="220" w:firstLine="8"/>
        <w:spacing w:after="0" w:line="255"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announcement was made after completion of discussions with the FDA and receipt of confirmation from the FDA in an official “Agreement Letter” which outlines an agreed-upon approach to evaluate the safety and efficacy of PRX-102 in pediatric Fabry patients in a clinical trial to be performed by Chiesi with our collaborative efforts.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BALANCE Study</w:t>
      </w:r>
    </w:p>
    <w:p>
      <w:pPr>
        <w:spacing w:after="0" w:line="187"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 xml:space="preserve">The pivotal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is a 24-month, randomized, double blind, active control study of PRX-102 in adult Fabry patients with deteriorating renal function that was designed to evaluate the safety and efficacy of 1 mg/kg of PRX-102 administered every two weeks compared to agalsidase beta (Fabrazyme). The study has been completed and topline results from the final analysis are now available. A total of 78 patients who were previously treated with agalsidase beta for at least one year with an estimated glomerular filtration rate (eGFR) slope at screening worse than -2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The last patient in the study received the final dose in October 2021. The study was designed such that no more than 50% of the patients enrolled in the study would be female. Approximately 40% of the enrolled patients were female.</w:t>
      </w:r>
    </w:p>
    <w:p>
      <w:pPr>
        <w:spacing w:after="0" w:line="16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 xml:space="preserve">The primary endpoint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is the comparison in the annualized rate of decline of estimated Glomerular Filtration Rate, or eGFR, slope between agalsidase beta and PRX-102. eGFR is considered a reliable and accepted test to measure kidney function and stage of kidney disease. Additional parameters being evaluated include: cardiac assessment,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(a biomarker for monitoring Fabry patients during therapy), pain, quality of life, immunogenicity, Fabry Clinical Events, pharmacokinetics and other parameters.</w:t>
      </w:r>
    </w:p>
    <w:p>
      <w:pPr>
        <w:spacing w:after="0" w:line="1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As part of the September 2021 Type A End-of-Review meeting, the FDA, in principle, agreed that the proposed analysis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demonstrating non-inferiority to agalsidase beta to be included in the data package for the PRX-102 BLA resubmission has the potential to support the approval of PRX-102 for the treatment of Fabry disease. Given the changed regulatory landscape in the United States with the full approval of agalsidase beta in March 2021, the primary analysis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was changed from superiority to non-inferiority, as demonstrating superiority is no longer required under FDA guidelines. The primary endpoint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compared the eGFR annualized changes (slope) between the two treatment arms in the ITT analysis set (77 patients). The study met its pre-specified primary endpoint and demonstrated that PRX-102 was statistically non-inferior to agalsidase beta.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median (95% confidence interval) of the eGFR slope in the PRX-102 arm was -2.514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(-3.788, -1.240) and</w:t>
      </w:r>
    </w:p>
    <w:p>
      <w:pPr>
        <w:ind w:right="120"/>
        <w:spacing w:after="0" w:line="196" w:lineRule="auto"/>
        <w:rPr>
          <w:sz w:val="20"/>
          <w:szCs w:val="20"/>
          <w:color w:val="auto"/>
        </w:rPr>
      </w:pPr>
      <w:r>
        <w:rPr>
          <w:rFonts w:ascii="Times New Roman" w:cs="Times New Roman" w:eastAsia="Times New Roman" w:hAnsi="Times New Roman"/>
          <w:sz w:val="18"/>
          <w:szCs w:val="18"/>
          <w:color w:val="auto"/>
        </w:rPr>
        <w:t>-2.155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(-3.805, -0.505) in the agalsidase beta arm, demonstrating a large overlap in the confidence intervals of the two arms. The difference in medians (95% confidence interval) is -0.359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(-2.444, 1.726). The prespecified non-inferiority margin was met. Topline results in the PP analysis set (72 patients) are consistent with the ITT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population (ITT analysis set) was composed of 47 males (61.0%) and 30 females (39.0%), with a mean (range) age of 44.3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(18-60) years. The mean duration of prior treatment with agalsidase beta was approximately six years. At baseline, mean (SD) eGFR was</w:t>
      </w:r>
    </w:p>
    <w:p>
      <w:pPr>
        <w:spacing w:after="0" w:line="184" w:lineRule="auto"/>
        <w:rPr>
          <w:sz w:val="20"/>
          <w:szCs w:val="20"/>
          <w:color w:val="auto"/>
        </w:rPr>
      </w:pPr>
      <w:r>
        <w:rPr>
          <w:rFonts w:ascii="Times New Roman" w:cs="Times New Roman" w:eastAsia="Times New Roman" w:hAnsi="Times New Roman"/>
          <w:sz w:val="17"/>
          <w:szCs w:val="17"/>
          <w:color w:val="auto"/>
        </w:rPr>
        <w:t>73.33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(19.82) and median eGFR was 74.51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mean (SD) eGFR slope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-8.21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(5.88) and median eGFR slope was -7.32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w:t>
      </w:r>
    </w:p>
    <w:p>
      <w:pPr>
        <w:spacing w:after="0" w:line="1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adverse event compared to 24 (96.0%) in the agalsidase beta arm. The number of events adjusted to 100 years of exposure is 572.36 events for the PRX-102 arm and 816.85 events for the agalsidase beta arm.</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Treatment-related adverse events were reported for 21 (40.4%) patients in the PRX-102 arm compared to 11 (44.0%) in the agalsidase beta arm. The number of treatment-related events adjusted to 100 years of exposure is 42.85 events for the PRX-102 arm and 152.91 events for the agalsidase beta arm.</w:t>
      </w:r>
    </w:p>
    <w:p>
      <w:pPr>
        <w:sectPr>
          <w:pgSz w:w="11900" w:h="16838" w:orient="portrait"/>
          <w:cols w:equalWidth="0" w:num="1">
            <w:col w:w="9920"/>
          </w:cols>
          <w:pgMar w:left="980" w:top="661" w:right="99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with this reduction in use of premedication, there were fewer reported infusion-related reactions with PRX-102: 11 (21.2%) patients in the PRX-102 arm experienced a total of 13 events compared to six (24.0%) patients experiencing a total of 51 events in the agalsidase beta arm. The number of infusion-related reactions adjusted to 100 infusions is 0.5 for the PRX-102 arm and 3.9 for agalsidase beta arm.</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Assessment of anti-PRX-102 antibodies or anti-agalsidase beta antibodies, respectively, in the study indicated that, for the PRX-102 arm, 18 (34.6%) patients were anti-drug antibody- (ADA-) positive at baseline, of which 17 (94.4%) had neutralizing antibody activity. For the agalsidase beta arm, eight (32.0%) patients were ADA-positive at baseline, of which seven (87.5%) had neutralizing antibody activity. At the end of the two-year study, 11 (23.4%) patients receiving PRX-102 were ADA-positive, of which seven (63.6%) had neutralizing antibody activity, while in the agalsidase beta arm six (26.1%) were ADA-positive and all six (100%) had neutralizing antibody activity.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treatment-related adverse event); one (4%) patient from the agalsidase beta arm discontinued for personal reasons. There were no deaths.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Considering that in the trial, patients in the PRX-102 arm were exposed for the first time to the novel enzyme tolerability data appear favorable for PRX-102 and in line with what was observed in the previous clinical studies of PRX-102.</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the patients that completed the trial, 69 have opted, with the advice of the treating physician, to continue receiving PRX-102 1 mg/kg every other week in a long-term open-label extension study.</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The planned data package for the BLA resubmission, given the changed regulatory landscape in the United States, in planned to include the final two-year analyses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BRIDGE Study</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was a 12-month open-label, single arm switch-over study evaluating the safety and efficacy of pegunigalsidase alfa, 1 mg/kg infused every two weeks, in up to 22 Fabry patients previously treated with agalsidase alfa (Replagal; marketed by Takeda Pharmaceutical Company Limited (acquired Shire Plc)) for at least two years and on a stable dose for at least six months. The trial was completed in December 2019. Patients were screened and evaluated over three months while continuing agalsidase alfa treatment.</w:t>
      </w:r>
    </w:p>
    <w:p>
      <w:pPr>
        <w:spacing w:after="0" w:line="139"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8"/>
          <w:szCs w:val="18"/>
          <w:color w:val="auto"/>
        </w:rPr>
        <w:t xml:space="preserve">Final results of the data generated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 -5.90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while on agalsidase alfa to -1.19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on PRX-102 in all patients. Male patients improved from -6.36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w:t>
      </w:r>
    </w:p>
    <w:p>
      <w:pPr>
        <w:spacing w:after="0" w:line="3"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8"/>
          <w:szCs w:val="18"/>
          <w:color w:val="auto"/>
        </w:rPr>
        <w:t>-1.73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and female patients improved from -5.03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 -0.21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/year. Following the switch to PRX-102, there was a decrease in patients with progressing or fast progressing kidney disease which is consistent with the therapeutic goals for Fabry disease, as identified by Christoph Wanner, </w:t>
      </w:r>
      <w:r>
        <w:rPr>
          <w:rFonts w:ascii="Times New Roman" w:cs="Times New Roman" w:eastAsia="Times New Roman" w:hAnsi="Times New Roman"/>
          <w:sz w:val="18"/>
          <w:szCs w:val="18"/>
          <w:u w:val="single" w:color="auto"/>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w:t>
      </w:r>
      <w:r>
        <w:rPr>
          <w:rFonts w:ascii="Times New Roman" w:cs="Times New Roman" w:eastAsia="Times New Roman" w:hAnsi="Times New Roman"/>
          <w:sz w:val="18"/>
          <w:szCs w:val="18"/>
          <w:color w:val="auto"/>
        </w:rPr>
        <w:t>., in 2019, and most patients achieved a stable status post-switch.</w:t>
      </w:r>
    </w:p>
    <w:p>
      <w:pPr>
        <w:spacing w:after="0" w:line="171"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Of the 22 patients enrolled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majority of treatment emergent adverse events were mild or moderate in severity, with two patients (9.1%) withdrawing from the therapy due to hypersensitivity reaction that was resolved. The most common moderate treatment emergent adverse events were nasopharyngitis, headache and dyspnea.</w:t>
      </w:r>
    </w:p>
    <w:p>
      <w:pPr>
        <w:spacing w:after="0" w:line="1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 immunogenicity assessment indicated that four out of 20 patients (20%) developed persistent antidrug antibodies over the course of the study, of which two had neutralizing activity.</w:t>
      </w:r>
    </w:p>
    <w:p>
      <w:pPr>
        <w:spacing w:after="0" w:line="121"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7"/>
          <w:szCs w:val="17"/>
          <w:color w:val="auto"/>
        </w:rPr>
        <w:t>Baseline characteristics of the 20 patients that completed the study, ranging from ages 28 to 60 years, were as follows: mean eGFR 75.87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males, and 86.14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females and plasma lyso-Gb</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xml:space="preserve"> were 51.81 nM and 13.81 nM in males</w:t>
      </w:r>
    </w:p>
    <w:p>
      <w:pPr>
        <w:sectPr>
          <w:pgSz w:w="11900" w:h="16838" w:orient="portrait"/>
          <w:cols w:equalWidth="0" w:num="1">
            <w:col w:w="9920"/>
          </w:cols>
          <w:pgMar w:left="980" w:top="661" w:right="99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and females, respectively. While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remain slightly high, particularly within the male cohort, continuous reduction in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was observed of 19.55 nM (32.35%) in males and 4.57 nM (29.81%) in females.</w:t>
      </w:r>
    </w:p>
    <w:p>
      <w:pPr>
        <w:spacing w:after="0" w:line="15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Data from the interim analysis of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which were first announced in February 2020, were used to support the PRX-102 BLA filing with the FDA, and we anticipate that the final analysis will be used to support the planned MAA submission to the EMA and the BLA resubmission.</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BRIGHT Study</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was a multicenter, multinational open-label, switch-over study designed to evaluate the safety, efficacy and pharmacokinetics of treatment with 2 mg/kg of PRX-102 administered every four weeks for 52 weeks (a total of 14 infusions). The trial, which was completed in June 2020, enrolled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2 weeks to 2 mg/kg of PRX-102 every 4 weeks for 12 months. Patients participating in the study were evaluated, among other disease parameters, to determine if their kidney disease had not further deteriorated while being treated with the 4-week dosing regimen as measured by eGFR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as well as other parameters. In addition, participating patients were evaluated to assess the safety and tolerability of PRX-102.</w:t>
      </w:r>
    </w:p>
    <w:p>
      <w:pPr>
        <w:spacing w:after="0" w:line="157"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18"/>
          <w:szCs w:val="18"/>
          <w:color w:val="auto"/>
        </w:rPr>
        <w:t xml:space="preserve">We announced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March 2022. The results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anti-drug antibodies, or ADAs, at screening developed treatment-induced ADAs following the switch to PRX-102 treatment.</w:t>
      </w:r>
    </w:p>
    <w:p>
      <w:pPr>
        <w:spacing w:after="0" w:line="19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All 30 patients received at least one dose of pegunigalsidase alfa, and 29 patients completed the one-year study. Of these 29 patients, 28 received the intended regimen of 2 mg/kg every 4 weeks throughout the entire study, while one patient was switched to 1 mg/kg pegunigalsidase alfa every two weeks per protocol at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infusion. One patient withdrew from the study after the first infusion due to a traffic accident.</w:t>
      </w:r>
    </w:p>
    <w:p>
      <w:pPr>
        <w:spacing w:after="0" w:line="1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First infusions of PRX-102 were administered under controlled conditions at the investigation site. Based on the protocol-specified criteria, patients were able to receive their PRX-102 infusions at a home care setup once the Investigator and Sponsor Medical Monitor agreed that it was safe to do so. Safety and efficacy exploratory endpoints were assessed throughout the 52-week study.</w:t>
      </w:r>
    </w:p>
    <w:p>
      <w:pPr>
        <w:spacing w:after="0" w:line="14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Overall, 33 of 183 total treatment-emergent adverse events (TEAEs) reported in nine (30.0%) of the patients were considered treatment related; all were mild or moderate in severity and the majority were resolved at the end of the study. There were no serious or severe treatment-related TEAEs and no TEAEs lead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outcome measures show that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concentrations remained stable during the study with a mean change (±SE) of</w:t>
      </w:r>
    </w:p>
    <w:p>
      <w:pPr>
        <w:spacing w:after="0" w:line="44"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3.01 nM (0.94) from baseline (19.36 nM ±3.35) to Week 52 (22.23 ±3.60 nM). Mean absolute eGFR values were stable during the 52-week treatment period, with a mean change from baseline of -1.27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(1.39). Mean (SE) eGFR slope, at the end of the study, for the overall population, was -2.92 (1.05)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indicating stability.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2 weeks may be successfully transitioned to PRX-102</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 mg/kg every 4 weeks as an effective and tolerable alternative treatment option. Additional long term data is being collected as part of the ongoing long term extension study (NCT03614234) of the 2 mg/kg PRX-102 every 4 weeks dose.</w:t>
      </w:r>
    </w:p>
    <w:p>
      <w:pPr>
        <w:spacing w:after="0" w:line="1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ectPr>
          <w:pgSz w:w="11900" w:h="16838" w:orient="portrait"/>
          <w:cols w:equalWidth="0" w:num="1">
            <w:col w:w="9880"/>
          </w:cols>
          <w:pgMar w:left="980" w:top="661" w:right="1039" w:bottom="1440" w:gutter="0" w:footer="0" w:header="0"/>
        </w:sectPr>
      </w:pP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COVID-19 Impact on PRX-102 Clinical Trials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To date, the COVID-19 pandemic has had a minimal effect on the performance of the phase III clinical trials of PRX-102 as many of the patients were already treated in home care settings. We were able to complete two of the trials and the last patient in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received the final dose in the study in October 2021. In a minimal amount of cases, patients that completed a trial were not able to be transferred into an extension study due to the pandemic restrictions, and, accordingly, the main trial was prolonged for the patients to permit the continuation of treatment.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Study</w:t>
      </w:r>
    </w:p>
    <w:p>
      <w:pPr>
        <w:spacing w:after="0" w:line="189"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Our phase I/II clinical trial of PRX-102, which we completed in 2015, was a worldwide, multi-center, open-label, dose ranging study designed to evaluate the safety, tolerability, pharmacokinetics, immunogenicity and efficacy parameters of PRX-102 in adult Fabry patients. Sixteen adult, naïve Fabry patients (9 male and 7 female) completed the trial, each in one of three dosing groups, 0.2 mg/kg,</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BRIDGE </w:t>
      </w:r>
      <w:r>
        <w:rPr>
          <w:rFonts w:ascii="Times New Roman" w:cs="Times New Roman" w:eastAsia="Times New Roman" w:hAnsi="Times New Roman"/>
          <w:sz w:val="18"/>
          <w:szCs w:val="18"/>
          <w:color w:val="auto"/>
        </w:rPr>
        <w:t>studies of PRX-102.</w:t>
      </w:r>
    </w:p>
    <w:p>
      <w:pPr>
        <w:spacing w:after="0" w:line="55"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The adult symptomatic, ERT-naïve Fabry disease patients enrolled in the phase I/II study were evaluated for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in kidney biopsies and for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 by the quantitative BLISS methodology. Biopsies were available from 14 patients. The outcome of ≥ 50% reduction in the average number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6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4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with Chiesi Farmaceutici</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was entitled to development cost reimbursements of up to $45 million, up to more than $1.0 billion in potential milestone payments and tiered royalties of 15% - 35% (ex-US) and 15% - 40% (US).</w:t>
      </w:r>
    </w:p>
    <w:p>
      <w:pPr>
        <w:spacing w:after="0" w:line="13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ectPr>
          <w:pgSz w:w="11900" w:h="16838" w:orient="portrait"/>
          <w:cols w:equalWidth="0" w:num="1">
            <w:col w:w="9920"/>
          </w:cols>
          <w:pgMar w:left="980" w:top="661"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subject to a maximum of $7.5 million per year. Protalix Ltd. is also eligible to receive additional payments of up to a maximum of $760.0 million, in the aggregate, in regulatory and commercial milestone payments. Chiesi will also make tiered payments of 15% to 40% of its net sales under the Chiesi US Agreement to Protalix Ltd., depending on the amount of annual sales, subject to certain terms and conditions, as consideration for product supply.</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pursuant to which we and Chiesi amended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Company received the payment in June 2021. We also agreed to negotiate certain manufacturing related matters.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Elelyso</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Treatment of Gaucher Disease</w:t>
      </w:r>
    </w:p>
    <w:p>
      <w:pPr>
        <w:spacing w:after="0" w:line="10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enzyme replacement therapy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over 20 markets.</w:t>
      </w:r>
    </w:p>
    <w:p>
      <w:pPr>
        <w:spacing w:after="0" w:line="13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and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37" w:lineRule="exact"/>
        <w:rPr>
          <w:sz w:val="20"/>
          <w:szCs w:val="20"/>
          <w:color w:val="auto"/>
        </w:rPr>
      </w:pPr>
    </w:p>
    <w:p>
      <w:pPr>
        <w:ind w:right="420"/>
        <w:spacing w:after="0" w:line="201" w:lineRule="auto"/>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(acquired by Takeda Pharmaceutical Company Limited)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is forecasted to be approximately $1.5 billion and $1.6 billion in 2021 and 2022, respectively, and to grow at a CAGR of approximately 8.6% from 2020-2027.</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for Elelyso</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first 10-year period after the execution of our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w:t>
      </w:r>
    </w:p>
    <w:p>
      <w:pPr>
        <w:spacing w:after="0" w:line="13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maintain distribution rights to Elelyso in Brazil (marketed in Brazil as BioManguinhos alfataliglicerase) through a supply and technology transfer agreement with Fiocruz, an arm of the Brazilian MoH. In 2020, we generated $8.0 million from sales of BioManguinhos alfataliglicerase to the Brazilian MoH.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Alidornase Alfa (PRX-110)</w:t>
      </w:r>
    </w:p>
    <w:p>
      <w:pPr>
        <w:spacing w:after="0" w:line="20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Alidornase alfa is our chemically-modified plant cell expressed recombinant human DNase I, administered via inhalation. Recombinant human DNase I enzymatically cleaves DNA but its activity is inhibited by actin, which is present in the blood and other target organs. PRX-110 is designed to be less susceptible to actin inhibition and have higher affinity to DNA, thus enhancing enzymatic activity. In-vitro studies have shown PRX-110 to have a highly improved catalytic efficiency and affinity to DNA, compared to dornase alfa (Pulmozyme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currently the only commercially available DNase therapy), even more so in the presence of actin. We are continuing to evaluate potential strategic marketing partnerships and collaboration programs with biotechnology and pharmaceutical companies for this product candidate for various respiratory indications.</w:t>
      </w:r>
    </w:p>
    <w:p>
      <w:pPr>
        <w:sectPr>
          <w:pgSz w:w="11900" w:h="16838" w:orient="portrait"/>
          <w:cols w:equalWidth="0" w:num="1">
            <w:col w:w="9900"/>
          </w:cols>
          <w:pgMar w:left="980" w:top="661" w:right="1019" w:bottom="1440" w:gutter="0" w:footer="0" w:header="0"/>
        </w:sectPr>
      </w:pP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PRX-115</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PRX-115 is our plant cell-expressed recombinant PEGylated uricase (urate oxidase) – a chemically modified enzyme under development for the potential treatment of refractory gout. Gout is the most common inflammatory arthritis in the United States, affecting an estimated 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65"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Currently available urate-lowering therapies, or ULTs, can be effective in treating gout. Refractory gout patients are those whom, despite treatment with existing ULTs, have high flare frequency, consistent tophi, and the inability to maintain therapeutic goals of urate levels. An estimated approximately 2% of the gout population is considered to have chronic refractory disease and are in need of other therapeutic options. One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treatment of chronic gout refractory to conventional therapy (no longer approved in the European Union) and (ii) 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induce strong immunogenic reactions and have other major side-effects. We use ProCellEx to express an optimized recombinant uricase enzyme under development for the potential treatment of refractory gout which we are designing to have an improved half-life, reduced immunogenicity and potentially longer term efficacy.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key element of our overall strategy is to establish a broad portfolio of patents to protect our proprietary technology, proprietary product and product candidates and their methods of use. As of March 31, 2022, we hold a broad portfolio of over 80 patents in Europe, the United States, Israel and additional countries worldwide, as well as over 30 pending patent applications.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Presentations</w:t>
      </w:r>
    </w:p>
    <w:p>
      <w:pPr>
        <w:spacing w:after="0" w:line="20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November 22, 2021, Dr. Ales Linhart, of Charles University in Praha, Czech Republic, a principal investigator in our phase III clinical trials of PRX-102, delivered a virtual presentation entitled “Switching from agalsidase alfa to pegunigalsidase alfa to treat patients with Fabry disease: 1 year of treatment data from BRIDGE, a phase 3 open-label study.” The presentation was delivered at the 14th International Congress of Inborn Errors of Metabolism 2021 (ICIEM) meeting which took place from November 21-23, 2021 virtually and in Sydney, Australia.</w:t>
      </w:r>
    </w:p>
    <w:p>
      <w:pPr>
        <w:spacing w:after="0" w:line="1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February 9, 2022, Mr. Myrl D. Holida, PA, of the University of Iowa Health Care in Iowa City, Iowa, a principal sub-investigator in certain of our phase III clinical trials of PRX-102, delivered a poster presentation entitled “Safety and Efficacy of Pegunigalsidase Alfa Administered Every 4 Weeks in Patients with Fabry Disease: Results from the Phase 3, Open-label, BRIGHT Study” as part of the 18th Annual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xml:space="preserve"> which took place February 7–11, 2022 in San Diego, CA.</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9, 2022, Dr. Derralynn Hughes of University College London in London, UK, a principal investigator in our phase III clinical trials of PRX-102, delivered a poster presentation entitled “Long-Term-Safety and Efficacy of pegunigalsidase alfa: A Multicenter Extension Study in Adult Patients with Fabry Disease” as part of the 18th Annual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xml:space="preserve"> which took place February 7–11, 2022 in San Diego, CA.</w:t>
      </w:r>
    </w:p>
    <w:p>
      <w:pPr>
        <w:spacing w:after="0" w:line="153"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7"/>
          <w:szCs w:val="17"/>
          <w:color w:val="auto"/>
        </w:rPr>
        <w:t>In March 2022, John A. Bernat, M.D., Ph.D., of the University of Iowa Hospitals and Clinics, a principal investigator in our phase III clinical trials of PRX-102, delivered an eposter presentation entitled “Long-term safety and efficacy of pegunigalsidase alfa: 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multicenter extension study in adult patients with Fabry disease” (ePoster) as part of the American College of Medical Genetics and Genomics (ACMG) Annual Clinical Genetics Meeting which took place March 22–26, 2022 in Nashville, TN.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March 2022, John A. Bernat, M.D., Ph.D., of the University of Iowa Hospitals and Clinics, a principal investigator in our phase III clinical trials of PRX-102, delivered an eposter presentation entitled “Safety and Efficacy of Pegunigalsidase Alfa, Every 4 Weeks, in Fabry Disease: Results from the Phase 3, Open-label, BRIGHT Study” (ePoster) as part of the American College of Medical Genetics and Genomics (ACMG) Annual Clinical Genetics Meeting which took place March 22–26, 2022 in Nashville, TN.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Development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continuously work on the further development of our ProCellEx plant cell expression technology and bioreactor system. In addition, we are working on the development of new products, each in different initial stages of development, for specific products for which there are unmet needs in terms of efficacy and safety. Our development strategy focuses on the utilization of different modification approaches and development improvements, customized for each protein product, in all stages of expression and development.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There have been no material changes to our critical accounting policies since we filed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2021.</w:t>
      </w:r>
    </w:p>
    <w:p>
      <w:pPr>
        <w:spacing w:after="0" w:line="16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full extent to which the COVID-19 pandemic will directly or indirectly impact our financial condition, liquidity, or results of operations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customers and markets.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compared to the three months ended March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20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recorded revenues from selling goods of $9.0 million during the three months ended March 31, 2022, an increase of $4.5 million, or 100%, compared to revenues of $4.5 million for the three months ended March 31, 2021. The increase of $5.4 million in sales to Brazil, resulting from timing differences, was partially offset by a decrease of $1.1 million in sales to Pfizer.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recorded revenues from license and R&amp;D services of $7.1 million for the three months ended March 31, 2022 and $6.8 million for the three months ended March 31, 2021. Revenues from license and R&amp;D services are comprised primarily of revenues we recognized in connection with the Chiesi Agreements.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goods sold was $6.0 million for the three months ended March 31, 2022, an increase of $1.2 million, or 25%, from cost of goods sold of $4.8 million for the three months ended March 31, 2021. The increase in cost of goods sold was primarily the result of higher sales.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$8.8 million for the three months ended March 31, 2022, an increase of $1.7 million, or 24%, compared to $7.1 million of research and development expenses for the three months ended March 31, 2021. The increase is primarily the result of subcontractors costs related to the completion of our phase III clinical trials of PRX-102 and maintaining our related extension studies.</w:t>
      </w:r>
    </w:p>
    <w:p>
      <w:pPr>
        <w:spacing w:after="0" w:line="15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$3.2 million for the three months ended March 31, 2022, an increase of $0.1 million, or 3%, compared to $3.1 million for the three months ended March 31,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Expenses, Net</w:t>
      </w:r>
    </w:p>
    <w:p>
      <w:pPr>
        <w:spacing w:after="0" w:line="18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Financial expenses, net were $0.4 million for the three months ended March 31, 2022 and $1.8 million for the three months ended March 31, 2021. The decrease resulted primarily from lower interest and debt amortization costs due to a decrease in our outstanding notes from an aggregate principal amount of $57.92 million 2021 Notes to an aggregate principal amount of $28.75 million 2024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Our sources of liquidity include our cash balances and bank deposits. At March 31, 2022, we had $32.9 million in cash and cash equivalents and short term bank deposits. We have primarily financed our operations through equity and debt financings, business collaborations, and grants funding.</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raised gross proceeds equal to approximately $8.8 million from sales of common stock under our ATM program through the sale of 1,867,552 shares of our common stock. In addition, we raised gross proceeds of approximately $40.2 million from a public offering of our common stock before deducting the underwriting discount and estimated expenses of the offering. In connection with the offering, we issued 8,749,999 shares of our common stock at a purchase price per share of $4.60.</w:t>
      </w:r>
    </w:p>
    <w:p>
      <w:pPr>
        <w:spacing w:after="0" w:line="14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August 25, 2021, we completed exchanges, or the Exchanges, of a substantial majority of our then outstanding 7.50% Senior Secured Convertible Notes due 2021, or the 2021 Notes, with institutional note holders of a substantial majority of the 2021 Notes. The Exchanges involved the exchange of an aggregate of $54.65 million principal amount of our 2021 Notes for an aggregate of</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$28.75 million principal amount of newly issued 7.50% Senior Secured Convertible Notes due 2024, or the 2024 Notes, $25.90 million in cash, and approximately $1.1 million in cash representing accrued and unpaid interest through the closing date. The initial conversion rate for the 2024 Notes is 563.2216 shares of our common stock for each $1,000 principal amount of 2024 Notes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w:t>
      </w:r>
    </w:p>
    <w:p>
      <w:pPr>
        <w:spacing w:after="0" w:line="16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2024 Notes were issued pursuant to the Indenture dated as of August 24, 2021 between us, the guarantors party thereto, The Bank of New York Mellon Trust Company, N.A., as trustee and Wilmington Savings Fund Society, FSB, as collateral agent, or the 2024 Indenture. Interest on the Notes are payable semi-annually at a rate of 7.50% per annum. The 2024 Notes will mature on September 1, 2024, unless earlier purchased, converted, exchanged or redeemed, and are guaranteed by our subsidiaries. The 2024 Notes are secured by perfected liens on all of our assets, including those of our subsidiaries. Under the terms of the 2024 Indenture, we are required to comply with </w:t>
      </w:r>
      <w:r>
        <w:rPr>
          <w:rFonts w:ascii="Times New Roman" w:cs="Times New Roman" w:eastAsia="Times New Roman" w:hAnsi="Times New Roman"/>
          <w:sz w:val="18"/>
          <w:szCs w:val="18"/>
          <w:color w:val="222222"/>
        </w:rPr>
        <w:t>certain covenants, including the requirement to</w:t>
      </w:r>
      <w:r>
        <w:rPr>
          <w:rFonts w:ascii="Times New Roman" w:cs="Times New Roman" w:eastAsia="Times New Roman" w:hAnsi="Times New Roman"/>
          <w:sz w:val="18"/>
          <w:szCs w:val="18"/>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March 31, 2022, we were in compliance with all covenants.</w:t>
      </w:r>
    </w:p>
    <w:p>
      <w:pPr>
        <w:spacing w:after="0" w:line="1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and short-term bank deposits as of March 31, 2022 are sufficient to satisfy our capital needs for at least 12 months from the date that these financial statements are issued.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operations was $5.8 million for the three months ended March 31, 2022. The net loss for the three months ended March 31, 2022 of $2.3 million was increased by a $2.6 million decrease in contracts liability, a $2.3 million increase in accounts receivable and other assets and $1.0 million decrease in account payable and accruals, and was partially offset by a $1.4 million decrease in inventories and a $0.8 million in share-based compensation. Net cash used in investing activities for the three months ended March 31, 2022 was $16.3 million and consisted primarily of investment in bank deposits.</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used in operations was $9.8 million for the three months ended March 31, 2021. In response to the COVID-19 pandemic, a higher number of subjects in our ongoing clinical trials opted for home care treatments over in-site treatments which resulted in an immaterial amount of additional expenses. The net loss for the three months ended March 31, 2021 of $5.5 million was increased by a $3.7 million decrease in contracts liability, a $2.3 million increase in accounts receivable and other assets and a $0.8 million increase in inventories, partially offset by an increase of $0.6 million in accounts payable and accruals, $0.9 million amortization of debt issuance costs and debt discount and $0.8 million in share-based compensation. Net cash used in investing activities for the three months ended March 31, 2021 was $30.7 million and consisted primarily of an increase in bank deposits. Net cash provided by financing activities was $42.1 million resulting from the sale of common stock under our ATM program and from our public offering of common stock, net of the promissory note payment.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expenditures in the near future as we increase our research and developments efforts with respect to our product candidates given the receipt of the CRL from the FDA discussed above, we expect to incur additional expenses in connection with any resubmission. We cannot anticipate the costs or the timing of the occurrence of such costs. In addition, to the extent we need to obtain additional financing in connection with this process or with any additional clinical testing that may be required, it may be more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 advisors and fees for service providers in connection with our research and development efforts and (v) payment of interest on our outstanding 2024 Notes. We believe that our cash and cash equivalents and short term bank deposits are sufficient to satisfy our capital needs for at least 12 months.</w:t>
      </w:r>
    </w:p>
    <w:p>
      <w:pPr>
        <w:spacing w:after="0" w:line="161"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9" w:lineRule="exact"/>
        <w:rPr>
          <w:sz w:val="20"/>
          <w:szCs w:val="20"/>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combined with those of Chiesi, to file for resubmission with the FDA and to commercialize PRX-102;</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98" w:lineRule="exact"/>
        <w:rPr>
          <w:rFonts w:ascii="Times New Roman" w:cs="Times New Roman" w:eastAsia="Times New Roman" w:hAnsi="Times New Roman"/>
          <w:sz w:val="18"/>
          <w:szCs w:val="18"/>
          <w:color w:val="auto"/>
        </w:rPr>
      </w:pPr>
    </w:p>
    <w:p>
      <w:pPr>
        <w:ind w:left="1000" w:right="36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00" w:right="76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expect to finance our future cash needs through corporate collaborations, licensing or similar arrangements, public or private equity offerings and/or debt financings. We currently do not have any commitments for future external funding, except with respect to the development-related payments and milestone payments that may become payable under the Chiesi Agreements. On July 2, 2021, we entered into the Sales Agreement in connection with a new ATM program, as amended on May 2, 2022, pursuant to which we may sell from time to time through the Agent ATM Shares having an aggregate offering price of up to $20.0 million. On the same date, we terminated our former ATM program.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We do not believe currency fluctuations have had a material effect on our results of operations during the three months ended March 31, 2022 and March 31,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of each of March 31, 2022 and March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approximately 65% of our expenses and capital expenditures, as well as the repayment of our 2021 Notes in 2021,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31%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7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3.197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3.268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3.230</w:t>
            </w:r>
          </w:p>
        </w:tc>
        <w:tc>
          <w:tcPr>
            <w:tcW w:w="160" w:type="dxa"/>
            <w:vAlign w:val="bottom"/>
            <w:shd w:val="clear" w:color="auto" w:fill="CCEEFF"/>
          </w:tcPr>
          <w:p>
            <w:pPr>
              <w:spacing w:after="0"/>
              <w:rPr>
                <w:sz w:val="18"/>
                <w:szCs w:val="18"/>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3.176</w:t>
            </w:r>
          </w:p>
        </w:tc>
        <w:tc>
          <w:tcPr>
            <w:tcW w:w="140" w:type="dxa"/>
            <w:vAlign w:val="bottom"/>
          </w:tcPr>
          <w:p>
            <w:pPr>
              <w:spacing w:after="0"/>
              <w:rPr>
                <w:sz w:val="20"/>
                <w:szCs w:val="20"/>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3.334</w:t>
            </w:r>
          </w:p>
        </w:tc>
        <w:tc>
          <w:tcPr>
            <w:tcW w:w="16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3.110</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ectPr>
          <w:pgSz w:w="11900" w:h="16838" w:orient="portrait"/>
          <w:cols w:equalWidth="0" w:num="1">
            <w:col w:w="9920"/>
          </w:cols>
          <w:pgMar w:left="980" w:top="661" w:right="99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2022 that have materially affected, or that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0" w:type="dxa"/>
            <w:vAlign w:val="bottom"/>
            <w:gridSpan w:val="3"/>
          </w:tcPr>
          <w:p>
            <w:pPr>
              <w:jc w:val="center"/>
              <w:ind w:right="631"/>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0" w:type="dxa"/>
            <w:vAlign w:val="bottom"/>
          </w:tcPr>
          <w:p>
            <w:pPr>
              <w:spacing w:after="0"/>
              <w:rPr>
                <w:sz w:val="1"/>
                <w:szCs w:val="1"/>
                <w:color w:val="auto"/>
              </w:rPr>
            </w:pPr>
          </w:p>
        </w:tc>
      </w:tr>
      <w:tr>
        <w:trPr>
          <w:trHeight w:val="107"/>
        </w:trPr>
        <w:tc>
          <w:tcPr>
            <w:tcW w:w="8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gridSpan w:val="1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16"/>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276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Letter Amendment dated May 2, 2022</w:t>
              </w:r>
            </w:hyperlink>
          </w:p>
        </w:tc>
        <w:tc>
          <w:tcPr>
            <w:tcW w:w="860" w:type="dxa"/>
            <w:vAlign w:val="bottom"/>
            <w:gridSpan w:val="10"/>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1.1</w:t>
            </w:r>
          </w:p>
        </w:tc>
        <w:tc>
          <w:tcPr>
            <w:tcW w:w="1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May 2, 2022</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620" w:type="dxa"/>
            <w:vAlign w:val="bottom"/>
            <w:gridSpan w:val="19"/>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Certificate of Incorporation of the Company</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5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Amendment to Certificate of Incorporation of the</w:t>
              </w:r>
            </w:hyperlink>
          </w:p>
        </w:tc>
        <w:tc>
          <w:tcPr>
            <w:tcW w:w="6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50">
              <w:r>
                <w:rPr>
                  <w:rFonts w:ascii="Times New Roman" w:cs="Times New Roman" w:eastAsia="Times New Roman" w:hAnsi="Times New Roman"/>
                  <w:sz w:val="18"/>
                  <w:szCs w:val="18"/>
                  <w:color w:val="0000EE"/>
                  <w:w w:val="97"/>
                </w:rPr>
                <w:t>Company</w:t>
              </w:r>
            </w:hyperlink>
          </w:p>
        </w:tc>
        <w:tc>
          <w:tcPr>
            <w:tcW w:w="2920" w:type="dxa"/>
            <w:vAlign w:val="bottom"/>
            <w:gridSpan w:val="18"/>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620" w:type="dxa"/>
            <w:vAlign w:val="bottom"/>
            <w:gridSpan w:val="19"/>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Second Amendment to Certificate of</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 14A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2018</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Incorporation of the Company</w:t>
              </w:r>
            </w:hyperlink>
          </w:p>
        </w:tc>
        <w:tc>
          <w:tcPr>
            <w:tcW w:w="98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620" w:type="dxa"/>
            <w:vAlign w:val="bottom"/>
            <w:gridSpan w:val="19"/>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Third Amendment to Certificate of Incorporation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2019</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of the Company</w:t>
              </w:r>
            </w:hyperlink>
          </w:p>
        </w:tc>
        <w:tc>
          <w:tcPr>
            <w:tcW w:w="2380" w:type="dxa"/>
            <w:vAlign w:val="bottom"/>
            <w:tcBorders>
              <w:top w:val="single" w:sz="8" w:color="0000EE"/>
            </w:tcBorders>
            <w:gridSpan w:val="15"/>
          </w:tcPr>
          <w:p>
            <w:pPr>
              <w:spacing w:after="0"/>
              <w:rPr>
                <w:sz w:val="17"/>
                <w:szCs w:val="17"/>
                <w:color w:val="auto"/>
              </w:rPr>
            </w:pPr>
          </w:p>
        </w:tc>
        <w:tc>
          <w:tcPr>
            <w:tcW w:w="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620" w:type="dxa"/>
            <w:vAlign w:val="bottom"/>
            <w:gridSpan w:val="19"/>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Bylaws of the Company</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620" w:type="dxa"/>
            <w:vAlign w:val="bottom"/>
            <w:gridSpan w:val="19"/>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Restricted Stock Agreement/Notice</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18, 2012</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Description of Capital Stock</w:t>
              </w:r>
            </w:hyperlink>
          </w:p>
        </w:tc>
        <w:tc>
          <w:tcPr>
            <w:tcW w:w="1120" w:type="dxa"/>
            <w:vAlign w:val="bottom"/>
            <w:tcBorders>
              <w:top w:val="single" w:sz="8" w:color="0000EE"/>
            </w:tcBorders>
            <w:gridSpan w:val="5"/>
          </w:tcPr>
          <w:p>
            <w:pPr>
              <w:spacing w:after="0"/>
              <w:rPr>
                <w:sz w:val="21"/>
                <w:szCs w:val="21"/>
                <w:color w:val="auto"/>
              </w:rPr>
            </w:pPr>
          </w:p>
        </w:tc>
        <w:tc>
          <w:tcPr>
            <w:tcW w:w="440" w:type="dxa"/>
            <w:vAlign w:val="bottom"/>
            <w:gridSpan w:val="9"/>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2020</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620" w:type="dxa"/>
            <w:vAlign w:val="bottom"/>
            <w:gridSpan w:val="19"/>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Warrant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2020</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620" w:type="dxa"/>
            <w:vAlign w:val="bottom"/>
            <w:gridSpan w:val="19"/>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Stock Option Agreement (Executives)</w:t>
              </w:r>
            </w:hyperlink>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10-Q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2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Form of Stock Option Agreement (Standard)</w:t>
              </w:r>
            </w:hyperlink>
          </w:p>
        </w:tc>
        <w:tc>
          <w:tcPr>
            <w:tcW w:w="140" w:type="dxa"/>
            <w:vAlign w:val="bottom"/>
            <w:tcBorders>
              <w:top w:val="single" w:sz="8" w:color="0000EE"/>
            </w:tcBorders>
            <w:gridSpan w:val="3"/>
          </w:tcPr>
          <w:p>
            <w:pPr>
              <w:spacing w:after="0"/>
              <w:rPr>
                <w:sz w:val="21"/>
                <w:szCs w:val="21"/>
                <w:color w:val="auto"/>
              </w:rPr>
            </w:pPr>
          </w:p>
        </w:tc>
        <w:tc>
          <w:tcPr>
            <w:tcW w:w="240" w:type="dxa"/>
            <w:vAlign w:val="bottom"/>
            <w:gridSpan w:val="5"/>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620" w:type="dxa"/>
            <w:vAlign w:val="bottom"/>
            <w:gridSpan w:val="19"/>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Indenture, dated as of August 24, 2021, between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4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Protalix BioTherapeutics, Inc., the guarantors</w:t>
              </w:r>
            </w:hyperlink>
          </w:p>
        </w:tc>
        <w:tc>
          <w:tcPr>
            <w:tcW w:w="14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party thereto, The Bank of New York Mellon</w:t>
              </w:r>
            </w:hyperlink>
          </w:p>
        </w:tc>
        <w:tc>
          <w:tcPr>
            <w:tcW w:w="34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620" w:type="dxa"/>
            <w:vAlign w:val="bottom"/>
            <w:gridSpan w:val="19"/>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Trust Company, N.A., as trustee and Wilmington</w:t>
              </w:r>
            </w:hyperlink>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Savings Fund Society, FSB, as collateral agent</w:t>
              </w:r>
            </w:hyperlink>
          </w:p>
        </w:tc>
        <w:tc>
          <w:tcPr>
            <w:tcW w:w="160" w:type="dxa"/>
            <w:vAlign w:val="bottom"/>
            <w:tcBorders>
              <w:top w:val="single" w:sz="8" w:color="0000EE"/>
            </w:tcBorders>
            <w:gridSpan w:val="3"/>
          </w:tcPr>
          <w:p>
            <w:pPr>
              <w:spacing w:after="0"/>
              <w:rPr>
                <w:sz w:val="17"/>
                <w:szCs w:val="17"/>
                <w:color w:val="auto"/>
              </w:rPr>
            </w:pPr>
          </w:p>
        </w:tc>
        <w:tc>
          <w:tcPr>
            <w:tcW w:w="1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620" w:type="dxa"/>
            <w:vAlign w:val="bottom"/>
            <w:gridSpan w:val="19"/>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Exchange Note (2024)</w:t>
              </w:r>
            </w:hyperlink>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8-K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520" w:type="dxa"/>
            <w:vAlign w:val="bottom"/>
          </w:tcPr>
          <w:p>
            <w:pPr>
              <w:spacing w:after="0"/>
              <w:rPr>
                <w:sz w:val="17"/>
                <w:szCs w:val="17"/>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7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5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w:t>
            </w:r>
          </w:p>
        </w:tc>
        <w:tc>
          <w:tcPr>
            <w:tcW w:w="2400" w:type="dxa"/>
            <w:vAlign w:val="bottom"/>
          </w:tcPr>
          <w:p>
            <w:pPr>
              <w:spacing w:after="0"/>
              <w:rPr>
                <w:sz w:val="24"/>
                <w:szCs w:val="24"/>
                <w:color w:val="auto"/>
              </w:rPr>
            </w:pP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60" w:type="dxa"/>
            <w:vAlign w:val="bottom"/>
          </w:tcPr>
          <w:p>
            <w:pPr>
              <w:spacing w:after="0"/>
              <w:rPr>
                <w:sz w:val="17"/>
                <w:szCs w:val="17"/>
                <w:color w:val="auto"/>
              </w:rPr>
            </w:pPr>
          </w:p>
        </w:tc>
        <w:tc>
          <w:tcPr>
            <w:tcW w:w="3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 13a-14(a) as adopted pursuant to Section</w:t>
            </w:r>
          </w:p>
        </w:tc>
        <w:tc>
          <w:tcPr>
            <w:tcW w:w="242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302 of the Sarbanes-Oxley Act of 2002</w:t>
            </w:r>
          </w:p>
        </w:tc>
        <w:tc>
          <w:tcPr>
            <w:tcW w:w="3100" w:type="dxa"/>
            <w:vAlign w:val="bottom"/>
            <w:gridSpan w:val="6"/>
          </w:tcPr>
          <w:p>
            <w:pPr>
              <w:spacing w:after="0"/>
              <w:rPr>
                <w:sz w:val="17"/>
                <w:szCs w:val="17"/>
                <w:color w:val="auto"/>
              </w:rPr>
            </w:pPr>
          </w:p>
        </w:tc>
        <w:tc>
          <w:tcPr>
            <w:tcW w:w="252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6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 13a-14(a) as adopted pursuant to Section</w:t>
            </w:r>
          </w:p>
        </w:tc>
        <w:tc>
          <w:tcPr>
            <w:tcW w:w="242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302 of the Sarbanes-Oxley Act of 2002</w:t>
            </w:r>
          </w:p>
        </w:tc>
        <w:tc>
          <w:tcPr>
            <w:tcW w:w="3100" w:type="dxa"/>
            <w:vAlign w:val="bottom"/>
            <w:gridSpan w:val="6"/>
          </w:tcPr>
          <w:p>
            <w:pPr>
              <w:spacing w:after="0"/>
              <w:rPr>
                <w:sz w:val="17"/>
                <w:szCs w:val="17"/>
                <w:color w:val="auto"/>
              </w:rPr>
            </w:pPr>
          </w:p>
        </w:tc>
        <w:tc>
          <w:tcPr>
            <w:tcW w:w="252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6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2460" w:type="dxa"/>
            <w:vAlign w:val="bottom"/>
            <w:gridSpan w:val="3"/>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3060" w:type="dxa"/>
            <w:vAlign w:val="bottom"/>
            <w:gridSpan w:val="5"/>
          </w:tcPr>
          <w:p>
            <w:pPr>
              <w:spacing w:after="0"/>
              <w:rPr>
                <w:sz w:val="17"/>
                <w:szCs w:val="17"/>
                <w:color w:val="auto"/>
              </w:rPr>
            </w:pPr>
          </w:p>
        </w:tc>
        <w:tc>
          <w:tcPr>
            <w:tcW w:w="252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6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2460" w:type="dxa"/>
            <w:vAlign w:val="bottom"/>
            <w:gridSpan w:val="3"/>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25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7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XBRL Instance Document - </w:t>
            </w:r>
            <w:r>
              <w:rPr>
                <w:rFonts w:ascii="Times New Roman" w:cs="Times New Roman" w:eastAsia="Times New Roman" w:hAnsi="Times New Roman"/>
                <w:sz w:val="18"/>
                <w:szCs w:val="18"/>
                <w:color w:val="333333"/>
              </w:rPr>
              <w:t>the instance</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60" w:type="dxa"/>
            <w:vAlign w:val="bottom"/>
          </w:tcPr>
          <w:p>
            <w:pPr>
              <w:spacing w:after="0"/>
              <w:rPr>
                <w:sz w:val="18"/>
                <w:szCs w:val="18"/>
                <w:color w:val="auto"/>
              </w:rPr>
            </w:pP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333333"/>
              </w:rPr>
              <w:t>document does not appear in the Interactive Data</w:t>
            </w:r>
          </w:p>
        </w:tc>
        <w:tc>
          <w:tcPr>
            <w:tcW w:w="2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333333"/>
              </w:rPr>
              <w:t>File because its XBRL tags are embedded within</w:t>
            </w:r>
          </w:p>
        </w:tc>
        <w:tc>
          <w:tcPr>
            <w:tcW w:w="252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333333"/>
              </w:rPr>
              <w:t>the Inline XBRL document</w:t>
            </w:r>
          </w:p>
        </w:tc>
        <w:tc>
          <w:tcPr>
            <w:tcW w:w="2520" w:type="dxa"/>
            <w:vAlign w:val="bottom"/>
          </w:tcPr>
          <w:p>
            <w:pPr>
              <w:spacing w:after="0"/>
              <w:rPr>
                <w:sz w:val="20"/>
                <w:szCs w:val="20"/>
                <w:color w:val="auto"/>
              </w:rPr>
            </w:pP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60" w:type="dxa"/>
            <w:vAlign w:val="bottom"/>
          </w:tcPr>
          <w:p>
            <w:pPr>
              <w:spacing w:after="0"/>
              <w:rPr>
                <w:sz w:val="20"/>
                <w:szCs w:val="20"/>
                <w:color w:val="auto"/>
              </w:rPr>
            </w:pP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2520" w:type="dxa"/>
            <w:vAlign w:val="bottom"/>
          </w:tcPr>
          <w:p>
            <w:pPr>
              <w:spacing w:after="0"/>
              <w:rPr>
                <w:sz w:val="20"/>
                <w:szCs w:val="20"/>
                <w:color w:val="auto"/>
              </w:rPr>
            </w:pP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60" w:type="dxa"/>
            <w:vAlign w:val="bottom"/>
          </w:tcPr>
          <w:p>
            <w:pPr>
              <w:spacing w:after="0"/>
              <w:rPr>
                <w:sz w:val="20"/>
                <w:szCs w:val="20"/>
                <w:color w:val="auto"/>
              </w:rPr>
            </w:pP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20" w:type="dxa"/>
            <w:vAlign w:val="bottom"/>
          </w:tcPr>
          <w:p>
            <w:pPr>
              <w:spacing w:after="0"/>
              <w:rPr>
                <w:sz w:val="20"/>
                <w:szCs w:val="20"/>
                <w:color w:val="auto"/>
              </w:rPr>
            </w:pP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60" w:type="dxa"/>
            <w:vAlign w:val="bottom"/>
          </w:tcPr>
          <w:p>
            <w:pPr>
              <w:spacing w:after="0"/>
              <w:rPr>
                <w:sz w:val="20"/>
                <w:szCs w:val="20"/>
                <w:color w:val="auto"/>
              </w:rPr>
            </w:pP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20" w:type="dxa"/>
            <w:vAlign w:val="bottom"/>
          </w:tcPr>
          <w:p>
            <w:pPr>
              <w:spacing w:after="0"/>
              <w:rPr>
                <w:sz w:val="20"/>
                <w:szCs w:val="20"/>
                <w:color w:val="auto"/>
              </w:rPr>
            </w:pP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60" w:type="dxa"/>
            <w:vAlign w:val="bottom"/>
          </w:tcPr>
          <w:p>
            <w:pPr>
              <w:spacing w:after="0"/>
              <w:rPr>
                <w:sz w:val="20"/>
                <w:szCs w:val="20"/>
                <w:color w:val="auto"/>
              </w:rPr>
            </w:pP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20" w:type="dxa"/>
            <w:vAlign w:val="bottom"/>
          </w:tcPr>
          <w:p>
            <w:pPr>
              <w:spacing w:after="0"/>
              <w:rPr>
                <w:sz w:val="20"/>
                <w:szCs w:val="20"/>
                <w:color w:val="auto"/>
              </w:rPr>
            </w:pP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60" w:type="dxa"/>
            <w:vAlign w:val="bottom"/>
          </w:tcPr>
          <w:p>
            <w:pPr>
              <w:spacing w:after="0"/>
              <w:rPr>
                <w:sz w:val="20"/>
                <w:szCs w:val="20"/>
                <w:color w:val="auto"/>
              </w:rPr>
            </w:pPr>
          </w:p>
        </w:tc>
        <w:tc>
          <w:tcPr>
            <w:tcW w:w="5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20" w:type="dxa"/>
            <w:vAlign w:val="bottom"/>
          </w:tcPr>
          <w:p>
            <w:pPr>
              <w:spacing w:after="0"/>
              <w:rPr>
                <w:sz w:val="20"/>
                <w:szCs w:val="20"/>
                <w:color w:val="auto"/>
              </w:rPr>
            </w:pPr>
          </w:p>
        </w:tc>
      </w:tr>
    </w:tbl>
    <w:p>
      <w:pPr>
        <w:spacing w:after="0" w:line="76" w:lineRule="exact"/>
        <w:rPr>
          <w:sz w:val="20"/>
          <w:szCs w:val="20"/>
          <w:color w:val="auto"/>
        </w:rPr>
      </w:pPr>
    </w:p>
    <w:p>
      <w:pPr>
        <w:ind w:left="860" w:right="5440" w:hanging="851"/>
        <w:spacing w:after="0" w:line="266"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0" w:lineRule="exact"/>
        <w:rPr>
          <w:sz w:val="20"/>
          <w:szCs w:val="20"/>
          <w:color w:val="auto"/>
        </w:rPr>
      </w:pPr>
    </w:p>
    <w:p>
      <w:pPr>
        <w:ind w:left="320" w:hanging="311"/>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compensation plans or arrangements in which directors or executive officers are eligible to participate.</w:t>
      </w:r>
    </w:p>
    <w:p>
      <w:pPr>
        <w:spacing w:after="0" w:line="317" w:lineRule="exact"/>
        <w:rPr>
          <w:rFonts w:ascii="Times New Roman" w:cs="Times New Roman" w:eastAsia="Times New Roman" w:hAnsi="Times New Roman"/>
          <w:sz w:val="17"/>
          <w:szCs w:val="17"/>
          <w:color w:val="auto"/>
        </w:rPr>
      </w:pPr>
    </w:p>
    <w:p>
      <w:pPr>
        <w:ind w:left="4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00" w:firstLine="4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 /s/ Dror Bashan</w:t>
      </w:r>
    </w:p>
    <w:p>
      <w:pPr>
        <w:spacing w:after="0" w:line="9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-127635</wp:posOffset>
            </wp:positionV>
            <wp:extent cx="30086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1"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 /s/ Eyal Rubin</w:t>
      </w:r>
    </w:p>
    <w:p>
      <w:pPr>
        <w:spacing w:after="0" w:line="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-127635</wp:posOffset>
            </wp:positionV>
            <wp:extent cx="30086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Senior Vice President and Chief Financial Officer, Treasurer and</w:t>
      </w:r>
    </w:p>
    <w:p>
      <w:pPr>
        <w:spacing w:after="0" w:line="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185"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440" w:right="140" w:hanging="432"/>
        <w:spacing w:after="0" w:line="266" w:lineRule="auto"/>
        <w:tabs>
          <w:tab w:leader="none" w:pos="4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880" w:right="300" w:hanging="432"/>
        <w:spacing w:after="0" w:line="266" w:lineRule="auto"/>
        <w:tabs>
          <w:tab w:leader="none" w:pos="8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00" w:right="660" w:hanging="451"/>
        <w:spacing w:after="0" w:line="282" w:lineRule="auto"/>
        <w:tabs>
          <w:tab w:leader="none" w:pos="9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185"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440" w:right="140" w:hanging="432"/>
        <w:spacing w:after="0" w:line="266" w:lineRule="auto"/>
        <w:tabs>
          <w:tab w:leader="none" w:pos="49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9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880" w:right="300" w:hanging="432"/>
        <w:spacing w:after="0" w:line="266" w:lineRule="auto"/>
        <w:tabs>
          <w:tab w:leader="none" w:pos="88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00" w:right="660" w:hanging="451"/>
        <w:spacing w:after="0" w:line="282" w:lineRule="auto"/>
        <w:tabs>
          <w:tab w:leader="none" w:pos="9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March 31, 2022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39" w:lineRule="exact"/>
        <w:rPr>
          <w:sz w:val="20"/>
          <w:szCs w:val="20"/>
          <w:color w:val="auto"/>
        </w:rPr>
      </w:pPr>
    </w:p>
    <w:p>
      <w:pPr>
        <w:ind w:left="440" w:right="400" w:firstLine="9"/>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34"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March 31, 2022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440" w:right="400" w:firstLine="8"/>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34"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2"/>
    </w:lvl>
  </w:abstractNum>
  <w:abstractNum w:abstractNumId="6">
    <w:nsid w:val="DED7263"/>
    <w:multiLevelType w:val="hybridMultilevel"/>
    <w:lvl w:ilvl="0">
      <w:lvlJc w:val="left"/>
      <w:lvlText w:val="%1."/>
      <w:numFmt w:val="lowerLetter"/>
      <w:start w:val="4"/>
    </w:lvl>
    <w:lvl w:ilvl="1">
      <w:lvlJc w:val="left"/>
      <w:lvlText w:val="%2."/>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0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48" Type="http://schemas.openxmlformats.org/officeDocument/2006/relationships/hyperlink" Target="https://www.sec.gov/Archives/edgar/data/1006281/000155837022006566/plx-20220502xex1d1.htm" TargetMode="External"/><Relationship Id="rId49" Type="http://schemas.openxmlformats.org/officeDocument/2006/relationships/hyperlink" Target="https://www.sec.gov/Archives/edgar/data/1006281/000114420416092335/v435826_ex3-1.htm" TargetMode="External"/><Relationship Id="rId50" Type="http://schemas.openxmlformats.org/officeDocument/2006/relationships/hyperlink" Target="https://www.sec.gov/Archives/edgar/data/1006281/000114420416111273/v443094_def14a.htm" TargetMode="External"/><Relationship Id="rId51" Type="http://schemas.openxmlformats.org/officeDocument/2006/relationships/hyperlink" Target="https://www.sec.gov/Archives/edgar/data/1006281/000114420418054229/tv504383-def14a.htm" TargetMode="External"/><Relationship Id="rId52" Type="http://schemas.openxmlformats.org/officeDocument/2006/relationships/hyperlink" Target="https://www.sec.gov/Archives/edgar/data/1006281/000110465919074602/tm1926620d1_ex3-1.htm" TargetMode="External"/><Relationship Id="rId53" Type="http://schemas.openxmlformats.org/officeDocument/2006/relationships/hyperlink" Target="https://www.sec.gov/Archives/edgar/data/1006281/000114420416092335/v435826_ex3-2.htm" TargetMode="External"/><Relationship Id="rId54" Type="http://schemas.openxmlformats.org/officeDocument/2006/relationships/hyperlink" Target="https://www.sec.gov/Archives/edgar/data/1006281/000114420412040015/v318898_ex4-1.htm" TargetMode="External"/><Relationship Id="rId55" Type="http://schemas.openxmlformats.org/officeDocument/2006/relationships/hyperlink" Target="https://www.sec.gov/Archives/edgar/data/1006281/000110465920032540/tm205240d1_ex4-7.htm" TargetMode="External"/><Relationship Id="rId56" Type="http://schemas.openxmlformats.org/officeDocument/2006/relationships/hyperlink" Target="https://www.sec.gov/Archives/edgar/data/1006281/000110465920032169/tm2012488d1_ex4-1.htm" TargetMode="External"/><Relationship Id="rId57" Type="http://schemas.openxmlformats.org/officeDocument/2006/relationships/hyperlink" Target="https://www.sec.gov/Archives/edgar/data/1006281/000110465920092375/plx-20200630xex4d8.htm" TargetMode="External"/><Relationship Id="rId58" Type="http://schemas.openxmlformats.org/officeDocument/2006/relationships/hyperlink" Target="https://www.sec.gov/Archives/edgar/data/1006281/000110465920092375/plx-20200630xex4d9.htm" TargetMode="External"/><Relationship Id="rId59" Type="http://schemas.openxmlformats.org/officeDocument/2006/relationships/hyperlink" Target="https://www.sec.gov/Archives/edgar/data/1006281/000155837021012078/plx-20210824xex4d2.htm" TargetMode="External"/><Relationship Id="rId60" Type="http://schemas.openxmlformats.org/officeDocument/2006/relationships/hyperlink" Target="https://www.sec.gov/Archives/edgar/data/1006281/000155837021012078/plx-20210824xex4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2022-05-16T06:23:37Z</dcterms:created>
  <dcterms:modified xsi:type="dcterms:W3CDTF">2022-05-16T06:23:37Z</dcterms:modified>
</cp:coreProperties>
</file>