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928370</wp:posOffset>
            </wp:positionH>
            <wp:positionV relativeFrom="page">
              <wp:posOffset>317500</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363220</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89535</wp:posOffset>
            </wp:positionV>
            <wp:extent cx="142303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64770</wp:posOffset>
            </wp:positionV>
            <wp:extent cx="1423035"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99060</wp:posOffset>
            </wp:positionV>
            <wp:extent cx="142303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Protalix BioTherapeutics,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60325</wp:posOffset>
            </wp:positionV>
            <wp:extent cx="142303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249" w:lineRule="exact"/>
        <w:rPr>
          <w:sz w:val="24"/>
          <w:szCs w:val="24"/>
          <w:color w:val="auto"/>
        </w:rPr>
      </w:pPr>
    </w:p>
    <w:tbl>
      <w:tblPr>
        <w:tblLayout w:type="fixed"/>
        <w:tblInd w:w="600" w:type="dxa"/>
        <w:tblCellMar>
          <w:top w:w="0" w:type="dxa"/>
          <w:left w:w="0" w:type="dxa"/>
          <w:bottom w:w="0" w:type="dxa"/>
          <w:right w:w="0" w:type="dxa"/>
        </w:tblCellMar>
      </w:tblPr>
      <w:tr>
        <w:trPr>
          <w:trHeight w:val="144"/>
        </w:trPr>
        <w:tc>
          <w:tcPr>
            <w:tcW w:w="2320" w:type="dxa"/>
            <w:vAlign w:val="bottom"/>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6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w:t>
            </w:r>
          </w:p>
        </w:tc>
        <w:tc>
          <w:tcPr>
            <w:tcW w:w="1900" w:type="dxa"/>
            <w:vAlign w:val="bottom"/>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001-33357</w:t>
            </w:r>
          </w:p>
        </w:tc>
        <w:tc>
          <w:tcPr>
            <w:tcW w:w="9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65-0643773</w:t>
            </w:r>
          </w:p>
        </w:tc>
      </w:tr>
      <w:tr>
        <w:trPr>
          <w:trHeight w:val="144"/>
        </w:trPr>
        <w:tc>
          <w:tcPr>
            <w:tcW w:w="23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6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w:t>
            </w:r>
          </w:p>
        </w:tc>
        <w:tc>
          <w:tcPr>
            <w:tcW w:w="920" w:type="dxa"/>
            <w:vAlign w:val="bottom"/>
          </w:tcPr>
          <w:p>
            <w:pPr>
              <w:spacing w:after="0"/>
              <w:rPr>
                <w:sz w:val="12"/>
                <w:szCs w:val="12"/>
                <w:color w:val="auto"/>
              </w:rPr>
            </w:pPr>
          </w:p>
        </w:tc>
        <w:tc>
          <w:tcPr>
            <w:tcW w:w="1480" w:type="dxa"/>
            <w:vAlign w:val="bottom"/>
          </w:tcPr>
          <w:p>
            <w:pPr>
              <w:jc w:val="center"/>
              <w:ind w:left="48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320" w:type="dxa"/>
            <w:vAlign w:val="bottom"/>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6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jc w:val="center"/>
              <w:ind w:left="48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3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2 University Plaza</w:t>
            </w:r>
          </w:p>
        </w:tc>
        <w:tc>
          <w:tcPr>
            <w:tcW w:w="6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44"/>
        </w:trPr>
        <w:tc>
          <w:tcPr>
            <w:tcW w:w="23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Suite 100</w:t>
            </w: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4"/>
        </w:trPr>
        <w:tc>
          <w:tcPr>
            <w:tcW w:w="23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Hackensack, NJ</w:t>
            </w: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07601</w:t>
            </w:r>
          </w:p>
        </w:tc>
      </w:tr>
      <w:tr>
        <w:trPr>
          <w:trHeight w:val="159"/>
        </w:trPr>
        <w:tc>
          <w:tcPr>
            <w:tcW w:w="232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6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8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201-696-9345</w:t>
      </w:r>
    </w:p>
    <w:p>
      <w:pPr>
        <w:spacing w:after="0" w:line="13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64770</wp:posOffset>
            </wp:positionV>
            <wp:extent cx="1423035"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276" w:lineRule="exact"/>
        <w:rPr>
          <w:sz w:val="24"/>
          <w:szCs w:val="24"/>
          <w:color w:val="auto"/>
        </w:rPr>
      </w:pPr>
    </w:p>
    <w:p>
      <w:pPr>
        <w:ind w:left="20" w:right="319"/>
        <w:spacing w:after="0" w:line="283"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82" w:lineRule="exact"/>
        <w:rPr>
          <w:sz w:val="24"/>
          <w:szCs w:val="24"/>
          <w:color w:val="auto"/>
        </w:rPr>
      </w:pPr>
    </w:p>
    <w:p>
      <w:pPr>
        <w:ind w:left="240" w:hanging="218"/>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 pursuant to Rule 425 under the Securities Act (17 CFR 230.425)</w:t>
      </w:r>
    </w:p>
    <w:p>
      <w:pPr>
        <w:spacing w:after="0" w:line="132" w:lineRule="exact"/>
        <w:rPr>
          <w:rFonts w:ascii="MS PGothic" w:cs="MS PGothic" w:eastAsia="MS PGothic" w:hAnsi="MS PGothic"/>
          <w:sz w:val="12"/>
          <w:szCs w:val="12"/>
          <w:color w:val="auto"/>
        </w:rPr>
      </w:pPr>
    </w:p>
    <w:p>
      <w:pPr>
        <w:ind w:left="240" w:hanging="218"/>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23" w:lineRule="exact"/>
        <w:rPr>
          <w:rFonts w:ascii="MS PGothic" w:cs="MS PGothic" w:eastAsia="MS PGothic" w:hAnsi="MS PGothic"/>
          <w:sz w:val="12"/>
          <w:szCs w:val="12"/>
          <w:color w:val="auto"/>
        </w:rPr>
      </w:pPr>
    </w:p>
    <w:p>
      <w:pPr>
        <w:ind w:left="240" w:hanging="218"/>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23" w:lineRule="exact"/>
        <w:rPr>
          <w:rFonts w:ascii="MS PGothic" w:cs="MS PGothic" w:eastAsia="MS PGothic" w:hAnsi="MS PGothic"/>
          <w:sz w:val="12"/>
          <w:szCs w:val="12"/>
          <w:color w:val="auto"/>
        </w:rPr>
      </w:pPr>
    </w:p>
    <w:p>
      <w:pPr>
        <w:ind w:left="240" w:hanging="218"/>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01" w:lineRule="exact"/>
        <w:rPr>
          <w:rFonts w:ascii="MS PGothic" w:cs="MS PGothic" w:eastAsia="MS PGothic" w:hAnsi="MS PGothic"/>
          <w:sz w:val="12"/>
          <w:szCs w:val="12"/>
          <w:color w:val="auto"/>
        </w:rPr>
      </w:pPr>
    </w:p>
    <w:p>
      <w:pPr>
        <w:ind w:left="3040"/>
        <w:spacing w:after="0"/>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109" w:lineRule="exact"/>
        <w:rPr>
          <w:sz w:val="24"/>
          <w:szCs w:val="24"/>
          <w:color w:val="auto"/>
        </w:rPr>
      </w:pPr>
    </w:p>
    <w:tbl>
      <w:tblPr>
        <w:tblLayout w:type="fixed"/>
        <w:tblInd w:w="30" w:type="dxa"/>
        <w:tblCellMar>
          <w:top w:w="0" w:type="dxa"/>
          <w:left w:w="0" w:type="dxa"/>
          <w:bottom w:w="0" w:type="dxa"/>
          <w:right w:w="0" w:type="dxa"/>
        </w:tblCellMar>
      </w:tblPr>
      <w:tr>
        <w:trPr>
          <w:trHeight w:val="153"/>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36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Common stock, $0.001 par value</w:t>
            </w:r>
          </w:p>
        </w:tc>
        <w:tc>
          <w:tcPr>
            <w:tcW w:w="18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PLX</w:t>
            </w:r>
          </w:p>
        </w:tc>
        <w:tc>
          <w:tcPr>
            <w:tcW w:w="35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NYSE American</w:t>
            </w:r>
          </w:p>
        </w:tc>
      </w:tr>
    </w:tbl>
    <w:p>
      <w:pPr>
        <w:spacing w:after="0" w:line="88" w:lineRule="exact"/>
        <w:rPr>
          <w:sz w:val="24"/>
          <w:szCs w:val="24"/>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38" w:lineRule="exact"/>
        <w:rPr>
          <w:sz w:val="24"/>
          <w:szCs w:val="24"/>
          <w:color w:val="auto"/>
        </w:rPr>
      </w:pPr>
    </w:p>
    <w:p>
      <w:pPr>
        <w:ind w:left="75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63" w:lineRule="exact"/>
        <w:rPr>
          <w:sz w:val="24"/>
          <w:szCs w:val="24"/>
          <w:color w:val="auto"/>
        </w:rPr>
      </w:pPr>
    </w:p>
    <w:p>
      <w:pPr>
        <w:ind w:left="20" w:right="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394970</wp:posOffset>
            </wp:positionV>
            <wp:extent cx="56921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143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17780</wp:posOffset>
            </wp:positionV>
            <wp:extent cx="56921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52070</wp:posOffset>
            </wp:positionV>
            <wp:extent cx="569214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 w:name="page2"/>
    <w:bookmarkEnd w:id="1"/>
    <w:p>
      <w:pPr>
        <w:ind w:left="20"/>
        <w:spacing w:after="0"/>
        <w:tabs>
          <w:tab w:leader="none" w:pos="8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4"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212529"/>
        </w:rPr>
        <w:t>On May 21, 2026, Protalix BioTherapeutics, Inc., a Delaware corporation, posted a corporate presentation to its website. A copy of the corporate presentation is furnished as Exhibit 99.1 to this Current Report on Form 8-K.</w:t>
      </w:r>
    </w:p>
    <w:p>
      <w:pPr>
        <w:spacing w:after="0" w:line="111" w:lineRule="exact"/>
        <w:rPr>
          <w:sz w:val="20"/>
          <w:szCs w:val="20"/>
          <w:color w:val="auto"/>
        </w:rPr>
      </w:pPr>
    </w:p>
    <w:p>
      <w:pPr>
        <w:ind w:left="20" w:right="79"/>
        <w:spacing w:after="0" w:line="260" w:lineRule="auto"/>
        <w:rPr>
          <w:sz w:val="20"/>
          <w:szCs w:val="20"/>
          <w:color w:val="auto"/>
        </w:rPr>
      </w:pPr>
      <w:r>
        <w:rPr>
          <w:rFonts w:ascii="Times New Roman" w:cs="Times New Roman" w:eastAsia="Times New Roman" w:hAnsi="Times New Roman"/>
          <w:sz w:val="12"/>
          <w:szCs w:val="12"/>
          <w:color w:val="212529"/>
        </w:rPr>
        <w:t>In accordance with General Instruction B.2 of Form 8-K, the information in this Item 7.01 to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77"/>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No.</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2"/>
                <w:szCs w:val="12"/>
                <w:color w:val="auto"/>
              </w:rPr>
              <w:t>Description</w:t>
            </w:r>
          </w:p>
        </w:tc>
      </w:tr>
      <w:tr>
        <w:trPr>
          <w:trHeight w:val="108"/>
        </w:trPr>
        <w:tc>
          <w:tcPr>
            <w:tcW w:w="20" w:type="dxa"/>
            <w:vAlign w:val="bottom"/>
          </w:tcPr>
          <w:p>
            <w:pPr>
              <w:spacing w:after="0"/>
              <w:rPr>
                <w:sz w:val="9"/>
                <w:szCs w:val="9"/>
                <w:color w:val="auto"/>
              </w:rPr>
            </w:pPr>
          </w:p>
        </w:tc>
        <w:tc>
          <w:tcPr>
            <w:tcW w:w="7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99.1</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Borders>
              <w:bottom w:val="single" w:sz="8" w:color="0000EE"/>
            </w:tcBorders>
          </w:tcPr>
          <w:p>
            <w:pPr>
              <w:spacing w:after="0" w:line="108" w:lineRule="exact"/>
              <w:rPr>
                <w:sz w:val="20"/>
                <w:szCs w:val="20"/>
                <w:color w:val="auto"/>
              </w:rPr>
            </w:pPr>
            <w:r>
              <w:rPr>
                <w:rFonts w:ascii="Times New Roman" w:cs="Times New Roman" w:eastAsia="Times New Roman" w:hAnsi="Times New Roman"/>
                <w:sz w:val="12"/>
                <w:szCs w:val="12"/>
                <w:color w:val="0000EE"/>
                <w:w w:val="98"/>
              </w:rPr>
              <w:t>May 2026 Corporate Presentation</w:t>
            </w:r>
          </w:p>
        </w:tc>
        <w:tc>
          <w:tcPr>
            <w:tcW w:w="6100" w:type="dxa"/>
            <w:vAlign w:val="bottom"/>
          </w:tcPr>
          <w:p>
            <w:pPr>
              <w:spacing w:after="0"/>
              <w:rPr>
                <w:sz w:val="9"/>
                <w:szCs w:val="9"/>
                <w:color w:val="auto"/>
              </w:rPr>
            </w:pPr>
          </w:p>
        </w:tc>
      </w:tr>
      <w:tr>
        <w:trPr>
          <w:trHeight w:val="151"/>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062"/>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Date: May 21, 2026</w:t>
            </w:r>
          </w:p>
        </w:tc>
        <w:tc>
          <w:tcPr>
            <w:tcW w:w="5940" w:type="dxa"/>
            <w:vAlign w:val="bottom"/>
            <w:gridSpan w:val="3"/>
          </w:tcPr>
          <w:p>
            <w:pPr>
              <w:ind w:left="2060"/>
              <w:spacing w:after="0"/>
              <w:rPr>
                <w:sz w:val="20"/>
                <w:szCs w:val="20"/>
                <w:color w:val="auto"/>
              </w:rPr>
            </w:pPr>
            <w:r>
              <w:rPr>
                <w:rFonts w:ascii="Times New Roman" w:cs="Times New Roman" w:eastAsia="Times New Roman" w:hAnsi="Times New Roman"/>
                <w:sz w:val="12"/>
                <w:szCs w:val="12"/>
                <w:b w:val="1"/>
                <w:bCs w:val="1"/>
                <w:color w:val="auto"/>
              </w:rPr>
              <w:t>PROTALIX BIOTHERAPEUTICS, INC.</w:t>
            </w:r>
          </w:p>
        </w:tc>
      </w:tr>
      <w:tr>
        <w:trPr>
          <w:trHeight w:val="576"/>
        </w:trPr>
        <w:tc>
          <w:tcPr>
            <w:tcW w:w="3020" w:type="dxa"/>
            <w:vAlign w:val="bottom"/>
          </w:tcPr>
          <w:p>
            <w:pPr>
              <w:spacing w:after="0"/>
              <w:rPr>
                <w:sz w:val="24"/>
                <w:szCs w:val="24"/>
                <w:color w:val="auto"/>
              </w:rPr>
            </w:pPr>
          </w:p>
        </w:tc>
        <w:tc>
          <w:tcPr>
            <w:tcW w:w="5940" w:type="dxa"/>
            <w:vAlign w:val="bottom"/>
            <w:gridSpan w:val="3"/>
          </w:tcPr>
          <w:p>
            <w:pPr>
              <w:ind w:left="2060"/>
              <w:spacing w:after="0"/>
              <w:rPr>
                <w:sz w:val="20"/>
                <w:szCs w:val="20"/>
                <w:color w:val="auto"/>
              </w:rPr>
            </w:pPr>
            <w:r>
              <w:rPr>
                <w:rFonts w:ascii="Times New Roman" w:cs="Times New Roman" w:eastAsia="Times New Roman" w:hAnsi="Times New Roman"/>
                <w:sz w:val="12"/>
                <w:szCs w:val="12"/>
                <w:color w:val="auto"/>
              </w:rPr>
              <w:t>By:  /s/ Dror Bashan</w:t>
            </w:r>
          </w:p>
        </w:tc>
      </w:tr>
      <w:tr>
        <w:trPr>
          <w:trHeight w:val="122"/>
        </w:trPr>
        <w:tc>
          <w:tcPr>
            <w:tcW w:w="30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14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Dror Bashan</w:t>
            </w:r>
          </w:p>
        </w:tc>
      </w:tr>
      <w:tr>
        <w:trPr>
          <w:trHeight w:val="144"/>
        </w:trPr>
        <w:tc>
          <w:tcPr>
            <w:tcW w:w="3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President and</w:t>
            </w:r>
          </w:p>
        </w:tc>
      </w:tr>
      <w:tr>
        <w:trPr>
          <w:trHeight w:val="155"/>
        </w:trPr>
        <w:tc>
          <w:tcPr>
            <w:tcW w:w="3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655"/>
        </w:trPr>
        <w:tc>
          <w:tcPr>
            <w:tcW w:w="3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2026-05-21T06:04:36Z</dcterms:created>
  <dcterms:modified xsi:type="dcterms:W3CDTF">2026-05-21T06:04:36Z</dcterms:modified>
</cp:coreProperties>
</file>