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2703d1_s8.htm"/>
      <w:bookmarkStart w:id="1" w:name="kstm2622703d1_s8"/>
      <w:bookmarkEnd w:id="0"/>
      <w:bookmarkEnd w:id="1"/>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333-_______</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b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S-8</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REGISTRATION STATEMENT </w:t>
      </w:r>
      <w:r>
        <w:rPr>
          <w:rFonts w:ascii="Times New Roman;Times;Serif" w:hAnsi="Times New Roman;Times;Serif"/>
          <w:b/>
          <w:i w:val="false"/>
          <w:caps/>
          <w:sz w:val="20"/>
        </w:rPr>
        <w:t xml:space="preserve">Under </w:t>
      </w:r>
      <w:r>
        <w:rPr>
          <w:rFonts w:ascii="Times New Roman;Times;Serif" w:hAnsi="Times New Roman;Times;Serif"/>
          <w:b/>
          <w:i w:val="false"/>
          <w:caps w:val="false"/>
          <w:smallCaps w:val="false"/>
          <w:sz w:val="20"/>
        </w:rPr>
        <w:t>THE SECURITIES ACT OF 1933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Protalix BioTherapeutics,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4900" w:type="dxa"/>
        <w:jc w:val="left"/>
        <w:tblInd w:w="0" w:type="dxa"/>
        <w:tblLayout w:type="fixed"/>
        <w:tblCellMar>
          <w:top w:w="0" w:type="dxa"/>
          <w:left w:w="0" w:type="dxa"/>
          <w:bottom w:w="0" w:type="dxa"/>
          <w:right w:w="0" w:type="dxa"/>
        </w:tblCellMar>
      </w:tblPr>
      <w:tblGrid>
        <w:gridCol w:w="2870"/>
        <w:gridCol w:w="60"/>
        <w:gridCol w:w="1970"/>
      </w:tblGrid>
      <w:tr>
        <w:trPr/>
        <w:tc>
          <w:tcPr>
            <w:tcW w:w="287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60" w:type="dxa"/>
            <w:tcBorders/>
            <w:vAlign w:val="center"/>
          </w:tcPr>
          <w:p>
            <w:pPr>
              <w:pStyle w:val="TableContents"/>
              <w:bidi w:val="0"/>
              <w:spacing w:before="0" w:after="283"/>
              <w:jc w:val="center"/>
              <w:rPr/>
            </w:pPr>
            <w:r>
              <w:rPr/>
              <w:t> </w:t>
            </w:r>
          </w:p>
        </w:tc>
        <w:tc>
          <w:tcPr>
            <w:tcW w:w="197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65-0643773</w:t>
            </w:r>
          </w:p>
        </w:tc>
      </w:tr>
      <w:tr>
        <w:trPr/>
        <w:tc>
          <w:tcPr>
            <w:tcW w:w="287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(State or other jurisdiction</w:t>
            </w:r>
          </w:p>
        </w:tc>
        <w:tc>
          <w:tcPr>
            <w:tcW w:w="60" w:type="dxa"/>
            <w:tcBorders/>
            <w:vAlign w:val="center"/>
          </w:tcPr>
          <w:p>
            <w:pPr>
              <w:pStyle w:val="TableContents"/>
              <w:bidi w:val="0"/>
              <w:spacing w:before="0" w:after="283"/>
              <w:jc w:val="center"/>
              <w:rPr/>
            </w:pPr>
            <w:r>
              <w:rPr/>
              <w:t> </w:t>
            </w:r>
          </w:p>
        </w:tc>
        <w:tc>
          <w:tcPr>
            <w:tcW w:w="197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(I.R.S. Employer</w:t>
            </w:r>
          </w:p>
        </w:tc>
      </w:tr>
      <w:tr>
        <w:trPr/>
        <w:tc>
          <w:tcPr>
            <w:tcW w:w="287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of incorporation or organization)</w:t>
            </w:r>
          </w:p>
        </w:tc>
        <w:tc>
          <w:tcPr>
            <w:tcW w:w="60" w:type="dxa"/>
            <w:tcBorders/>
            <w:vAlign w:val="center"/>
          </w:tcPr>
          <w:p>
            <w:pPr>
              <w:pStyle w:val="TableContents"/>
              <w:bidi w:val="0"/>
              <w:spacing w:before="0" w:after="283"/>
              <w:jc w:val="center"/>
              <w:rPr/>
            </w:pPr>
            <w:r>
              <w:rPr/>
              <w:t> </w:t>
            </w:r>
          </w:p>
        </w:tc>
        <w:tc>
          <w:tcPr>
            <w:tcW w:w="197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Identification Number)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University Plaza, Suite 100</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Hackensack, NJ 07601</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 696-9345</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Protalix BioTherapeutics, Inc. Amended &amp; Restated 2006 Stock Incentive Plan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(Full title of plan)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Dror Bashan, President and Chief Executive Officer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Protalix BioTherapeutics,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University Plaza, Suite 100</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Hackensack, NJ 07601</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 696-9345</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address, including zip code, and telephone number, including area code, of agent for service)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With a Copy to:</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Anna T. Pinedo</w:t>
      </w:r>
    </w:p>
    <w:p>
      <w:pPr>
        <w:pStyle w:val="TextBody"/>
        <w:bidi w:val="0"/>
        <w:spacing w:before="0" w:after="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Brian D. Hirshberg</w:t>
      </w:r>
    </w:p>
    <w:p>
      <w:pPr>
        <w:pStyle w:val="TextBody"/>
        <w:bidi w:val="0"/>
        <w:spacing w:before="0" w:after="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Mayer Brown LLP</w:t>
      </w:r>
    </w:p>
    <w:p>
      <w:pPr>
        <w:pStyle w:val="TextBody"/>
        <w:bidi w:val="0"/>
        <w:spacing w:before="0" w:after="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1221 Avenue of the Americas</w:t>
      </w:r>
    </w:p>
    <w:p>
      <w:pPr>
        <w:pStyle w:val="TextBody"/>
        <w:bidi w:val="0"/>
        <w:spacing w:before="0" w:after="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New York, New York 10020-1001</w:t>
      </w:r>
    </w:p>
    <w:p>
      <w:pPr>
        <w:pStyle w:val="TextBody"/>
        <w:bidi w:val="0"/>
        <w:spacing w:before="0" w:after="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(212) 506-2500</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pStyle w:val="TextBody"/>
        <w:bidi w:val="0"/>
        <w:spacing w:before="0" w:after="0"/>
        <w:ind w:left="0" w:right="0" w:hanging="0"/>
        <w:jc w:val="left"/>
        <w:rPr>
          <w:caps w:val="false"/>
          <w:smallCaps w:val="false"/>
        </w:rPr>
      </w:pPr>
      <w:r>
        <w:rPr>
          <w:caps w:val="false"/>
          <w:smallCaps w:val="false"/>
        </w:rPr>
        <w:t> </w:t>
      </w:r>
    </w:p>
    <w:tbl>
      <w:tblPr>
        <w:tblW w:w="8335" w:type="dxa"/>
        <w:jc w:val="left"/>
        <w:tblInd w:w="0" w:type="dxa"/>
        <w:tblLayout w:type="fixed"/>
        <w:tblCellMar>
          <w:top w:w="0" w:type="dxa"/>
          <w:left w:w="0" w:type="dxa"/>
          <w:bottom w:w="0" w:type="dxa"/>
          <w:right w:w="0" w:type="dxa"/>
        </w:tblCellMar>
      </w:tblPr>
      <w:tblGrid>
        <w:gridCol w:w="1835"/>
        <w:gridCol w:w="230"/>
        <w:gridCol w:w="3740"/>
        <w:gridCol w:w="6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w:t>
            </w:r>
          </w:p>
        </w:tc>
        <w:tc>
          <w:tcPr>
            <w:tcW w:w="230" w:type="dxa"/>
            <w:tcBorders/>
            <w:vAlign w:val="center"/>
          </w:tcPr>
          <w:p>
            <w:pPr>
              <w:pStyle w:val="TableContents"/>
              <w:bidi w:val="0"/>
              <w:spacing w:before="0" w:after="283"/>
              <w:jc w:val="left"/>
              <w:rPr/>
            </w:pPr>
            <w:r>
              <w:rPr/>
              <w:t>☐</w:t>
            </w:r>
          </w:p>
        </w:tc>
        <w:tc>
          <w:tcPr>
            <w:tcW w:w="3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w:t>
            </w:r>
          </w:p>
        </w:tc>
        <w:tc>
          <w:tcPr>
            <w:tcW w:w="230" w:type="dxa"/>
            <w:tcBorders/>
            <w:vAlign w:val="center"/>
          </w:tcPr>
          <w:p>
            <w:pPr>
              <w:pStyle w:val="TableContents"/>
              <w:bidi w:val="0"/>
              <w:spacing w:before="0" w:after="283"/>
              <w:jc w:val="left"/>
              <w:rPr/>
            </w:pPr>
            <w:r>
              <w:rPr/>
              <w:t>☐</w:t>
            </w:r>
          </w:p>
        </w:tc>
        <w:tc>
          <w:tcPr>
            <w:tcW w:w="37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 not check if a smaller reporting company)</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Protalix BioTherapeutics, Inc., a Delaware corporation, or the Company, previously filed a registration statement on Form S-8 (File No. 333-148983) with the Securities and Exchange Commission, or the Commission, in connection with the registration of an aggregate of 974,165 shares of its common stock, par value $.001 per share, or common stock, to be issued under the Protalix BioTherapeutics, Inc. Amended &amp; Restated 2006 Stock Incentive Plan, or the Plan, and subsequently filed (i) a second registration statement on Form S-8 (File No. 333-182677) with the Commission in connection with the registration of 160,000 additional shares of its common stock to be issued under the Plan; (ii) a third registration statement on Form S-8 (File No. 333-203960) with the Commission in connection with the registration of 250,000 additional shares of its common stock to be issued under the Plan; (iii) a fourth registration statement on Form S-8 (File No. 333-225526) with the Commission in connection with the registration of 1,000,000 additional shares of its common stock to be issued under the Plan; (iv) a fifth registration statement on Form S-8 (File No. 333-239101) with the Commission in connection with the registration of 3,341,006 additional shares of its common stock to be issued under the Plan; (v) a sixth registration statement on Form S-8 (File No. 333-266131) with the Commission in connection with the registration of 2,750,000 additional shares of its common stock to be issued under the Plan; (vi) a seventh registration statement on Form S-8 (File No. 333-273936) with the Commission in connection with the registration of 4,000,000 additional shares of its common stock to be issued under the Plan; and (vii)  an eighth registration statement on Form S-8 (File No. 333-280644) with the Commission in connection with the registration of 5,000,000 additional shares of its common stock to be issued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Times;Serif" w:hAnsi="Times New Roman;Times;Serif"/>
          <w:b w:val="false"/>
          <w:i w:val="false"/>
          <w:caps w:val="false"/>
          <w:smallCaps w:val="false"/>
          <w:sz w:val="20"/>
        </w:rPr>
        <w:t xml:space="preserve">Pursuant to General Instruction E of Form S-8, the Company is filing this registration statement on Form S-8 solely to register an additional 3,500,000 shares of its common stock available for issuance under the Plan. This increase was approved by the Company’s Board of Directors and stockholders. Pursuant to Instruction E, the contents of Registration Statements on Form S-8 (File Nos. </w:t>
      </w:r>
      <w:hyperlink r:id="rId2">
        <w:r>
          <w:rPr>
            <w:rStyle w:val="InternetLink"/>
            <w:rFonts w:ascii="Times New Roman;Times;Serif" w:hAnsi="Times New Roman;Times;Serif"/>
            <w:b w:val="false"/>
            <w:i w:val="false"/>
            <w:caps w:val="false"/>
            <w:smallCaps w:val="false"/>
            <w:sz w:val="20"/>
          </w:rPr>
          <w:t>333-148983</w:t>
        </w:r>
      </w:hyperlink>
      <w:r>
        <w:rPr>
          <w:rFonts w:ascii="Times New Roman;Times;Serif" w:hAnsi="Times New Roman;Times;Serif"/>
          <w:b w:val="false"/>
          <w:i w:val="false"/>
          <w:caps w:val="false"/>
          <w:smallCaps w:val="false"/>
          <w:sz w:val="20"/>
        </w:rPr>
        <w:t xml:space="preserve">, </w:t>
      </w:r>
      <w:hyperlink r:id="rId3">
        <w:r>
          <w:rPr>
            <w:rStyle w:val="InternetLink"/>
            <w:rFonts w:ascii="Times New Roman;Times;Serif" w:hAnsi="Times New Roman;Times;Serif"/>
            <w:b w:val="false"/>
            <w:i w:val="false"/>
            <w:caps w:val="false"/>
            <w:smallCaps w:val="false"/>
            <w:sz w:val="20"/>
          </w:rPr>
          <w:t>333-182677</w:t>
        </w:r>
      </w:hyperlink>
      <w:r>
        <w:rPr>
          <w:rFonts w:ascii="Times New Roman;Times;Serif" w:hAnsi="Times New Roman;Times;Serif"/>
          <w:b w:val="false"/>
          <w:i w:val="false"/>
          <w:caps w:val="false"/>
          <w:smallCaps w:val="false"/>
          <w:sz w:val="20"/>
        </w:rPr>
        <w:t xml:space="preserve">, </w:t>
      </w:r>
      <w:hyperlink r:id="rId4">
        <w:r>
          <w:rPr>
            <w:rStyle w:val="InternetLink"/>
            <w:rFonts w:ascii="Times New Roman;Times;Serif" w:hAnsi="Times New Roman;Times;Serif"/>
            <w:b w:val="false"/>
            <w:i w:val="false"/>
            <w:caps w:val="false"/>
            <w:smallCaps w:val="false"/>
            <w:sz w:val="20"/>
          </w:rPr>
          <w:t>333-203960</w:t>
        </w:r>
      </w:hyperlink>
      <w:r>
        <w:rPr>
          <w:rFonts w:ascii="Times New Roman;Times;Serif" w:hAnsi="Times New Roman;Times;Serif"/>
          <w:b w:val="false"/>
          <w:i w:val="false"/>
          <w:caps w:val="false"/>
          <w:smallCaps w:val="false"/>
          <w:sz w:val="20"/>
        </w:rPr>
        <w:t xml:space="preserve">, </w:t>
      </w:r>
      <w:hyperlink r:id="rId5">
        <w:r>
          <w:rPr>
            <w:rStyle w:val="InternetLink"/>
            <w:rFonts w:ascii="Times New Roman;Times;Serif" w:hAnsi="Times New Roman;Times;Serif"/>
            <w:b w:val="false"/>
            <w:i w:val="false"/>
            <w:caps w:val="false"/>
            <w:smallCaps w:val="false"/>
            <w:sz w:val="20"/>
          </w:rPr>
          <w:t>333-225526</w:t>
        </w:r>
      </w:hyperlink>
      <w:r>
        <w:rPr>
          <w:rFonts w:ascii="Times New Roman;Times;Serif" w:hAnsi="Times New Roman;Times;Serif"/>
          <w:b w:val="false"/>
          <w:i w:val="false"/>
          <w:caps w:val="false"/>
          <w:smallCaps w:val="false"/>
          <w:sz w:val="20"/>
        </w:rPr>
        <w:t xml:space="preserve">, </w:t>
      </w:r>
      <w:hyperlink r:id="rId6">
        <w:r>
          <w:rPr>
            <w:rStyle w:val="InternetLink"/>
            <w:rFonts w:ascii="Times New Roman;Times;Serif" w:hAnsi="Times New Roman;Times;Serif"/>
            <w:b w:val="false"/>
            <w:i w:val="false"/>
            <w:caps w:val="false"/>
            <w:smallCaps w:val="false"/>
            <w:sz w:val="20"/>
          </w:rPr>
          <w:t>333-239101</w:t>
        </w:r>
      </w:hyperlink>
      <w:r>
        <w:rPr>
          <w:rFonts w:ascii="Times New Roman;Times;Serif" w:hAnsi="Times New Roman;Times;Serif"/>
          <w:b w:val="false"/>
          <w:i w:val="false"/>
          <w:caps w:val="false"/>
          <w:smallCaps w:val="false"/>
          <w:sz w:val="20"/>
        </w:rPr>
        <w:t xml:space="preserve">, </w:t>
      </w:r>
      <w:hyperlink r:id="rId7">
        <w:r>
          <w:rPr>
            <w:rStyle w:val="InternetLink"/>
            <w:rFonts w:ascii="Times New Roman;Times;Serif" w:hAnsi="Times New Roman;Times;Serif"/>
            <w:b w:val="false"/>
            <w:i w:val="false"/>
            <w:caps w:val="false"/>
            <w:smallCaps w:val="false"/>
            <w:sz w:val="20"/>
          </w:rPr>
          <w:t>333-266131</w:t>
        </w:r>
      </w:hyperlink>
      <w:r>
        <w:rPr>
          <w:rFonts w:ascii="Times New Roman;Times;Serif" w:hAnsi="Times New Roman;Times;Serif"/>
          <w:b w:val="false"/>
          <w:i w:val="false"/>
          <w:caps w:val="false"/>
          <w:smallCaps w:val="false"/>
          <w:sz w:val="20"/>
          <w:u w:val="single"/>
        </w:rPr>
        <w:t>,</w:t>
      </w:r>
      <w:hyperlink r:id="rId8">
        <w:r>
          <w:rPr>
            <w:rStyle w:val="InternetLink"/>
            <w:rFonts w:ascii="Times New Roman;Times;Serif" w:hAnsi="Times New Roman;Times;Serif"/>
            <w:b w:val="false"/>
            <w:i w:val="false"/>
            <w:caps w:val="false"/>
            <w:smallCaps w:val="false"/>
            <w:sz w:val="20"/>
          </w:rPr>
          <w:t xml:space="preserve"> 333-273936</w:t>
        </w:r>
      </w:hyperlink>
      <w:r>
        <w:rPr>
          <w:rFonts w:ascii="Times New Roman;Times;Serif" w:hAnsi="Times New Roman;Times;Serif"/>
          <w:b w:val="false"/>
          <w:i w:val="false"/>
          <w:caps w:val="false"/>
          <w:smallCaps w:val="false"/>
          <w:sz w:val="20"/>
        </w:rPr>
        <w:t xml:space="preserve">, and </w:t>
      </w:r>
      <w:hyperlink r:id="rId9">
        <w:r>
          <w:rPr>
            <w:rStyle w:val="InternetLink"/>
            <w:rFonts w:ascii="Times New Roman;Times;Serif" w:hAnsi="Times New Roman;Times;Serif"/>
            <w:b w:val="false"/>
            <w:i w:val="false"/>
            <w:caps w:val="false"/>
            <w:smallCaps w:val="false"/>
            <w:sz w:val="20"/>
          </w:rPr>
          <w:t>333-280644</w:t>
        </w:r>
      </w:hyperlink>
      <w:r>
        <w:rPr>
          <w:rFonts w:ascii="Times New Roman;Times;Serif" w:hAnsi="Times New Roman;Times;Serif"/>
          <w:b w:val="false"/>
          <w:i w:val="false"/>
          <w:caps w:val="false"/>
          <w:smallCaps w:val="false"/>
          <w:sz w:val="20"/>
        </w:rPr>
        <w:t>), including without limitation periodic reports that the Company filed, or will file, after this Registration Statement to maintain current information about the Company, are hereby incorporated by reference into this Registration Statement pursuant to General Instruction E of Form S-8, with the exception of Items 3 and 8 of Part II of such prior Registration Statement, each of which is amended and restated in its entirety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SECTION 10(a) PROSPECTUS</w:t>
      </w:r>
    </w:p>
    <w:p>
      <w:pPr>
        <w:pStyle w:val="TextBody"/>
        <w:bidi w:val="0"/>
        <w:spacing w:before="0" w:after="0"/>
        <w:ind w:left="0" w:right="0" w:hanging="0"/>
        <w:jc w:val="left"/>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620"/>
        <w:gridCol w:w="1550"/>
      </w:tblGrid>
      <w:tr>
        <w:trPr/>
        <w:tc>
          <w:tcPr>
            <w:tcW w:w="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1.</w:t>
            </w:r>
          </w:p>
        </w:tc>
        <w:tc>
          <w:tcPr>
            <w:tcW w:w="15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Plan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documents containing the information specified in Part I (plan and registrant information) will be delivered in accordance with Rule 428(b)(1) under the Securities Act of 1933, as amended. Such documents are not required to be, and are not, filed with the Commission, either as part of this Registration Statement or as prospectuses or prospectus supplements pursuant to Rule 424 under the Securities Act. These documents, and the documents incorporated by reference in this Registration Statement pursuant to Item 3 of Part II of this Form S-8, taken together, constitute a prospectus that meets the requirements of Section 10(a) of the Securities Act.</w:t>
      </w:r>
    </w:p>
    <w:p>
      <w:pPr>
        <w:pStyle w:val="TextBody"/>
        <w:bidi w:val="0"/>
        <w:spacing w:before="0" w:after="0"/>
        <w:ind w:left="0" w:right="0" w:hanging="0"/>
        <w:jc w:val="left"/>
        <w:rPr>
          <w:caps w:val="false"/>
          <w:smallCaps w:val="false"/>
        </w:rPr>
      </w:pPr>
      <w:r>
        <w:rPr>
          <w:caps w:val="false"/>
          <w:smallCaps w:val="false"/>
        </w:rPr>
        <w:t> </w:t>
      </w:r>
    </w:p>
    <w:tbl>
      <w:tblPr>
        <w:tblW w:w="6100" w:type="dxa"/>
        <w:jc w:val="left"/>
        <w:tblInd w:w="0" w:type="dxa"/>
        <w:tblLayout w:type="fixed"/>
        <w:tblCellMar>
          <w:top w:w="0" w:type="dxa"/>
          <w:left w:w="0" w:type="dxa"/>
          <w:bottom w:w="0" w:type="dxa"/>
          <w:right w:w="0" w:type="dxa"/>
        </w:tblCellMar>
      </w:tblPr>
      <w:tblGrid>
        <w:gridCol w:w="620"/>
        <w:gridCol w:w="5480"/>
      </w:tblGrid>
      <w:tr>
        <w:trPr/>
        <w:tc>
          <w:tcPr>
            <w:tcW w:w="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2.</w:t>
            </w:r>
          </w:p>
        </w:tc>
        <w:tc>
          <w:tcPr>
            <w:tcW w:w="54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Registrant Information and Employee Plan Annual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written or oral request, any of the documents incorporated by reference in Item 3 of Part II of this Registration Statement, which are also incorporated by reference in the Section 10(a) prospectus, other documents required to be delivered to eligible participants pursuant to Rule 428(b), or additional information about the Plan, will be available without charge by contacting the Corporate Secretary, Protalix BioTherapeutics, Inc., 2 University Plaza, Suite 100, Hackensack, NJ 07601, Telephone: +1 (201) 696-9345 or 2 Snunit Street, Science Park, P.O. Box 455, Carmiel 2161401, Israel, Telephone: +972-4-988-9488.</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REGISTRATION STATEMENT</w:t>
      </w:r>
    </w:p>
    <w:p>
      <w:pPr>
        <w:pStyle w:val="TextBody"/>
        <w:bidi w:val="0"/>
        <w:spacing w:before="0" w:after="0"/>
        <w:ind w:left="0" w:right="0" w:hanging="0"/>
        <w:jc w:val="left"/>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620"/>
        <w:gridCol w:w="3605"/>
      </w:tblGrid>
      <w:tr>
        <w:trPr/>
        <w:tc>
          <w:tcPr>
            <w:tcW w:w="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3.</w:t>
            </w:r>
          </w:p>
        </w:tc>
        <w:tc>
          <w:tcPr>
            <w:tcW w:w="36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Incorporation of Documents by Reference.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Commission allows us to “incorporate by reference” the information we file with the Commission, which means we can disclose important information to you by referring you to those documents. The information we incorporate by reference is an important part of this prospectus, and certain information that we will later file with the Commission will automatically update and supersede this information. We incorporate by reference the documents listed below as well as any future filings made with the Commission under Sections 13(a), 13(c), 14, or 15(d) of the Securities Exchange Act of 1934, as amended, or the Exchange Act, after the date of this prospectus until we sell all of the securities under this prospectus, except that we do not incorporate any document or portion of a document that is “furnished” to the Commission, but not deemed “filed.” The following documents filed with the Commission are incorporated by reference in this prospectus:</w:t>
      </w:r>
    </w:p>
    <w:p>
      <w:pPr>
        <w:pStyle w:val="TextBody"/>
        <w:bidi w:val="0"/>
        <w:spacing w:before="0" w:after="0"/>
        <w:ind w:left="0" w:right="0" w:hanging="0"/>
        <w:jc w:val="left"/>
        <w:rPr>
          <w:caps w:val="false"/>
          <w:smallCaps w:val="false"/>
        </w:rPr>
      </w:pPr>
      <w:r>
        <w:rPr>
          <w:caps w:val="false"/>
          <w:smallCaps w:val="false"/>
        </w:rPr>
        <w:t> </w:t>
      </w:r>
    </w:p>
    <w:tbl>
      <w:tblPr>
        <w:tblW w:w="9873" w:type="dxa"/>
        <w:jc w:val="left"/>
        <w:tblInd w:w="0" w:type="dxa"/>
        <w:tblLayout w:type="fixed"/>
        <w:tblCellMar>
          <w:top w:w="0" w:type="dxa"/>
          <w:left w:w="0" w:type="dxa"/>
          <w:bottom w:w="0" w:type="dxa"/>
          <w:right w:w="0" w:type="dxa"/>
        </w:tblCellMar>
      </w:tblPr>
      <w:tblGrid>
        <w:gridCol w:w="38"/>
        <w:gridCol w:w="110"/>
        <w:gridCol w:w="972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725" w:type="dxa"/>
            <w:tcBorders/>
            <w:vAlign w:val="center"/>
          </w:tcPr>
          <w:p>
            <w:pPr>
              <w:pStyle w:val="TableContents"/>
              <w:bidi w:val="0"/>
              <w:spacing w:before="0" w:after="283"/>
              <w:jc w:val="left"/>
              <w:rPr/>
            </w:pPr>
            <w:r>
              <w:rPr>
                <w:rFonts w:ascii="Times New Roman;Times;Serif" w:hAnsi="Times New Roman;Times;Serif"/>
                <w:sz w:val="20"/>
              </w:rPr>
              <w:t xml:space="preserve">our </w:t>
            </w:r>
            <w:hyperlink r:id="rId10">
              <w:r>
                <w:rPr>
                  <w:rStyle w:val="InternetLink"/>
                  <w:rFonts w:ascii="Times New Roman;Times;Serif" w:hAnsi="Times New Roman;Times;Serif"/>
                  <w:sz w:val="20"/>
                </w:rPr>
                <w:t>Annual Report on Form 10-K, for the year ended December 31, 2025 filed with the Commission on March 18, 2026</w:t>
              </w:r>
            </w:hyperlink>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pPr>
            <w:r>
              <w:rPr>
                <w:rFonts w:ascii="Times New Roman;Times;Serif" w:hAnsi="Times New Roman;Times;Serif"/>
                <w:sz w:val="20"/>
              </w:rPr>
              <w:t xml:space="preserve">our Quarterly Reports on Form 10-Q for the quarter ended March 31, 2026 filed with the Commission on </w:t>
            </w:r>
            <w:hyperlink r:id="rId11">
              <w:r>
                <w:rPr>
                  <w:rStyle w:val="InternetLink"/>
                  <w:rFonts w:ascii="Times New Roman;Times;Serif" w:hAnsi="Times New Roman;Times;Serif"/>
                  <w:sz w:val="20"/>
                </w:rPr>
                <w:t>May 13, 2026</w:t>
              </w:r>
            </w:hyperlink>
            <w:r>
              <w:rPr/>
              <w:t xml:space="preserve"> </w:t>
            </w:r>
            <w:r>
              <w:rPr>
                <w:rFonts w:ascii="Times New Roman;Times;Serif" w:hAnsi="Times New Roman;Times;Serif"/>
                <w:sz w:val="20"/>
              </w:rPr>
              <w:t xml:space="preserve">and for the quarter ended June 30, 2026 filed with the Commission on </w:t>
            </w:r>
            <w:hyperlink r:id="rId12">
              <w:r>
                <w:rPr>
                  <w:rStyle w:val="InternetLink"/>
                  <w:rFonts w:ascii="Times New Roman;Times;Serif" w:hAnsi="Times New Roman;Times;Serif"/>
                  <w:sz w:val="20"/>
                </w:rPr>
                <w:t>August 12, 2026</w:t>
              </w:r>
            </w:hyperlink>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9663" w:type="dxa"/>
        <w:jc w:val="left"/>
        <w:tblInd w:w="0" w:type="dxa"/>
        <w:tblLayout w:type="fixed"/>
        <w:tblCellMar>
          <w:top w:w="0" w:type="dxa"/>
          <w:left w:w="0" w:type="dxa"/>
          <w:bottom w:w="0" w:type="dxa"/>
          <w:right w:w="0" w:type="dxa"/>
        </w:tblCellMar>
      </w:tblPr>
      <w:tblGrid>
        <w:gridCol w:w="38"/>
        <w:gridCol w:w="110"/>
        <w:gridCol w:w="951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515" w:type="dxa"/>
            <w:tcBorders/>
            <w:vAlign w:val="center"/>
          </w:tcPr>
          <w:p>
            <w:pPr>
              <w:pStyle w:val="TableContents"/>
              <w:bidi w:val="0"/>
              <w:spacing w:before="0" w:after="283"/>
              <w:jc w:val="left"/>
              <w:rPr/>
            </w:pPr>
            <w:r>
              <w:rPr>
                <w:rFonts w:ascii="Times New Roman;Times;Serif" w:hAnsi="Times New Roman;Times;Serif"/>
                <w:sz w:val="20"/>
              </w:rPr>
              <w:t xml:space="preserve">our Current Reports on Form 8-K filed with the Commission on </w:t>
            </w:r>
            <w:hyperlink r:id="rId13">
              <w:r>
                <w:rPr>
                  <w:rStyle w:val="InternetLink"/>
                  <w:rFonts w:ascii="Times New Roman;Times;Serif" w:hAnsi="Times New Roman;Times;Serif"/>
                  <w:sz w:val="20"/>
                </w:rPr>
                <w:t>January 30, 2026</w:t>
              </w:r>
            </w:hyperlink>
            <w:r>
              <w:rPr>
                <w:rFonts w:ascii="Times New Roman;Times;Serif" w:hAnsi="Times New Roman;Times;Serif"/>
                <w:sz w:val="20"/>
              </w:rPr>
              <w:t xml:space="preserve">; </w:t>
            </w:r>
            <w:hyperlink r:id="rId14">
              <w:r>
                <w:rPr>
                  <w:rStyle w:val="InternetLink"/>
                  <w:rFonts w:ascii="Times New Roman;Times;Serif" w:hAnsi="Times New Roman;Times;Serif"/>
                  <w:sz w:val="20"/>
                </w:rPr>
                <w:t>March 9, 2026</w:t>
              </w:r>
            </w:hyperlink>
            <w:r>
              <w:rPr>
                <w:rFonts w:ascii="Times New Roman;Times;Serif" w:hAnsi="Times New Roman;Times;Serif"/>
                <w:sz w:val="20"/>
              </w:rPr>
              <w:t xml:space="preserve">; and </w:t>
            </w:r>
            <w:hyperlink r:id="rId15">
              <w:r>
                <w:rPr>
                  <w:rStyle w:val="InternetLink"/>
                  <w:rFonts w:ascii="Times New Roman;Times;Serif" w:hAnsi="Times New Roman;Times;Serif"/>
                  <w:sz w:val="20"/>
                </w:rPr>
                <w:t>June 25, 2026</w:t>
              </w:r>
            </w:hyperlink>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pPr>
            <w:r>
              <w:rPr>
                <w:rFonts w:ascii="Times New Roman;Times;Serif" w:hAnsi="Times New Roman;Times;Serif"/>
                <w:sz w:val="20"/>
              </w:rPr>
              <w:t xml:space="preserve">our definitive </w:t>
            </w:r>
            <w:hyperlink r:id="rId16">
              <w:r>
                <w:rPr>
                  <w:rStyle w:val="InternetLink"/>
                  <w:rFonts w:ascii="Times New Roman;Times;Serif" w:hAnsi="Times New Roman;Times;Serif"/>
                  <w:sz w:val="20"/>
                </w:rPr>
                <w:t>Proxy Statement for our Annual Meeting of Stockholders filed with the Commission on April 30, 2026</w:t>
              </w:r>
            </w:hyperlink>
            <w:r>
              <w:rPr/>
              <w:t xml:space="preserve"> </w:t>
            </w:r>
            <w:r>
              <w:rPr>
                <w:rFonts w:ascii="Times New Roman;Times;Serif" w:hAnsi="Times New Roman;Times;Serif"/>
                <w:sz w:val="20"/>
              </w:rPr>
              <w:t>(other than information furnished rather than filed);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pPr>
            <w:r>
              <w:rPr>
                <w:rFonts w:ascii="Times New Roman;Times;Serif" w:hAnsi="Times New Roman;Times;Serif"/>
                <w:sz w:val="20"/>
              </w:rPr>
              <w:t xml:space="preserve">the description of our common stock contained in our description of capital stock filed as </w:t>
            </w:r>
            <w:hyperlink r:id="rId17">
              <w:r>
                <w:rPr>
                  <w:rStyle w:val="InternetLink"/>
                  <w:rFonts w:ascii="Times New Roman;Times;Serif" w:hAnsi="Times New Roman;Times;Serif"/>
                  <w:sz w:val="20"/>
                </w:rPr>
                <w:t>Exhibit 4.4 to our Annual Report on Form 10-K for the year ended December 31, 2025, filed with the Commission on March 18, 2026</w:t>
              </w:r>
            </w:hyperlink>
            <w:r>
              <w:rPr>
                <w:rFonts w:ascii="Times New Roman;Times;Serif" w:hAnsi="Times New Roman;Times;Serif"/>
                <w:sz w:val="20"/>
              </w:rPr>
              <w:t>, including any amendments or supplements thereto.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documents filed by us pursuant to Sections 13(a), 13(c), 14, and 15(d) of the Exchange Act after the date of this registration statement shall be deemed to be incorporated by reference in the registration statement and to be a part hereof from the date of filing of such documents (other than information that is furnished in such documents but deemed by the rules of the Commission not to have been filed). Any statement contained in a document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 You may request and obtain a copy of these filings, at no cost, by writing or telephoning us at the following address or phone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Protalix BioTherapeutics,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University Plaza, Suite 100</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Hackensack, NJ 07601</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(201) 696-9345</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Attn: Gilad Mamlok, Sr. Vice President and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in this prospectus and the documents that are incorporated by reference. We have not authorized anyone else to provide you with different information. We are not offering these securities in any state where the offering is prohibited by law. You should not assume that the information in this prospectus or any incorporated document is accurate as of any date other than the date of the document.</w:t>
      </w:r>
    </w:p>
    <w:p>
      <w:pPr>
        <w:pStyle w:val="TextBody"/>
        <w:bidi w:val="0"/>
        <w:spacing w:before="0" w:after="0"/>
        <w:ind w:left="0" w:right="0" w:hanging="0"/>
        <w:jc w:val="left"/>
        <w:rPr>
          <w:caps w:val="false"/>
          <w:smallCaps w:val="false"/>
        </w:rPr>
      </w:pPr>
      <w:r>
        <w:rPr>
          <w:caps w:val="false"/>
          <w:smallCaps w:val="false"/>
        </w:rPr>
        <w:t> </w:t>
      </w:r>
    </w:p>
    <w:tbl>
      <w:tblPr>
        <w:tblW w:w="2755" w:type="dxa"/>
        <w:jc w:val="left"/>
        <w:tblInd w:w="0" w:type="dxa"/>
        <w:tblLayout w:type="fixed"/>
        <w:tblCellMar>
          <w:top w:w="0" w:type="dxa"/>
          <w:left w:w="0" w:type="dxa"/>
          <w:bottom w:w="0" w:type="dxa"/>
          <w:right w:w="0" w:type="dxa"/>
        </w:tblCellMar>
      </w:tblPr>
      <w:tblGrid>
        <w:gridCol w:w="620"/>
        <w:gridCol w:w="2135"/>
      </w:tblGrid>
      <w:tr>
        <w:trPr/>
        <w:tc>
          <w:tcPr>
            <w:tcW w:w="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4.</w:t>
            </w:r>
          </w:p>
        </w:tc>
        <w:tc>
          <w:tcPr>
            <w:tcW w:w="21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 of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620"/>
        <w:gridCol w:w="3440"/>
      </w:tblGrid>
      <w:tr>
        <w:trPr/>
        <w:tc>
          <w:tcPr>
            <w:tcW w:w="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5.</w:t>
            </w:r>
          </w:p>
        </w:tc>
        <w:tc>
          <w:tcPr>
            <w:tcW w:w="3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Interests of Named Experts and Counsel.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620"/>
        <w:gridCol w:w="3560"/>
      </w:tblGrid>
      <w:tr>
        <w:trPr/>
        <w:tc>
          <w:tcPr>
            <w:tcW w:w="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6.</w:t>
            </w:r>
          </w:p>
        </w:tc>
        <w:tc>
          <w:tcPr>
            <w:tcW w:w="35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Indemnification of Directors and Officers.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indemnify our directors and officers to the maximum extent permitted by Delaware law for the costs and liabilities of acting or failing to act in an official capacity. In addition, we have entered into indemnification agreements with each of our executive officers and directors to provide them with the maximum indemnification allowed under our amended and restated bylaws and applicable Delaware law, including indemnification for all judgments and expenses incurred as the result of any lawsuit in which such person is named as a defendant by reason of being our director, officer, or employee, to the extent indemnification is permitted by the laws of Delaware. We believe that the indemnification agreements will enhance our ability to continue to attract and retain qualified individuals to serve as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articles of association of Protalix Ltd., our wholly owned subsidiary incorporated in Israel, allow it to exculpate, indemnify, and insure its office holders to the fullest extent permitted by Israeli law, as described below. Accordingly, Protalix Ltd. has entered into indemnification agreements with each of its officers and directors undertaking to indemnify them to the fullest extent permitted by Israeli law. As required by law, the indemnification is limited to events determined as foreseeable by the board of directors of Protalix Ltd. based on the activities of Protalix Ltd. upon adoption of the form of indemnification in 2016, and to an amount determined by the board of directors as reasonable under the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purchase and maintain a Directors and Officers Liability insurance policy that covers the liability of our directors and officers, as well as our company, in respect of securities claims on a “Claims Made” basis for their ongoing activity in the company, with a limit of $20,000,000 for any one claim and in the aggregate for the period of insurance. The policy also covers reasonable legal defense costs in Israel in accordance with Israeli law in addition to said limit.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we purchase and maintain a Side A Excess and Difference In Conditions insurance that covers the non-indemnifiable liability of our directors and officers on a “Claims Made” basis for their ongoing activity in the company, with a limit of $15,000,000 for any one claim and in the aggregate for the period of insurance. The policy also covers reasonable legal defense costs in Israel in accordance with Israeli law in addition to said limit.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hereof, no claims for directors’ and officers’ liability insurance have been filed under those policies and neither we nor Protalix Ltd. is aware of any pending or threatened litigation or proceeding involving any of our directors or officers, or those of Protalix Ltd., in which indemnification is sought.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undertaken to fulfill and honor in all respects the obligations of Protalix Ltd. pursuant to any indemnification agreements between Protalix Ltd. and its directors in effect prior to December 31, 2006 and to provide any substitute director and the officers of Protalix Ltd. with similar indemnification agreements. We further agreed that any provision of Protalix Ltd.’s charter documents that relate to exculpation and indemnification of officers and directors of Protalix Ltd. will not be amended, repealed, or otherwise modified in any manner that would adversely affect the rights of the directors and officers, unless such modification is required by any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Israeli law, an Israeli company may not exculpate an office holder from liability for a breach of the duty of loyalty of the office holder. An Israeli company may exculpate an office holder in advance from liability, in whole or in part, for damages caused due to a breach of duty of care owed to the company (other than in the event that such liability arises out of a breach of duty of care to the company upon distribution) but only if a provision authorizing such exculpation is inserted in its articles of association. Protalix Ltd.’s articles of association include such a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Israeli company may indemnify an office holder in respect of certain liabilities or expenses either in advance of an event or following an event provided a provision authorizing such indemnification is inserted in its articles of association. Protalix Ltd.’s articles of association contain such an authorization. An Israeli company may indemnify an office holder against the following liabilities or expenses incurred for acts performed as an office holder: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liability imposed on or incurred by him or her in favor of another person pursuant to a judgment, settlement, or arbitrator’s award approved by a court;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reasonable litigation expenses, including attorneys’ fees, incurred by the office holder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such as a criminal penalty, was imposed upon him or her as a substitute for the criminal proceeding as a result of such investigation or proceeding or, if such financial liability was imposed, it was imposed with respect to an offense that does not require proof of criminal intent or with regard to a monetary sanction;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3"/>
        <w:gridCol w:w="9934"/>
      </w:tblGrid>
      <w:tr>
        <w:trPr/>
        <w:tc>
          <w:tcPr>
            <w:tcW w:w="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reasonable litigation expenses, including attorneys’ fees, incurred by the office holder or imposed by a court in proceedings instituted against him or her by the company, on its behalf or by a third party or in connection with criminal proceedings in which the office holder was acquitted or as a result of a conviction for a crime that does not require proof of criminal intent;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3"/>
        <w:gridCol w:w="9934"/>
      </w:tblGrid>
      <w:tr>
        <w:trPr/>
        <w:tc>
          <w:tcPr>
            <w:tcW w:w="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payment that the office holder is obligated to make to an injured party as set forth in Section 52(54)(a)(1)(a) of the Israeli Securities Law, 5278-1968, as amended, or the Israeli Securities Law, and reasonable litigation expenses, including attorneys’ fees, that the office holder incurred in connection with a proceeding under Chapters H’3, H’4, or I’1 of the Israeli Securities Law.</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undertaking provided in advance by an Israeli company to indemnify an office holder with respect to (A), as abovementioned, must be limited to events that,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events and amount or criteria. We are permitted to provide an office holder advance payments to cover expenses covered under (D)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Israeli company may insure an office holder against the following liabilities incurred for acts performed as an office holder:</w:t>
      </w:r>
    </w:p>
    <w:p>
      <w:pPr>
        <w:pStyle w:val="TextBody"/>
        <w:bidi w:val="0"/>
        <w:spacing w:before="0" w:after="0"/>
        <w:ind w:left="0" w:right="0" w:hanging="0"/>
        <w:jc w:val="left"/>
        <w:rPr>
          <w:caps w:val="false"/>
          <w:smallCaps w:val="false"/>
        </w:rPr>
      </w:pPr>
      <w:r>
        <w:rPr>
          <w:caps w:val="false"/>
          <w:smallCaps w:val="false"/>
        </w:rPr>
        <w:t> </w:t>
      </w:r>
    </w:p>
    <w:tbl>
      <w:tblPr>
        <w:tblW w:w="4893" w:type="dxa"/>
        <w:jc w:val="left"/>
        <w:tblInd w:w="0" w:type="dxa"/>
        <w:tblLayout w:type="fixed"/>
        <w:tblCellMar>
          <w:top w:w="0" w:type="dxa"/>
          <w:left w:w="0" w:type="dxa"/>
          <w:bottom w:w="0" w:type="dxa"/>
          <w:right w:w="0" w:type="dxa"/>
        </w:tblCellMar>
      </w:tblPr>
      <w:tblGrid>
        <w:gridCol w:w="38"/>
        <w:gridCol w:w="110"/>
        <w:gridCol w:w="474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breach of duty of care to the company or to a third party;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breach of duty of loyalty to the company, to the extent that the office holder acted in good faith and had a reasonable basis to believe that the act would not be detrimental to the interests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financial liability imposed on the office holder in favor of a third party in respect of an act performed in his or her capacity as an office holder;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payment that the office holder is obligated to make to an injured party as set forth in Section 52(54)(a)(1)(a) of the Israeli Securities Law and reasonable litigation expenses, including attorneys’ fees, that the office holder incurred in connection with a proceeding under Chapters H’3, H’4, or I’1 of the Israeli Securities Law.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Israeli company may not insure, indemnify, or exculpate an office holder against any of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breach of duty of loyalty, except to the extent that the office holder acted in good faith and had a reasonable basis to believe that the act would not be detrimental to the interests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6408" w:type="dxa"/>
        <w:jc w:val="left"/>
        <w:tblInd w:w="0" w:type="dxa"/>
        <w:tblLayout w:type="fixed"/>
        <w:tblCellMar>
          <w:top w:w="0" w:type="dxa"/>
          <w:left w:w="0" w:type="dxa"/>
          <w:bottom w:w="0" w:type="dxa"/>
          <w:right w:w="0" w:type="dxa"/>
        </w:tblCellMar>
      </w:tblPr>
      <w:tblGrid>
        <w:gridCol w:w="38"/>
        <w:gridCol w:w="110"/>
        <w:gridCol w:w="626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grossly negligent or intentional violation of an office holder’s duty of care;</w:t>
            </w:r>
          </w:p>
        </w:tc>
      </w:tr>
    </w:tbl>
    <w:p>
      <w:pPr>
        <w:pStyle w:val="TextBody"/>
        <w:bidi w:val="0"/>
        <w:spacing w:before="0" w:after="0"/>
        <w:ind w:left="0" w:right="0" w:hanging="0"/>
        <w:jc w:val="left"/>
        <w:rPr>
          <w:caps w:val="false"/>
          <w:smallCaps w:val="false"/>
        </w:rPr>
      </w:pPr>
      <w:r>
        <w:rPr>
          <w:caps w:val="false"/>
          <w:smallCaps w:val="false"/>
        </w:rPr>
        <w:t> </w:t>
      </w:r>
    </w:p>
    <w:tbl>
      <w:tblPr>
        <w:tblW w:w="6453" w:type="dxa"/>
        <w:jc w:val="left"/>
        <w:tblInd w:w="0" w:type="dxa"/>
        <w:tblLayout w:type="fixed"/>
        <w:tblCellMar>
          <w:top w:w="0" w:type="dxa"/>
          <w:left w:w="0" w:type="dxa"/>
          <w:bottom w:w="0" w:type="dxa"/>
          <w:right w:w="0" w:type="dxa"/>
        </w:tblCellMar>
      </w:tblPr>
      <w:tblGrid>
        <w:gridCol w:w="38"/>
        <w:gridCol w:w="110"/>
        <w:gridCol w:w="630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 act or omission committed with intent to derive illegal personal benefit; or</w:t>
            </w:r>
          </w:p>
        </w:tc>
      </w:tr>
    </w:tbl>
    <w:p>
      <w:pPr>
        <w:pStyle w:val="TextBody"/>
        <w:bidi w:val="0"/>
        <w:spacing w:before="0" w:after="0"/>
        <w:ind w:left="0" w:right="0" w:hanging="0"/>
        <w:jc w:val="left"/>
        <w:rPr>
          <w:caps w:val="false"/>
          <w:smallCaps w:val="false"/>
        </w:rPr>
      </w:pPr>
      <w:r>
        <w:rPr>
          <w:caps w:val="false"/>
          <w:smallCaps w:val="false"/>
        </w:rPr>
        <w:t> </w:t>
      </w:r>
    </w:p>
    <w:tbl>
      <w:tblPr>
        <w:tblW w:w="6543" w:type="dxa"/>
        <w:jc w:val="left"/>
        <w:tblInd w:w="0" w:type="dxa"/>
        <w:tblLayout w:type="fixed"/>
        <w:tblCellMar>
          <w:top w:w="0" w:type="dxa"/>
          <w:left w:w="0" w:type="dxa"/>
          <w:bottom w:w="0" w:type="dxa"/>
          <w:right w:w="0" w:type="dxa"/>
        </w:tblCellMar>
      </w:tblPr>
      <w:tblGrid>
        <w:gridCol w:w="38"/>
        <w:gridCol w:w="110"/>
        <w:gridCol w:w="639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fine, civil fine, monetary sanction, or ransom levied against the office holder.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Israeli law, exculpation, indemnification, and insurance of office holders must be approved by the board of directors of Protalix Ltd. and, in respect of directors of Protalix Ltd., also by the stockholders of Protalix Ltd. Such approvals were properly obtained. With respect to insurance and indemnification for liabilities and expenses arising under the Israeli Securities Law, such insurance and indemnification is permissible only to the extent described in this Item 6.</w:t>
      </w:r>
    </w:p>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620"/>
        <w:gridCol w:w="3215"/>
      </w:tblGrid>
      <w:tr>
        <w:trPr/>
        <w:tc>
          <w:tcPr>
            <w:tcW w:w="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7.</w:t>
            </w:r>
          </w:p>
        </w:tc>
        <w:tc>
          <w:tcPr>
            <w:tcW w:w="321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Exemption from Registration Claims.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1405" w:type="dxa"/>
        <w:jc w:val="left"/>
        <w:tblInd w:w="0" w:type="dxa"/>
        <w:tblLayout w:type="fixed"/>
        <w:tblCellMar>
          <w:top w:w="0" w:type="dxa"/>
          <w:left w:w="0" w:type="dxa"/>
          <w:bottom w:w="0" w:type="dxa"/>
          <w:right w:w="0" w:type="dxa"/>
        </w:tblCellMar>
      </w:tblPr>
      <w:tblGrid>
        <w:gridCol w:w="620"/>
        <w:gridCol w:w="785"/>
      </w:tblGrid>
      <w:tr>
        <w:trPr/>
        <w:tc>
          <w:tcPr>
            <w:tcW w:w="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8.</w:t>
            </w:r>
          </w:p>
        </w:tc>
        <w:tc>
          <w:tcPr>
            <w:tcW w:w="78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Exhibits</w:t>
            </w:r>
            <w:r>
              <w:rPr>
                <w:rFonts w:ascii="Times New Roman;Times;Serif" w:hAnsi="Times New Roman;Times;Serif"/>
                <w:b/>
                <w:i/>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6202"/>
        <w:gridCol w:w="60"/>
        <w:gridCol w:w="3158"/>
      </w:tblGrid>
      <w:tr>
        <w:trPr/>
        <w:tc>
          <w:tcPr>
            <w:tcW w:w="72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6202"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Description</w:t>
            </w:r>
          </w:p>
        </w:tc>
        <w:tc>
          <w:tcPr>
            <w:tcW w:w="60" w:type="dxa"/>
            <w:tcBorders/>
            <w:tcMar>
              <w:bottom w:w="0" w:type="dxa"/>
            </w:tcMar>
            <w:vAlign w:val="center"/>
          </w:tcPr>
          <w:p>
            <w:pPr>
              <w:pStyle w:val="TableContents"/>
              <w:bidi w:val="0"/>
              <w:spacing w:before="0" w:after="283"/>
              <w:jc w:val="left"/>
              <w:rPr/>
            </w:pPr>
            <w:r>
              <w:rPr/>
              <w:t> </w:t>
            </w:r>
          </w:p>
        </w:tc>
        <w:tc>
          <w:tcPr>
            <w:tcW w:w="3158"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Method of Filing</w:t>
            </w:r>
          </w:p>
        </w:tc>
      </w:tr>
      <w:tr>
        <w:trPr/>
        <w:tc>
          <w:tcPr>
            <w:tcW w:w="725" w:type="dxa"/>
            <w:tcBorders/>
            <w:tcMar>
              <w:bottom w:w="0" w:type="dxa"/>
            </w:tcMar>
            <w:vAlign w:val="center"/>
          </w:tcPr>
          <w:p>
            <w:pPr>
              <w:pStyle w:val="TableContents"/>
              <w:bidi w:val="0"/>
              <w:spacing w:before="0" w:after="283"/>
              <w:jc w:val="left"/>
              <w:rPr/>
            </w:pPr>
            <w:hyperlink r:id="rId18">
              <w:r>
                <w:rPr>
                  <w:rStyle w:val="InternetLink"/>
                  <w:rFonts w:ascii="Times New Roman;Times;Serif" w:hAnsi="Times New Roman;Times;Serif"/>
                  <w:sz w:val="20"/>
                </w:rPr>
                <w:t>4.1</w:t>
              </w:r>
            </w:hyperlink>
          </w:p>
        </w:tc>
        <w:tc>
          <w:tcPr>
            <w:tcW w:w="60" w:type="dxa"/>
            <w:tcBorders/>
            <w:tcMar>
              <w:bottom w:w="0" w:type="dxa"/>
            </w:tcMar>
            <w:vAlign w:val="center"/>
          </w:tcPr>
          <w:p>
            <w:pPr>
              <w:pStyle w:val="TableContents"/>
              <w:bidi w:val="0"/>
              <w:spacing w:before="0" w:after="283"/>
              <w:jc w:val="left"/>
              <w:rPr/>
            </w:pPr>
            <w:r>
              <w:rPr/>
              <w:t> </w:t>
            </w:r>
          </w:p>
        </w:tc>
        <w:tc>
          <w:tcPr>
            <w:tcW w:w="6202" w:type="dxa"/>
            <w:tcBorders/>
            <w:tcMar>
              <w:bottom w:w="0" w:type="dxa"/>
            </w:tcMar>
            <w:vAlign w:val="center"/>
          </w:tcPr>
          <w:p>
            <w:pPr>
              <w:pStyle w:val="TableContents"/>
              <w:bidi w:val="0"/>
              <w:spacing w:before="0" w:after="283"/>
              <w:jc w:val="left"/>
              <w:rPr/>
            </w:pPr>
            <w:hyperlink r:id="rId19">
              <w:r>
                <w:rPr>
                  <w:rStyle w:val="InternetLink"/>
                  <w:rFonts w:ascii="Times New Roman;Times;Serif" w:hAnsi="Times New Roman;Times;Serif"/>
                  <w:sz w:val="20"/>
                </w:rPr>
                <w:t>Protalix BioTherapeutics, Inc. Amended &amp; Restated 2006 Stock Incentive Plan, as amended</w:t>
              </w:r>
            </w:hyperlink>
          </w:p>
        </w:tc>
        <w:tc>
          <w:tcPr>
            <w:tcW w:w="60" w:type="dxa"/>
            <w:tcBorders/>
            <w:tcMar>
              <w:bottom w:w="0" w:type="dxa"/>
            </w:tcMar>
            <w:vAlign w:val="center"/>
          </w:tcPr>
          <w:p>
            <w:pPr>
              <w:pStyle w:val="TableContents"/>
              <w:bidi w:val="0"/>
              <w:spacing w:before="0" w:after="283"/>
              <w:jc w:val="left"/>
              <w:rPr/>
            </w:pPr>
            <w:r>
              <w:rPr/>
              <w:t> </w:t>
            </w:r>
          </w:p>
        </w:tc>
        <w:tc>
          <w:tcPr>
            <w:tcW w:w="3158" w:type="dxa"/>
            <w:tcBorders/>
            <w:tcMar>
              <w:bottom w:w="0" w:type="dxa"/>
            </w:tcMar>
            <w:vAlign w:val="center"/>
          </w:tcPr>
          <w:p>
            <w:pPr>
              <w:pStyle w:val="TableContents"/>
              <w:bidi w:val="0"/>
              <w:spacing w:before="0" w:after="283"/>
              <w:jc w:val="left"/>
              <w:rPr/>
            </w:pPr>
            <w:hyperlink r:id="rId20">
              <w:r>
                <w:rPr>
                  <w:rStyle w:val="InternetLink"/>
                  <w:rFonts w:ascii="Times New Roman;Times;Serif" w:hAnsi="Times New Roman;Times;Serif"/>
                  <w:sz w:val="20"/>
                </w:rPr>
                <w:t>Incorporated by reference to Exhibit 10.1 of the Current Report on Form 8-K filed on June 25, 2026</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0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158"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left"/>
              <w:rPr/>
            </w:pPr>
            <w:hyperlink w:anchor="tm2622703d1_ex5-1.htm">
              <w:r>
                <w:rPr>
                  <w:rStyle w:val="InternetLink"/>
                  <w:rFonts w:ascii="Times New Roman;Times;Serif" w:hAnsi="Times New Roman;Times;Serif"/>
                  <w:sz w:val="20"/>
                </w:rPr>
                <w:t>5.1</w:t>
              </w:r>
            </w:hyperlink>
          </w:p>
        </w:tc>
        <w:tc>
          <w:tcPr>
            <w:tcW w:w="60" w:type="dxa"/>
            <w:tcBorders/>
            <w:tcMar>
              <w:bottom w:w="0" w:type="dxa"/>
            </w:tcMar>
            <w:vAlign w:val="center"/>
          </w:tcPr>
          <w:p>
            <w:pPr>
              <w:pStyle w:val="TableContents"/>
              <w:bidi w:val="0"/>
              <w:spacing w:before="0" w:after="283"/>
              <w:jc w:val="left"/>
              <w:rPr/>
            </w:pPr>
            <w:r>
              <w:rPr/>
              <w:t> </w:t>
            </w:r>
          </w:p>
        </w:tc>
        <w:tc>
          <w:tcPr>
            <w:tcW w:w="6202" w:type="dxa"/>
            <w:tcBorders/>
            <w:tcMar>
              <w:bottom w:w="0" w:type="dxa"/>
            </w:tcMar>
            <w:vAlign w:val="center"/>
          </w:tcPr>
          <w:p>
            <w:pPr>
              <w:pStyle w:val="TableContents"/>
              <w:bidi w:val="0"/>
              <w:spacing w:before="0" w:after="283"/>
              <w:jc w:val="left"/>
              <w:rPr/>
            </w:pPr>
            <w:hyperlink w:anchor="tm2622703d1_ex5-1.htm">
              <w:r>
                <w:rPr>
                  <w:rStyle w:val="InternetLink"/>
                  <w:rFonts w:ascii="Times New Roman;Times;Serif" w:hAnsi="Times New Roman;Times;Serif"/>
                  <w:sz w:val="20"/>
                </w:rPr>
                <w:t>Opinion of Mayer Brown LLP, New York, New York as to the legality of the securities being registered</w:t>
              </w:r>
            </w:hyperlink>
          </w:p>
        </w:tc>
        <w:tc>
          <w:tcPr>
            <w:tcW w:w="60" w:type="dxa"/>
            <w:tcBorders/>
            <w:tcMar>
              <w:bottom w:w="0" w:type="dxa"/>
            </w:tcMar>
            <w:vAlign w:val="center"/>
          </w:tcPr>
          <w:p>
            <w:pPr>
              <w:pStyle w:val="TableContents"/>
              <w:bidi w:val="0"/>
              <w:spacing w:before="0" w:after="283"/>
              <w:jc w:val="left"/>
              <w:rPr/>
            </w:pPr>
            <w:r>
              <w:rPr/>
              <w:t> </w:t>
            </w:r>
          </w:p>
        </w:tc>
        <w:tc>
          <w:tcPr>
            <w:tcW w:w="3158" w:type="dxa"/>
            <w:tcBorders/>
            <w:tcMar>
              <w:bottom w:w="0" w:type="dxa"/>
            </w:tcMar>
            <w:vAlign w:val="center"/>
          </w:tcPr>
          <w:p>
            <w:pPr>
              <w:pStyle w:val="TableContents"/>
              <w:bidi w:val="0"/>
              <w:spacing w:before="0" w:after="283"/>
              <w:jc w:val="left"/>
              <w:rPr/>
            </w:pPr>
            <w:hyperlink w:anchor="tm2622703d1_ex5-1.htm">
              <w:r>
                <w:rPr>
                  <w:rStyle w:val="InternetLink"/>
                  <w:rFonts w:ascii="Times New Roman;Times;Serif" w:hAnsi="Times New Roman;Times;Serif"/>
                  <w:sz w:val="20"/>
                </w:rPr>
                <w:t>Filed herewith</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0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158"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left"/>
              <w:rPr/>
            </w:pPr>
            <w:hyperlink w:anchor="tm2622703d1_ex5-1.htm">
              <w:r>
                <w:rPr>
                  <w:rStyle w:val="InternetLink"/>
                  <w:rFonts w:ascii="Times New Roman;Times;Serif" w:hAnsi="Times New Roman;Times;Serif"/>
                  <w:sz w:val="20"/>
                </w:rPr>
                <w:t>23.1</w:t>
              </w:r>
            </w:hyperlink>
          </w:p>
        </w:tc>
        <w:tc>
          <w:tcPr>
            <w:tcW w:w="60" w:type="dxa"/>
            <w:tcBorders/>
            <w:tcMar>
              <w:bottom w:w="0" w:type="dxa"/>
            </w:tcMar>
            <w:vAlign w:val="center"/>
          </w:tcPr>
          <w:p>
            <w:pPr>
              <w:pStyle w:val="TableContents"/>
              <w:bidi w:val="0"/>
              <w:spacing w:before="0" w:after="283"/>
              <w:jc w:val="left"/>
              <w:rPr/>
            </w:pPr>
            <w:r>
              <w:rPr/>
              <w:t> </w:t>
            </w:r>
          </w:p>
        </w:tc>
        <w:tc>
          <w:tcPr>
            <w:tcW w:w="6202" w:type="dxa"/>
            <w:tcBorders/>
            <w:tcMar>
              <w:bottom w:w="0" w:type="dxa"/>
            </w:tcMar>
            <w:vAlign w:val="center"/>
          </w:tcPr>
          <w:p>
            <w:pPr>
              <w:pStyle w:val="TableContents"/>
              <w:bidi w:val="0"/>
              <w:spacing w:before="0" w:after="283"/>
              <w:jc w:val="left"/>
              <w:rPr/>
            </w:pPr>
            <w:hyperlink w:anchor="tm2622703d1_ex5-1.htm">
              <w:r>
                <w:rPr>
                  <w:rStyle w:val="InternetLink"/>
                  <w:rFonts w:ascii="Times New Roman;Times;Serif" w:hAnsi="Times New Roman;Times;Serif"/>
                  <w:sz w:val="20"/>
                </w:rPr>
                <w:t>Consent of Mayer Brown LLP, New York, New York (included in Exhibit 5.1)</w:t>
              </w:r>
            </w:hyperlink>
          </w:p>
        </w:tc>
        <w:tc>
          <w:tcPr>
            <w:tcW w:w="60" w:type="dxa"/>
            <w:tcBorders/>
            <w:tcMar>
              <w:bottom w:w="0" w:type="dxa"/>
            </w:tcMar>
            <w:vAlign w:val="center"/>
          </w:tcPr>
          <w:p>
            <w:pPr>
              <w:pStyle w:val="TableContents"/>
              <w:bidi w:val="0"/>
              <w:spacing w:before="0" w:after="283"/>
              <w:jc w:val="left"/>
              <w:rPr/>
            </w:pPr>
            <w:r>
              <w:rPr/>
              <w:t> </w:t>
            </w:r>
          </w:p>
        </w:tc>
        <w:tc>
          <w:tcPr>
            <w:tcW w:w="3158" w:type="dxa"/>
            <w:tcBorders/>
            <w:tcMar>
              <w:bottom w:w="0" w:type="dxa"/>
            </w:tcMar>
            <w:vAlign w:val="center"/>
          </w:tcPr>
          <w:p>
            <w:pPr>
              <w:pStyle w:val="TableContents"/>
              <w:bidi w:val="0"/>
              <w:spacing w:before="0" w:after="283"/>
              <w:jc w:val="left"/>
              <w:rPr/>
            </w:pPr>
            <w:hyperlink w:anchor="tm2622703d1_ex5-1.htm">
              <w:r>
                <w:rPr>
                  <w:rStyle w:val="InternetLink"/>
                  <w:rFonts w:ascii="Times New Roman;Times;Serif" w:hAnsi="Times New Roman;Times;Serif"/>
                  <w:sz w:val="20"/>
                </w:rPr>
                <w:t>Filed herewith</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0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158"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left"/>
              <w:rPr/>
            </w:pPr>
            <w:hyperlink w:anchor="tm2622703d1_ex23-2.htm">
              <w:r>
                <w:rPr>
                  <w:rStyle w:val="InternetLink"/>
                  <w:rFonts w:ascii="Times New Roman;Times;Serif" w:hAnsi="Times New Roman;Times;Serif"/>
                  <w:sz w:val="20"/>
                </w:rPr>
                <w:t>23.2</w:t>
              </w:r>
            </w:hyperlink>
          </w:p>
        </w:tc>
        <w:tc>
          <w:tcPr>
            <w:tcW w:w="60" w:type="dxa"/>
            <w:tcBorders/>
            <w:tcMar>
              <w:bottom w:w="0" w:type="dxa"/>
            </w:tcMar>
            <w:vAlign w:val="center"/>
          </w:tcPr>
          <w:p>
            <w:pPr>
              <w:pStyle w:val="TableContents"/>
              <w:bidi w:val="0"/>
              <w:spacing w:before="0" w:after="283"/>
              <w:jc w:val="left"/>
              <w:rPr/>
            </w:pPr>
            <w:r>
              <w:rPr/>
              <w:t> </w:t>
            </w:r>
          </w:p>
        </w:tc>
        <w:tc>
          <w:tcPr>
            <w:tcW w:w="6202" w:type="dxa"/>
            <w:tcBorders/>
            <w:tcMar>
              <w:bottom w:w="0" w:type="dxa"/>
            </w:tcMar>
            <w:vAlign w:val="center"/>
          </w:tcPr>
          <w:p>
            <w:pPr>
              <w:pStyle w:val="TableContents"/>
              <w:bidi w:val="0"/>
              <w:spacing w:before="0" w:after="283"/>
              <w:jc w:val="left"/>
              <w:rPr/>
            </w:pPr>
            <w:hyperlink w:anchor="tm2622703d1_ex23-2.htm">
              <w:r>
                <w:rPr>
                  <w:rStyle w:val="InternetLink"/>
                  <w:rFonts w:ascii="Times New Roman;Times;Serif" w:hAnsi="Times New Roman;Times;Serif"/>
                  <w:sz w:val="20"/>
                </w:rPr>
                <w:t>Consent of Kesselman &amp; Kesselman, Certified Public Accountants (Isr.), a member of PricewaterhouseCoopers International Limited, independent registered public accounting firm for the Registrant</w:t>
              </w:r>
            </w:hyperlink>
          </w:p>
        </w:tc>
        <w:tc>
          <w:tcPr>
            <w:tcW w:w="60" w:type="dxa"/>
            <w:tcBorders/>
            <w:tcMar>
              <w:bottom w:w="0" w:type="dxa"/>
            </w:tcMar>
            <w:vAlign w:val="center"/>
          </w:tcPr>
          <w:p>
            <w:pPr>
              <w:pStyle w:val="TableContents"/>
              <w:bidi w:val="0"/>
              <w:spacing w:before="0" w:after="283"/>
              <w:jc w:val="left"/>
              <w:rPr/>
            </w:pPr>
            <w:r>
              <w:rPr/>
              <w:t> </w:t>
            </w:r>
          </w:p>
        </w:tc>
        <w:tc>
          <w:tcPr>
            <w:tcW w:w="3158" w:type="dxa"/>
            <w:tcBorders/>
            <w:tcMar>
              <w:bottom w:w="0" w:type="dxa"/>
            </w:tcMar>
            <w:vAlign w:val="center"/>
          </w:tcPr>
          <w:p>
            <w:pPr>
              <w:pStyle w:val="TableContents"/>
              <w:bidi w:val="0"/>
              <w:spacing w:before="0" w:after="283"/>
              <w:jc w:val="left"/>
              <w:rPr/>
            </w:pPr>
            <w:hyperlink w:anchor="tm2622703d1_ex23-2.htm">
              <w:r>
                <w:rPr>
                  <w:rStyle w:val="InternetLink"/>
                  <w:rFonts w:ascii="Times New Roman;Times;Serif" w:hAnsi="Times New Roman;Times;Serif"/>
                  <w:sz w:val="20"/>
                </w:rPr>
                <w:t>Filed herewith</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0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158"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left"/>
              <w:rPr/>
            </w:pPr>
            <w:hyperlink w:anchor="sig_001">
              <w:r>
                <w:rPr>
                  <w:rStyle w:val="InternetLink"/>
                  <w:rFonts w:ascii="Times New Roman;Times;Serif" w:hAnsi="Times New Roman;Times;Serif"/>
                  <w:sz w:val="20"/>
                </w:rPr>
                <w:t>24.1</w:t>
              </w:r>
            </w:hyperlink>
          </w:p>
        </w:tc>
        <w:tc>
          <w:tcPr>
            <w:tcW w:w="60" w:type="dxa"/>
            <w:tcBorders/>
            <w:tcMar>
              <w:bottom w:w="0" w:type="dxa"/>
            </w:tcMar>
            <w:vAlign w:val="center"/>
          </w:tcPr>
          <w:p>
            <w:pPr>
              <w:pStyle w:val="TableContents"/>
              <w:bidi w:val="0"/>
              <w:spacing w:before="0" w:after="283"/>
              <w:jc w:val="left"/>
              <w:rPr/>
            </w:pPr>
            <w:r>
              <w:rPr/>
              <w:t> </w:t>
            </w:r>
          </w:p>
        </w:tc>
        <w:tc>
          <w:tcPr>
            <w:tcW w:w="6202" w:type="dxa"/>
            <w:tcBorders/>
            <w:tcMar>
              <w:bottom w:w="0" w:type="dxa"/>
            </w:tcMar>
            <w:vAlign w:val="center"/>
          </w:tcPr>
          <w:p>
            <w:pPr>
              <w:pStyle w:val="TableContents"/>
              <w:bidi w:val="0"/>
              <w:spacing w:before="0" w:after="283"/>
              <w:jc w:val="left"/>
              <w:rPr/>
            </w:pPr>
            <w:hyperlink w:anchor="sig_001">
              <w:r>
                <w:rPr>
                  <w:rStyle w:val="InternetLink"/>
                  <w:rFonts w:ascii="Times New Roman;Times;Serif" w:hAnsi="Times New Roman;Times;Serif"/>
                  <w:sz w:val="20"/>
                </w:rPr>
                <w:t>Power of Attorney (included on signature page)</w:t>
              </w:r>
            </w:hyperlink>
          </w:p>
        </w:tc>
        <w:tc>
          <w:tcPr>
            <w:tcW w:w="60" w:type="dxa"/>
            <w:tcBorders/>
            <w:tcMar>
              <w:bottom w:w="0" w:type="dxa"/>
            </w:tcMar>
            <w:vAlign w:val="center"/>
          </w:tcPr>
          <w:p>
            <w:pPr>
              <w:pStyle w:val="TableContents"/>
              <w:bidi w:val="0"/>
              <w:spacing w:before="0" w:after="283"/>
              <w:jc w:val="left"/>
              <w:rPr/>
            </w:pPr>
            <w:r>
              <w:rPr/>
              <w:t> </w:t>
            </w:r>
          </w:p>
        </w:tc>
        <w:tc>
          <w:tcPr>
            <w:tcW w:w="3158" w:type="dxa"/>
            <w:tcBorders/>
            <w:tcMar>
              <w:bottom w:w="0" w:type="dxa"/>
            </w:tcMar>
            <w:vAlign w:val="center"/>
          </w:tcPr>
          <w:p>
            <w:pPr>
              <w:pStyle w:val="TableContents"/>
              <w:bidi w:val="0"/>
              <w:spacing w:before="0" w:after="283"/>
              <w:jc w:val="left"/>
              <w:rPr/>
            </w:pPr>
            <w:hyperlink w:anchor="sig_001">
              <w:r>
                <w:rPr>
                  <w:rStyle w:val="InternetLink"/>
                  <w:rFonts w:ascii="Times New Roman;Times;Serif" w:hAnsi="Times New Roman;Times;Serif"/>
                  <w:sz w:val="20"/>
                </w:rPr>
                <w:t>Filed herewith</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0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158"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left"/>
              <w:rPr/>
            </w:pPr>
            <w:hyperlink w:anchor="tm2622703d1_ex-filingfees.htm">
              <w:r>
                <w:rPr>
                  <w:rStyle w:val="InternetLink"/>
                  <w:rFonts w:ascii="Times New Roman;Times;Serif" w:hAnsi="Times New Roman;Times;Serif"/>
                  <w:sz w:val="20"/>
                </w:rPr>
                <w:t>107</w:t>
              </w:r>
            </w:hyperlink>
          </w:p>
        </w:tc>
        <w:tc>
          <w:tcPr>
            <w:tcW w:w="60" w:type="dxa"/>
            <w:tcBorders/>
            <w:tcMar>
              <w:bottom w:w="0" w:type="dxa"/>
            </w:tcMar>
            <w:vAlign w:val="center"/>
          </w:tcPr>
          <w:p>
            <w:pPr>
              <w:pStyle w:val="TableContents"/>
              <w:bidi w:val="0"/>
              <w:spacing w:before="0" w:after="283"/>
              <w:jc w:val="left"/>
              <w:rPr/>
            </w:pPr>
            <w:r>
              <w:rPr/>
              <w:t> </w:t>
            </w:r>
          </w:p>
        </w:tc>
        <w:tc>
          <w:tcPr>
            <w:tcW w:w="6202" w:type="dxa"/>
            <w:tcBorders/>
            <w:tcMar>
              <w:bottom w:w="0" w:type="dxa"/>
            </w:tcMar>
            <w:vAlign w:val="center"/>
          </w:tcPr>
          <w:p>
            <w:pPr>
              <w:pStyle w:val="TableContents"/>
              <w:bidi w:val="0"/>
              <w:spacing w:before="0" w:after="283"/>
              <w:jc w:val="left"/>
              <w:rPr/>
            </w:pPr>
            <w:hyperlink w:anchor="tm2622703d1_ex-filingfees.htm">
              <w:r>
                <w:rPr>
                  <w:rStyle w:val="InternetLink"/>
                  <w:rFonts w:ascii="Times New Roman;Times;Serif" w:hAnsi="Times New Roman;Times;Serif"/>
                  <w:sz w:val="20"/>
                </w:rPr>
                <w:t>Filing Fee Table</w:t>
              </w:r>
            </w:hyperlink>
          </w:p>
        </w:tc>
        <w:tc>
          <w:tcPr>
            <w:tcW w:w="60" w:type="dxa"/>
            <w:tcBorders/>
            <w:tcMar>
              <w:bottom w:w="0" w:type="dxa"/>
            </w:tcMar>
            <w:vAlign w:val="center"/>
          </w:tcPr>
          <w:p>
            <w:pPr>
              <w:pStyle w:val="TableContents"/>
              <w:bidi w:val="0"/>
              <w:spacing w:before="0" w:after="283"/>
              <w:jc w:val="left"/>
              <w:rPr/>
            </w:pPr>
            <w:r>
              <w:rPr/>
              <w:t> </w:t>
            </w:r>
          </w:p>
        </w:tc>
        <w:tc>
          <w:tcPr>
            <w:tcW w:w="3158" w:type="dxa"/>
            <w:tcBorders/>
            <w:tcMar>
              <w:bottom w:w="0" w:type="dxa"/>
            </w:tcMar>
            <w:vAlign w:val="center"/>
          </w:tcPr>
          <w:p>
            <w:pPr>
              <w:pStyle w:val="TableContents"/>
              <w:bidi w:val="0"/>
              <w:spacing w:before="0" w:after="283"/>
              <w:jc w:val="left"/>
              <w:rPr/>
            </w:pPr>
            <w:hyperlink w:anchor="tm2622703d1_ex-filingfees.htm">
              <w:r>
                <w:rPr>
                  <w:rStyle w:val="InternetLink"/>
                  <w:rFonts w:ascii="Times New Roman;Times;Serif" w:hAnsi="Times New Roman;Times;Serif"/>
                  <w:sz w:val="20"/>
                </w:rPr>
                <w:t>Filed herewith</w:t>
              </w:r>
            </w:hyperlink>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840" w:type="dxa"/>
        <w:jc w:val="left"/>
        <w:tblInd w:w="0" w:type="dxa"/>
        <w:tblLayout w:type="fixed"/>
        <w:tblCellMar>
          <w:top w:w="0" w:type="dxa"/>
          <w:left w:w="0" w:type="dxa"/>
          <w:bottom w:w="0" w:type="dxa"/>
          <w:right w:w="0" w:type="dxa"/>
        </w:tblCellMar>
      </w:tblPr>
      <w:tblGrid>
        <w:gridCol w:w="620"/>
        <w:gridCol w:w="1220"/>
      </w:tblGrid>
      <w:tr>
        <w:trPr/>
        <w:tc>
          <w:tcPr>
            <w:tcW w:w="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w:t>
            </w:r>
          </w:p>
        </w:tc>
        <w:tc>
          <w:tcPr>
            <w:tcW w:w="12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Undertakings.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6"/>
        <w:gridCol w:w="9891"/>
      </w:tblGrid>
      <w:tr>
        <w:trPr/>
        <w:tc>
          <w:tcPr>
            <w:tcW w:w="3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pPr>
            <w:r>
              <w:rPr/>
              <w:t>(1)</w:t>
            </w:r>
          </w:p>
        </w:tc>
        <w:tc>
          <w:tcPr>
            <w:tcW w:w="9891" w:type="dxa"/>
            <w:tcBorders/>
            <w:vAlign w:val="center"/>
          </w:tcPr>
          <w:p>
            <w:pPr>
              <w:pStyle w:val="TableContents"/>
              <w:bidi w:val="0"/>
              <w:spacing w:before="0" w:after="283"/>
              <w:jc w:val="left"/>
              <w:rPr/>
            </w:pPr>
            <w:r>
              <w:rPr/>
              <w:t>to file, during any period in which offers or sales are being made, a post-effective amendment to this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include any prospectus required by Section 10(a)(3)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reflect in the prospectus any facts or events arising after the effective date of the Registration statement (or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 in volume and price represent no more than a 20 percent change in the maximum aggregate offering price set forth in the “Calculation of Registration Fee” table in the effective Registration Statement;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include any material information with respect to the plan of distribution not previously disclosed in this Registration Statement or any material change to such information in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paragraphs (1)(i) and (1)(ii) of this section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offering thereof;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herein, and the offering of such securities at that time shall be deemed to be the initial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offering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sig_001"/>
      <w:bookmarkEnd w:id="2"/>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Tel Aviv, State of Israel, on August 12, 2026.</w:t>
      </w:r>
    </w:p>
    <w:p>
      <w:pPr>
        <w:pStyle w:val="TextBody"/>
        <w:bidi w:val="0"/>
        <w:spacing w:before="0" w:after="0"/>
        <w:ind w:left="0" w:right="0" w:hanging="0"/>
        <w:jc w:val="left"/>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75"/>
        <w:gridCol w:w="320"/>
        <w:gridCol w:w="3095"/>
      </w:tblGrid>
      <w:tr>
        <w:trPr/>
        <w:tc>
          <w:tcPr>
            <w:tcW w:w="75" w:type="dxa"/>
            <w:tcBorders/>
            <w:vAlign w:val="center"/>
          </w:tcPr>
          <w:p>
            <w:pPr>
              <w:pStyle w:val="TableContents"/>
              <w:bidi w:val="0"/>
              <w:spacing w:before="0" w:after="283"/>
              <w:jc w:val="left"/>
              <w:rPr/>
            </w:pPr>
            <w:r>
              <w:rPr/>
              <w:t> </w:t>
            </w:r>
          </w:p>
        </w:tc>
        <w:tc>
          <w:tcPr>
            <w:tcW w:w="341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PROTALIX BIOTHERAPEUTICS,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Dror Bashan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Dror Bashan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each person whose signature appears below constitutes and appoints Dror Bashan and Gilad Mamlok, and each of them, as his true and lawful attorneys-in-fact and agents, with full power of substitution and resubstitution, for the undersigned and in his or her name, place, and stead, in any and all capacities, to sign any or all amendments (including post-effective amendments) to the Registration Statement and to file the same, with all exhibits thereto, and all documents in connection therewith, including any subsequent registration statement for the same offering that may be filed under Rule 462(b),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substitute or substitutes, may lawfully do or cause to be done by virtue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this Registration Statement has been signed by the following persons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7500" w:type="dxa"/>
        <w:jc w:val="left"/>
        <w:tblInd w:w="0" w:type="dxa"/>
        <w:tblLayout w:type="fixed"/>
        <w:tblCellMar>
          <w:top w:w="0" w:type="dxa"/>
          <w:left w:w="0" w:type="dxa"/>
          <w:bottom w:w="28" w:type="dxa"/>
          <w:right w:w="0" w:type="dxa"/>
        </w:tblCellMar>
      </w:tblPr>
      <w:tblGrid>
        <w:gridCol w:w="2255"/>
        <w:gridCol w:w="3860"/>
        <w:gridCol w:w="1385"/>
      </w:tblGrid>
      <w:tr>
        <w:trPr/>
        <w:tc>
          <w:tcPr>
            <w:tcW w:w="225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Dror Bashan</w:t>
            </w:r>
          </w:p>
        </w:tc>
        <w:tc>
          <w:tcPr>
            <w:tcW w:w="386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President, Chief Executive Officer</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12, 2026</w:t>
            </w:r>
          </w:p>
        </w:tc>
      </w:tr>
      <w:tr>
        <w:trPr/>
        <w:tc>
          <w:tcPr>
            <w:tcW w:w="22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Dror Bashan</w:t>
            </w:r>
          </w:p>
        </w:tc>
        <w:tc>
          <w:tcPr>
            <w:tcW w:w="386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(Principal Executive Officer) and Director</w:t>
            </w:r>
          </w:p>
        </w:tc>
        <w:tc>
          <w:tcPr>
            <w:tcW w:w="1385" w:type="dxa"/>
            <w:tcBorders/>
            <w:tcMar>
              <w:bottom w:w="0" w:type="dxa"/>
            </w:tcMar>
            <w:vAlign w:val="center"/>
          </w:tcPr>
          <w:p>
            <w:pPr>
              <w:pStyle w:val="TableContents"/>
              <w:bidi w:val="0"/>
              <w:spacing w:before="0" w:after="283"/>
              <w:jc w:val="center"/>
              <w:rPr/>
            </w:pPr>
            <w:r>
              <w:rPr/>
              <w:t> </w:t>
            </w:r>
          </w:p>
        </w:tc>
      </w:tr>
      <w:tr>
        <w:trPr/>
        <w:tc>
          <w:tcPr>
            <w:tcW w:w="2255" w:type="dxa"/>
            <w:tcBorders/>
            <w:tcMar>
              <w:bottom w:w="0" w:type="dxa"/>
            </w:tcMar>
            <w:vAlign w:val="center"/>
          </w:tcPr>
          <w:p>
            <w:pPr>
              <w:pStyle w:val="TableContents"/>
              <w:bidi w:val="0"/>
              <w:spacing w:before="0" w:after="283"/>
              <w:jc w:val="left"/>
              <w:rPr/>
            </w:pPr>
            <w:r>
              <w:rPr/>
              <w:t> </w:t>
            </w:r>
          </w:p>
        </w:tc>
        <w:tc>
          <w:tcPr>
            <w:tcW w:w="3860" w:type="dxa"/>
            <w:tcBorders/>
            <w:tcMar>
              <w:bottom w:w="0" w:type="dxa"/>
            </w:tcMar>
            <w:vAlign w:val="center"/>
          </w:tcPr>
          <w:p>
            <w:pPr>
              <w:pStyle w:val="TableContents"/>
              <w:bidi w:val="0"/>
              <w:spacing w:before="0" w:after="283"/>
              <w:jc w:val="center"/>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25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Gilad Mamlok</w:t>
            </w:r>
          </w:p>
        </w:tc>
        <w:tc>
          <w:tcPr>
            <w:tcW w:w="386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Chief Financial Officer, Treasurer and Secretary</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12, 2026</w:t>
            </w:r>
          </w:p>
        </w:tc>
      </w:tr>
      <w:tr>
        <w:trPr/>
        <w:tc>
          <w:tcPr>
            <w:tcW w:w="22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Gilad Mamlok</w:t>
            </w:r>
          </w:p>
        </w:tc>
        <w:tc>
          <w:tcPr>
            <w:tcW w:w="386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(Principal Financial and Accounting Officer)</w:t>
            </w:r>
          </w:p>
        </w:tc>
        <w:tc>
          <w:tcPr>
            <w:tcW w:w="1385" w:type="dxa"/>
            <w:tcBorders/>
            <w:tcMar>
              <w:bottom w:w="0" w:type="dxa"/>
            </w:tcMar>
            <w:vAlign w:val="center"/>
          </w:tcPr>
          <w:p>
            <w:pPr>
              <w:pStyle w:val="TableContents"/>
              <w:bidi w:val="0"/>
              <w:spacing w:before="0" w:after="283"/>
              <w:jc w:val="center"/>
              <w:rPr/>
            </w:pPr>
            <w:r>
              <w:rPr/>
              <w:t> </w:t>
            </w:r>
          </w:p>
        </w:tc>
      </w:tr>
      <w:tr>
        <w:trPr/>
        <w:tc>
          <w:tcPr>
            <w:tcW w:w="2255" w:type="dxa"/>
            <w:tcBorders/>
            <w:tcMar>
              <w:bottom w:w="0" w:type="dxa"/>
            </w:tcMar>
            <w:vAlign w:val="center"/>
          </w:tcPr>
          <w:p>
            <w:pPr>
              <w:pStyle w:val="TableContents"/>
              <w:bidi w:val="0"/>
              <w:spacing w:before="0" w:after="283"/>
              <w:jc w:val="left"/>
              <w:rPr/>
            </w:pPr>
            <w:r>
              <w:rPr/>
              <w:t> </w:t>
            </w:r>
          </w:p>
        </w:tc>
        <w:tc>
          <w:tcPr>
            <w:tcW w:w="3860" w:type="dxa"/>
            <w:tcBorders/>
            <w:tcMar>
              <w:bottom w:w="0" w:type="dxa"/>
            </w:tcMar>
            <w:vAlign w:val="center"/>
          </w:tcPr>
          <w:p>
            <w:pPr>
              <w:pStyle w:val="TableContents"/>
              <w:bidi w:val="0"/>
              <w:spacing w:before="0" w:after="283"/>
              <w:jc w:val="center"/>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25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Eliot Richard Forster</w:t>
            </w:r>
          </w:p>
        </w:tc>
        <w:tc>
          <w:tcPr>
            <w:tcW w:w="386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Chairman of the Board</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12, 2026</w:t>
            </w:r>
          </w:p>
        </w:tc>
      </w:tr>
      <w:tr>
        <w:trPr/>
        <w:tc>
          <w:tcPr>
            <w:tcW w:w="22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Eliot Richard Forster, Ph.D.</w:t>
            </w:r>
          </w:p>
        </w:tc>
        <w:tc>
          <w:tcPr>
            <w:tcW w:w="3860" w:type="dxa"/>
            <w:tcBorders/>
            <w:tcMar>
              <w:bottom w:w="0" w:type="dxa"/>
            </w:tcMar>
            <w:vAlign w:val="center"/>
          </w:tcPr>
          <w:p>
            <w:pPr>
              <w:pStyle w:val="TableContents"/>
              <w:bidi w:val="0"/>
              <w:spacing w:before="0" w:after="283"/>
              <w:jc w:val="center"/>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255" w:type="dxa"/>
            <w:tcBorders/>
            <w:tcMar>
              <w:bottom w:w="0" w:type="dxa"/>
            </w:tcMar>
            <w:vAlign w:val="center"/>
          </w:tcPr>
          <w:p>
            <w:pPr>
              <w:pStyle w:val="TableContents"/>
              <w:bidi w:val="0"/>
              <w:spacing w:before="0" w:after="283"/>
              <w:jc w:val="left"/>
              <w:rPr/>
            </w:pPr>
            <w:r>
              <w:rPr/>
              <w:t> </w:t>
            </w:r>
          </w:p>
        </w:tc>
        <w:tc>
          <w:tcPr>
            <w:tcW w:w="3860" w:type="dxa"/>
            <w:tcBorders/>
            <w:tcMar>
              <w:bottom w:w="0" w:type="dxa"/>
            </w:tcMar>
            <w:vAlign w:val="center"/>
          </w:tcPr>
          <w:p>
            <w:pPr>
              <w:pStyle w:val="TableContents"/>
              <w:bidi w:val="0"/>
              <w:spacing w:before="0" w:after="283"/>
              <w:jc w:val="center"/>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25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Amos Bar Shalev</w:t>
            </w:r>
          </w:p>
        </w:tc>
        <w:tc>
          <w:tcPr>
            <w:tcW w:w="386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12, 2026</w:t>
            </w:r>
          </w:p>
        </w:tc>
      </w:tr>
      <w:tr>
        <w:trPr/>
        <w:tc>
          <w:tcPr>
            <w:tcW w:w="22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Amos Bar Shalev</w:t>
            </w:r>
          </w:p>
        </w:tc>
        <w:tc>
          <w:tcPr>
            <w:tcW w:w="3860" w:type="dxa"/>
            <w:tcBorders/>
            <w:tcMar>
              <w:bottom w:w="0" w:type="dxa"/>
            </w:tcMar>
            <w:vAlign w:val="center"/>
          </w:tcPr>
          <w:p>
            <w:pPr>
              <w:pStyle w:val="TableContents"/>
              <w:bidi w:val="0"/>
              <w:spacing w:before="0" w:after="283"/>
              <w:jc w:val="center"/>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255" w:type="dxa"/>
            <w:tcBorders/>
            <w:tcMar>
              <w:bottom w:w="0" w:type="dxa"/>
            </w:tcMar>
            <w:vAlign w:val="center"/>
          </w:tcPr>
          <w:p>
            <w:pPr>
              <w:pStyle w:val="TableContents"/>
              <w:bidi w:val="0"/>
              <w:spacing w:before="0" w:after="283"/>
              <w:jc w:val="left"/>
              <w:rPr/>
            </w:pPr>
            <w:r>
              <w:rPr/>
              <w:t> </w:t>
            </w:r>
          </w:p>
        </w:tc>
        <w:tc>
          <w:tcPr>
            <w:tcW w:w="3860" w:type="dxa"/>
            <w:tcBorders/>
            <w:tcMar>
              <w:bottom w:w="0" w:type="dxa"/>
            </w:tcMar>
            <w:vAlign w:val="center"/>
          </w:tcPr>
          <w:p>
            <w:pPr>
              <w:pStyle w:val="TableContents"/>
              <w:bidi w:val="0"/>
              <w:spacing w:before="0" w:after="283"/>
              <w:jc w:val="center"/>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25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Shmuel Ben Zvi</w:t>
            </w:r>
          </w:p>
        </w:tc>
        <w:tc>
          <w:tcPr>
            <w:tcW w:w="386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12, 2026</w:t>
            </w:r>
          </w:p>
        </w:tc>
      </w:tr>
      <w:tr>
        <w:trPr/>
        <w:tc>
          <w:tcPr>
            <w:tcW w:w="22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Shmuel Ben Zvi, Ph.D.</w:t>
            </w:r>
          </w:p>
        </w:tc>
        <w:tc>
          <w:tcPr>
            <w:tcW w:w="3860" w:type="dxa"/>
            <w:tcBorders/>
            <w:tcMar>
              <w:bottom w:w="0" w:type="dxa"/>
            </w:tcMar>
            <w:vAlign w:val="center"/>
          </w:tcPr>
          <w:p>
            <w:pPr>
              <w:pStyle w:val="TableContents"/>
              <w:bidi w:val="0"/>
              <w:spacing w:before="0" w:after="283"/>
              <w:jc w:val="center"/>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255" w:type="dxa"/>
            <w:tcBorders/>
            <w:tcMar>
              <w:bottom w:w="0" w:type="dxa"/>
            </w:tcMar>
            <w:vAlign w:val="center"/>
          </w:tcPr>
          <w:p>
            <w:pPr>
              <w:pStyle w:val="TableContents"/>
              <w:bidi w:val="0"/>
              <w:spacing w:before="0" w:after="283"/>
              <w:jc w:val="left"/>
              <w:rPr/>
            </w:pPr>
            <w:r>
              <w:rPr/>
              <w:t> </w:t>
            </w:r>
          </w:p>
        </w:tc>
        <w:tc>
          <w:tcPr>
            <w:tcW w:w="3860" w:type="dxa"/>
            <w:tcBorders/>
            <w:tcMar>
              <w:bottom w:w="0" w:type="dxa"/>
            </w:tcMar>
            <w:vAlign w:val="center"/>
          </w:tcPr>
          <w:p>
            <w:pPr>
              <w:pStyle w:val="TableContents"/>
              <w:bidi w:val="0"/>
              <w:spacing w:before="0" w:after="283"/>
              <w:jc w:val="center"/>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25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Pol F. Boudes</w:t>
            </w:r>
          </w:p>
        </w:tc>
        <w:tc>
          <w:tcPr>
            <w:tcW w:w="386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12, 2026</w:t>
            </w:r>
          </w:p>
        </w:tc>
      </w:tr>
      <w:tr>
        <w:trPr/>
        <w:tc>
          <w:tcPr>
            <w:tcW w:w="22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Pol F. Boudes, M.D.</w:t>
            </w:r>
          </w:p>
        </w:tc>
        <w:tc>
          <w:tcPr>
            <w:tcW w:w="3860" w:type="dxa"/>
            <w:tcBorders/>
            <w:tcMar>
              <w:bottom w:w="0" w:type="dxa"/>
            </w:tcMar>
            <w:vAlign w:val="center"/>
          </w:tcPr>
          <w:p>
            <w:pPr>
              <w:pStyle w:val="TableContents"/>
              <w:bidi w:val="0"/>
              <w:spacing w:before="0" w:after="283"/>
              <w:jc w:val="center"/>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255" w:type="dxa"/>
            <w:tcBorders/>
            <w:tcMar>
              <w:bottom w:w="0" w:type="dxa"/>
            </w:tcMar>
            <w:vAlign w:val="center"/>
          </w:tcPr>
          <w:p>
            <w:pPr>
              <w:pStyle w:val="TableContents"/>
              <w:bidi w:val="0"/>
              <w:spacing w:before="0" w:after="283"/>
              <w:jc w:val="left"/>
              <w:rPr/>
            </w:pPr>
            <w:r>
              <w:rPr/>
              <w:t> </w:t>
            </w:r>
          </w:p>
        </w:tc>
        <w:tc>
          <w:tcPr>
            <w:tcW w:w="3860" w:type="dxa"/>
            <w:tcBorders/>
            <w:tcMar>
              <w:bottom w:w="0" w:type="dxa"/>
            </w:tcMar>
            <w:vAlign w:val="center"/>
          </w:tcPr>
          <w:p>
            <w:pPr>
              <w:pStyle w:val="TableContents"/>
              <w:bidi w:val="0"/>
              <w:spacing w:before="0" w:after="283"/>
              <w:jc w:val="center"/>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25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Gwen A. Melincoff</w:t>
            </w:r>
          </w:p>
        </w:tc>
        <w:tc>
          <w:tcPr>
            <w:tcW w:w="386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12, 2026</w:t>
            </w:r>
          </w:p>
        </w:tc>
      </w:tr>
      <w:tr>
        <w:trPr/>
        <w:tc>
          <w:tcPr>
            <w:tcW w:w="22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Gwen A. Melincoff</w:t>
            </w:r>
          </w:p>
        </w:tc>
        <w:tc>
          <w:tcPr>
            <w:tcW w:w="3860" w:type="dxa"/>
            <w:tcBorders/>
            <w:tcMar>
              <w:bottom w:w="0" w:type="dxa"/>
            </w:tcMar>
            <w:vAlign w:val="center"/>
          </w:tcPr>
          <w:p>
            <w:pPr>
              <w:pStyle w:val="TableContents"/>
              <w:bidi w:val="0"/>
              <w:spacing w:before="0" w:after="283"/>
              <w:jc w:val="center"/>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255" w:type="dxa"/>
            <w:tcBorders/>
            <w:tcMar>
              <w:bottom w:w="0" w:type="dxa"/>
            </w:tcMar>
            <w:vAlign w:val="center"/>
          </w:tcPr>
          <w:p>
            <w:pPr>
              <w:pStyle w:val="TableContents"/>
              <w:bidi w:val="0"/>
              <w:spacing w:before="0" w:after="283"/>
              <w:jc w:val="left"/>
              <w:rPr/>
            </w:pPr>
            <w:r>
              <w:rPr/>
              <w:t> </w:t>
            </w:r>
          </w:p>
        </w:tc>
        <w:tc>
          <w:tcPr>
            <w:tcW w:w="3860" w:type="dxa"/>
            <w:tcBorders/>
            <w:tcMar>
              <w:bottom w:w="0" w:type="dxa"/>
            </w:tcMar>
            <w:vAlign w:val="center"/>
          </w:tcPr>
          <w:p>
            <w:pPr>
              <w:pStyle w:val="TableContents"/>
              <w:bidi w:val="0"/>
              <w:spacing w:before="0" w:after="283"/>
              <w:jc w:val="center"/>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25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Christian Elze</w:t>
            </w:r>
          </w:p>
        </w:tc>
        <w:tc>
          <w:tcPr>
            <w:tcW w:w="386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12, 2026</w:t>
            </w:r>
          </w:p>
        </w:tc>
      </w:tr>
      <w:tr>
        <w:trPr/>
        <w:tc>
          <w:tcPr>
            <w:tcW w:w="22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Christian Elze</w:t>
            </w:r>
          </w:p>
        </w:tc>
        <w:tc>
          <w:tcPr>
            <w:tcW w:w="3860" w:type="dxa"/>
            <w:tcBorders/>
            <w:tcMar>
              <w:bottom w:w="0" w:type="dxa"/>
            </w:tcMar>
            <w:vAlign w:val="center"/>
          </w:tcPr>
          <w:p>
            <w:pPr>
              <w:pStyle w:val="TableContents"/>
              <w:bidi w:val="0"/>
              <w:spacing w:before="0" w:after="283"/>
              <w:jc w:val="center"/>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255" w:type="dxa"/>
            <w:tcBorders/>
            <w:tcMar>
              <w:bottom w:w="0" w:type="dxa"/>
            </w:tcMar>
            <w:vAlign w:val="center"/>
          </w:tcPr>
          <w:p>
            <w:pPr>
              <w:pStyle w:val="TableContents"/>
              <w:bidi w:val="0"/>
              <w:spacing w:before="0" w:after="283"/>
              <w:jc w:val="left"/>
              <w:rPr/>
            </w:pPr>
            <w:r>
              <w:rPr/>
              <w:t> </w:t>
            </w:r>
          </w:p>
        </w:tc>
        <w:tc>
          <w:tcPr>
            <w:tcW w:w="3860" w:type="dxa"/>
            <w:tcBorders/>
            <w:tcMar>
              <w:bottom w:w="0" w:type="dxa"/>
            </w:tcMar>
            <w:vAlign w:val="center"/>
          </w:tcPr>
          <w:p>
            <w:pPr>
              <w:pStyle w:val="TableContents"/>
              <w:bidi w:val="0"/>
              <w:spacing w:before="0" w:after="283"/>
              <w:jc w:val="center"/>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25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Aharon Schwartz</w:t>
            </w:r>
          </w:p>
        </w:tc>
        <w:tc>
          <w:tcPr>
            <w:tcW w:w="386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12, 2026</w:t>
            </w:r>
          </w:p>
        </w:tc>
      </w:tr>
      <w:tr>
        <w:trPr/>
        <w:tc>
          <w:tcPr>
            <w:tcW w:w="22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Aharon Schwartz, Ph.D.</w:t>
            </w:r>
          </w:p>
        </w:tc>
        <w:tc>
          <w:tcPr>
            <w:tcW w:w="3860" w:type="dxa"/>
            <w:tcBorders/>
            <w:tcMar>
              <w:bottom w:w="0" w:type="dxa"/>
            </w:tcMar>
            <w:vAlign w:val="center"/>
          </w:tcPr>
          <w:p>
            <w:pPr>
              <w:pStyle w:val="TableContents"/>
              <w:bidi w:val="0"/>
              <w:spacing w:before="0" w:after="283"/>
              <w:jc w:val="center"/>
              <w:rPr/>
            </w:pPr>
            <w:r>
              <w:rPr/>
              <w:t> </w:t>
            </w:r>
          </w:p>
        </w:tc>
        <w:tc>
          <w:tcPr>
            <w:tcW w:w="1385"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6239"/>
        <w:gridCol w:w="60"/>
        <w:gridCol w:w="3121"/>
      </w:tblGrid>
      <w:tr>
        <w:trPr/>
        <w:tc>
          <w:tcPr>
            <w:tcW w:w="72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6239"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Description</w:t>
            </w:r>
          </w:p>
        </w:tc>
        <w:tc>
          <w:tcPr>
            <w:tcW w:w="60" w:type="dxa"/>
            <w:tcBorders/>
            <w:tcMar>
              <w:bottom w:w="0" w:type="dxa"/>
            </w:tcMar>
            <w:vAlign w:val="center"/>
          </w:tcPr>
          <w:p>
            <w:pPr>
              <w:pStyle w:val="TableContents"/>
              <w:bidi w:val="0"/>
              <w:spacing w:before="0" w:after="283"/>
              <w:jc w:val="left"/>
              <w:rPr/>
            </w:pPr>
            <w:r>
              <w:rPr/>
              <w:t> </w:t>
            </w:r>
          </w:p>
        </w:tc>
        <w:tc>
          <w:tcPr>
            <w:tcW w:w="3121"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Method of Filing</w:t>
            </w:r>
          </w:p>
        </w:tc>
      </w:tr>
      <w:tr>
        <w:trPr/>
        <w:tc>
          <w:tcPr>
            <w:tcW w:w="725" w:type="dxa"/>
            <w:tcBorders/>
            <w:tcMar>
              <w:bottom w:w="0" w:type="dxa"/>
            </w:tcMar>
            <w:vAlign w:val="center"/>
          </w:tcPr>
          <w:p>
            <w:pPr>
              <w:pStyle w:val="TableContents"/>
              <w:bidi w:val="0"/>
              <w:spacing w:before="0" w:after="283"/>
              <w:jc w:val="left"/>
              <w:rPr/>
            </w:pPr>
            <w:hyperlink r:id="rId21">
              <w:r>
                <w:rPr>
                  <w:rStyle w:val="InternetLink"/>
                  <w:rFonts w:ascii="Times New Roman;Times;Serif" w:hAnsi="Times New Roman;Times;Serif"/>
                  <w:sz w:val="20"/>
                </w:rPr>
                <w:t>4.1</w:t>
              </w:r>
            </w:hyperlink>
          </w:p>
        </w:tc>
        <w:tc>
          <w:tcPr>
            <w:tcW w:w="60" w:type="dxa"/>
            <w:tcBorders/>
            <w:tcMar>
              <w:bottom w:w="0" w:type="dxa"/>
            </w:tcMar>
            <w:vAlign w:val="center"/>
          </w:tcPr>
          <w:p>
            <w:pPr>
              <w:pStyle w:val="TableContents"/>
              <w:bidi w:val="0"/>
              <w:spacing w:before="0" w:after="283"/>
              <w:jc w:val="left"/>
              <w:rPr/>
            </w:pPr>
            <w:r>
              <w:rPr/>
              <w:t> </w:t>
            </w:r>
          </w:p>
        </w:tc>
        <w:tc>
          <w:tcPr>
            <w:tcW w:w="6239" w:type="dxa"/>
            <w:tcBorders/>
            <w:tcMar>
              <w:bottom w:w="0" w:type="dxa"/>
            </w:tcMar>
            <w:vAlign w:val="center"/>
          </w:tcPr>
          <w:p>
            <w:pPr>
              <w:pStyle w:val="TableContents"/>
              <w:bidi w:val="0"/>
              <w:spacing w:before="0" w:after="283"/>
              <w:jc w:val="left"/>
              <w:rPr/>
            </w:pPr>
            <w:hyperlink r:id="rId22">
              <w:r>
                <w:rPr>
                  <w:rStyle w:val="InternetLink"/>
                  <w:rFonts w:ascii="Times New Roman;Times;Serif" w:hAnsi="Times New Roman;Times;Serif"/>
                  <w:sz w:val="20"/>
                </w:rPr>
                <w:t>Protalix BioTherapeutics, Inc. Amended &amp; Restated 2006 Stock Incentive Plan, as amended</w:t>
              </w:r>
            </w:hyperlink>
          </w:p>
        </w:tc>
        <w:tc>
          <w:tcPr>
            <w:tcW w:w="60" w:type="dxa"/>
            <w:tcBorders/>
            <w:tcMar>
              <w:bottom w:w="0" w:type="dxa"/>
            </w:tcMar>
            <w:vAlign w:val="center"/>
          </w:tcPr>
          <w:p>
            <w:pPr>
              <w:pStyle w:val="TableContents"/>
              <w:bidi w:val="0"/>
              <w:spacing w:before="0" w:after="283"/>
              <w:jc w:val="left"/>
              <w:rPr/>
            </w:pPr>
            <w:r>
              <w:rPr/>
              <w:t> </w:t>
            </w:r>
          </w:p>
        </w:tc>
        <w:tc>
          <w:tcPr>
            <w:tcW w:w="3121" w:type="dxa"/>
            <w:tcBorders/>
            <w:tcMar>
              <w:bottom w:w="0" w:type="dxa"/>
            </w:tcMar>
            <w:vAlign w:val="center"/>
          </w:tcPr>
          <w:p>
            <w:pPr>
              <w:pStyle w:val="TableContents"/>
              <w:bidi w:val="0"/>
              <w:spacing w:before="0" w:after="283"/>
              <w:jc w:val="left"/>
              <w:rPr/>
            </w:pPr>
            <w:hyperlink r:id="rId23">
              <w:r>
                <w:rPr>
                  <w:rStyle w:val="InternetLink"/>
                  <w:rFonts w:ascii="Times New Roman;Times;Serif" w:hAnsi="Times New Roman;Times;Serif"/>
                  <w:sz w:val="20"/>
                </w:rPr>
                <w:t>Incorporated by reference to Exhibit 10.1 of the Current Report on Form 8-K filed on June 25, 2026</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3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121"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left"/>
              <w:rPr/>
            </w:pPr>
            <w:hyperlink w:anchor="tm2622703d1_ex5-1.htm">
              <w:r>
                <w:rPr>
                  <w:rStyle w:val="InternetLink"/>
                  <w:rFonts w:ascii="Times New Roman;Times;Serif" w:hAnsi="Times New Roman;Times;Serif"/>
                  <w:sz w:val="20"/>
                </w:rPr>
                <w:t>5.1</w:t>
              </w:r>
            </w:hyperlink>
          </w:p>
        </w:tc>
        <w:tc>
          <w:tcPr>
            <w:tcW w:w="60" w:type="dxa"/>
            <w:tcBorders/>
            <w:tcMar>
              <w:bottom w:w="0" w:type="dxa"/>
            </w:tcMar>
            <w:vAlign w:val="center"/>
          </w:tcPr>
          <w:p>
            <w:pPr>
              <w:pStyle w:val="TableContents"/>
              <w:bidi w:val="0"/>
              <w:spacing w:before="0" w:after="283"/>
              <w:jc w:val="left"/>
              <w:rPr/>
            </w:pPr>
            <w:r>
              <w:rPr/>
              <w:t> </w:t>
            </w:r>
          </w:p>
        </w:tc>
        <w:tc>
          <w:tcPr>
            <w:tcW w:w="6239" w:type="dxa"/>
            <w:tcBorders/>
            <w:tcMar>
              <w:bottom w:w="0" w:type="dxa"/>
            </w:tcMar>
            <w:vAlign w:val="center"/>
          </w:tcPr>
          <w:p>
            <w:pPr>
              <w:pStyle w:val="TableContents"/>
              <w:bidi w:val="0"/>
              <w:spacing w:before="0" w:after="283"/>
              <w:jc w:val="left"/>
              <w:rPr/>
            </w:pPr>
            <w:hyperlink w:anchor="tm2622703d1_ex5-1.htm">
              <w:r>
                <w:rPr>
                  <w:rStyle w:val="InternetLink"/>
                  <w:rFonts w:ascii="Times New Roman;Times;Serif" w:hAnsi="Times New Roman;Times;Serif"/>
                  <w:sz w:val="20"/>
                </w:rPr>
                <w:t>Opinion of Mayer Brown LLP, New York, New York as to the legality of the securities being registered</w:t>
              </w:r>
            </w:hyperlink>
          </w:p>
        </w:tc>
        <w:tc>
          <w:tcPr>
            <w:tcW w:w="60" w:type="dxa"/>
            <w:tcBorders/>
            <w:tcMar>
              <w:bottom w:w="0" w:type="dxa"/>
            </w:tcMar>
            <w:vAlign w:val="center"/>
          </w:tcPr>
          <w:p>
            <w:pPr>
              <w:pStyle w:val="TableContents"/>
              <w:bidi w:val="0"/>
              <w:spacing w:before="0" w:after="283"/>
              <w:jc w:val="left"/>
              <w:rPr/>
            </w:pPr>
            <w:r>
              <w:rPr/>
              <w:t> </w:t>
            </w:r>
          </w:p>
        </w:tc>
        <w:tc>
          <w:tcPr>
            <w:tcW w:w="3121" w:type="dxa"/>
            <w:tcBorders/>
            <w:tcMar>
              <w:bottom w:w="0" w:type="dxa"/>
            </w:tcMar>
            <w:vAlign w:val="center"/>
          </w:tcPr>
          <w:p>
            <w:pPr>
              <w:pStyle w:val="TableContents"/>
              <w:bidi w:val="0"/>
              <w:spacing w:before="0" w:after="283"/>
              <w:jc w:val="left"/>
              <w:rPr/>
            </w:pPr>
            <w:hyperlink w:anchor="tm2622703d1_ex5-1.htm">
              <w:r>
                <w:rPr>
                  <w:rStyle w:val="InternetLink"/>
                  <w:rFonts w:ascii="Times New Roman;Times;Serif" w:hAnsi="Times New Roman;Times;Serif"/>
                  <w:sz w:val="20"/>
                </w:rPr>
                <w:t>Filed herewith</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3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121"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left"/>
              <w:rPr/>
            </w:pPr>
            <w:hyperlink w:anchor="tm2622703d1_ex5-1.htm">
              <w:r>
                <w:rPr>
                  <w:rStyle w:val="InternetLink"/>
                  <w:rFonts w:ascii="Times New Roman;Times;Serif" w:hAnsi="Times New Roman;Times;Serif"/>
                  <w:sz w:val="20"/>
                </w:rPr>
                <w:t>23.1</w:t>
              </w:r>
            </w:hyperlink>
          </w:p>
        </w:tc>
        <w:tc>
          <w:tcPr>
            <w:tcW w:w="60" w:type="dxa"/>
            <w:tcBorders/>
            <w:tcMar>
              <w:bottom w:w="0" w:type="dxa"/>
            </w:tcMar>
            <w:vAlign w:val="center"/>
          </w:tcPr>
          <w:p>
            <w:pPr>
              <w:pStyle w:val="TableContents"/>
              <w:bidi w:val="0"/>
              <w:spacing w:before="0" w:after="283"/>
              <w:jc w:val="left"/>
              <w:rPr/>
            </w:pPr>
            <w:r>
              <w:rPr/>
              <w:t> </w:t>
            </w:r>
          </w:p>
        </w:tc>
        <w:tc>
          <w:tcPr>
            <w:tcW w:w="6239" w:type="dxa"/>
            <w:tcBorders/>
            <w:tcMar>
              <w:bottom w:w="0" w:type="dxa"/>
            </w:tcMar>
            <w:vAlign w:val="center"/>
          </w:tcPr>
          <w:p>
            <w:pPr>
              <w:pStyle w:val="TableContents"/>
              <w:bidi w:val="0"/>
              <w:spacing w:before="0" w:after="283"/>
              <w:jc w:val="left"/>
              <w:rPr/>
            </w:pPr>
            <w:hyperlink w:anchor="tm2622703d1_ex5-1.htm">
              <w:r>
                <w:rPr>
                  <w:rStyle w:val="InternetLink"/>
                  <w:rFonts w:ascii="Times New Roman;Times;Serif" w:hAnsi="Times New Roman;Times;Serif"/>
                  <w:sz w:val="20"/>
                </w:rPr>
                <w:t>Consent of Mayer Brown LLP, New York, New York (included in Exhibit 5.1)</w:t>
              </w:r>
            </w:hyperlink>
          </w:p>
        </w:tc>
        <w:tc>
          <w:tcPr>
            <w:tcW w:w="60" w:type="dxa"/>
            <w:tcBorders/>
            <w:tcMar>
              <w:bottom w:w="0" w:type="dxa"/>
            </w:tcMar>
            <w:vAlign w:val="center"/>
          </w:tcPr>
          <w:p>
            <w:pPr>
              <w:pStyle w:val="TableContents"/>
              <w:bidi w:val="0"/>
              <w:spacing w:before="0" w:after="283"/>
              <w:jc w:val="left"/>
              <w:rPr/>
            </w:pPr>
            <w:r>
              <w:rPr/>
              <w:t> </w:t>
            </w:r>
          </w:p>
        </w:tc>
        <w:tc>
          <w:tcPr>
            <w:tcW w:w="3121" w:type="dxa"/>
            <w:tcBorders/>
            <w:tcMar>
              <w:bottom w:w="0" w:type="dxa"/>
            </w:tcMar>
            <w:vAlign w:val="center"/>
          </w:tcPr>
          <w:p>
            <w:pPr>
              <w:pStyle w:val="TableContents"/>
              <w:bidi w:val="0"/>
              <w:spacing w:before="0" w:after="283"/>
              <w:jc w:val="left"/>
              <w:rPr/>
            </w:pPr>
            <w:hyperlink w:anchor="tm2622703d1_ex5-1.htm">
              <w:r>
                <w:rPr>
                  <w:rStyle w:val="InternetLink"/>
                  <w:rFonts w:ascii="Times New Roman;Times;Serif" w:hAnsi="Times New Roman;Times;Serif"/>
                  <w:sz w:val="20"/>
                </w:rPr>
                <w:t>Filed herewith</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3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121"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left"/>
              <w:rPr/>
            </w:pPr>
            <w:hyperlink w:anchor="tm2622703d1_ex23-2.htm">
              <w:r>
                <w:rPr>
                  <w:rStyle w:val="InternetLink"/>
                  <w:rFonts w:ascii="Times New Roman;Times;Serif" w:hAnsi="Times New Roman;Times;Serif"/>
                  <w:sz w:val="20"/>
                </w:rPr>
                <w:t>23.2</w:t>
              </w:r>
            </w:hyperlink>
          </w:p>
        </w:tc>
        <w:tc>
          <w:tcPr>
            <w:tcW w:w="60" w:type="dxa"/>
            <w:tcBorders/>
            <w:tcMar>
              <w:bottom w:w="0" w:type="dxa"/>
            </w:tcMar>
            <w:vAlign w:val="center"/>
          </w:tcPr>
          <w:p>
            <w:pPr>
              <w:pStyle w:val="TableContents"/>
              <w:bidi w:val="0"/>
              <w:spacing w:before="0" w:after="283"/>
              <w:jc w:val="left"/>
              <w:rPr/>
            </w:pPr>
            <w:r>
              <w:rPr/>
              <w:t> </w:t>
            </w:r>
          </w:p>
        </w:tc>
        <w:tc>
          <w:tcPr>
            <w:tcW w:w="6239" w:type="dxa"/>
            <w:tcBorders/>
            <w:tcMar>
              <w:bottom w:w="0" w:type="dxa"/>
            </w:tcMar>
            <w:vAlign w:val="center"/>
          </w:tcPr>
          <w:p>
            <w:pPr>
              <w:pStyle w:val="TableContents"/>
              <w:bidi w:val="0"/>
              <w:spacing w:before="0" w:after="283"/>
              <w:jc w:val="left"/>
              <w:rPr/>
            </w:pPr>
            <w:hyperlink w:anchor="tm2622703d1_ex23-2.htm">
              <w:r>
                <w:rPr>
                  <w:rStyle w:val="InternetLink"/>
                  <w:rFonts w:ascii="Times New Roman;Times;Serif" w:hAnsi="Times New Roman;Times;Serif"/>
                  <w:sz w:val="20"/>
                </w:rPr>
                <w:t>Consent of Kesselman &amp; Kesselman, Certified Public Accountants (Isr.), a member firm of PricewaterhouseCoopers International Limited, independent registered public accounting firm for the Registrant</w:t>
              </w:r>
            </w:hyperlink>
          </w:p>
        </w:tc>
        <w:tc>
          <w:tcPr>
            <w:tcW w:w="60" w:type="dxa"/>
            <w:tcBorders/>
            <w:tcMar>
              <w:bottom w:w="0" w:type="dxa"/>
            </w:tcMar>
            <w:vAlign w:val="center"/>
          </w:tcPr>
          <w:p>
            <w:pPr>
              <w:pStyle w:val="TableContents"/>
              <w:bidi w:val="0"/>
              <w:spacing w:before="0" w:after="283"/>
              <w:jc w:val="left"/>
              <w:rPr/>
            </w:pPr>
            <w:r>
              <w:rPr/>
              <w:t> </w:t>
            </w:r>
          </w:p>
        </w:tc>
        <w:tc>
          <w:tcPr>
            <w:tcW w:w="3121" w:type="dxa"/>
            <w:tcBorders/>
            <w:tcMar>
              <w:bottom w:w="0" w:type="dxa"/>
            </w:tcMar>
            <w:vAlign w:val="center"/>
          </w:tcPr>
          <w:p>
            <w:pPr>
              <w:pStyle w:val="TableContents"/>
              <w:bidi w:val="0"/>
              <w:spacing w:before="0" w:after="283"/>
              <w:jc w:val="left"/>
              <w:rPr/>
            </w:pPr>
            <w:hyperlink w:anchor="tm2622703d1_ex23-2.htm">
              <w:r>
                <w:rPr>
                  <w:rStyle w:val="InternetLink"/>
                  <w:rFonts w:ascii="Times New Roman;Times;Serif" w:hAnsi="Times New Roman;Times;Serif"/>
                  <w:sz w:val="20"/>
                </w:rPr>
                <w:t>Filed herewith</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3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121"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left"/>
              <w:rPr/>
            </w:pPr>
            <w:hyperlink w:anchor="sig_001">
              <w:r>
                <w:rPr>
                  <w:rStyle w:val="InternetLink"/>
                  <w:rFonts w:ascii="Times New Roman;Times;Serif" w:hAnsi="Times New Roman;Times;Serif"/>
                  <w:sz w:val="20"/>
                </w:rPr>
                <w:t>24.1</w:t>
              </w:r>
            </w:hyperlink>
          </w:p>
        </w:tc>
        <w:tc>
          <w:tcPr>
            <w:tcW w:w="60" w:type="dxa"/>
            <w:tcBorders/>
            <w:tcMar>
              <w:bottom w:w="0" w:type="dxa"/>
            </w:tcMar>
            <w:vAlign w:val="center"/>
          </w:tcPr>
          <w:p>
            <w:pPr>
              <w:pStyle w:val="TableContents"/>
              <w:bidi w:val="0"/>
              <w:spacing w:before="0" w:after="283"/>
              <w:jc w:val="left"/>
              <w:rPr/>
            </w:pPr>
            <w:r>
              <w:rPr/>
              <w:t> </w:t>
            </w:r>
          </w:p>
        </w:tc>
        <w:tc>
          <w:tcPr>
            <w:tcW w:w="6239" w:type="dxa"/>
            <w:tcBorders/>
            <w:tcMar>
              <w:bottom w:w="0" w:type="dxa"/>
            </w:tcMar>
            <w:vAlign w:val="center"/>
          </w:tcPr>
          <w:p>
            <w:pPr>
              <w:pStyle w:val="TableContents"/>
              <w:bidi w:val="0"/>
              <w:spacing w:before="0" w:after="283"/>
              <w:jc w:val="left"/>
              <w:rPr/>
            </w:pPr>
            <w:hyperlink w:anchor="sig_001">
              <w:r>
                <w:rPr>
                  <w:rStyle w:val="InternetLink"/>
                  <w:rFonts w:ascii="Times New Roman;Times;Serif" w:hAnsi="Times New Roman;Times;Serif"/>
                  <w:sz w:val="20"/>
                </w:rPr>
                <w:t>Power of Attorney (included on signature page)</w:t>
              </w:r>
            </w:hyperlink>
          </w:p>
        </w:tc>
        <w:tc>
          <w:tcPr>
            <w:tcW w:w="60" w:type="dxa"/>
            <w:tcBorders/>
            <w:tcMar>
              <w:bottom w:w="0" w:type="dxa"/>
            </w:tcMar>
            <w:vAlign w:val="center"/>
          </w:tcPr>
          <w:p>
            <w:pPr>
              <w:pStyle w:val="TableContents"/>
              <w:bidi w:val="0"/>
              <w:spacing w:before="0" w:after="283"/>
              <w:jc w:val="left"/>
              <w:rPr/>
            </w:pPr>
            <w:r>
              <w:rPr/>
              <w:t> </w:t>
            </w:r>
          </w:p>
        </w:tc>
        <w:tc>
          <w:tcPr>
            <w:tcW w:w="3121" w:type="dxa"/>
            <w:tcBorders/>
            <w:tcMar>
              <w:bottom w:w="0" w:type="dxa"/>
            </w:tcMar>
            <w:vAlign w:val="center"/>
          </w:tcPr>
          <w:p>
            <w:pPr>
              <w:pStyle w:val="TableContents"/>
              <w:bidi w:val="0"/>
              <w:spacing w:before="0" w:after="283"/>
              <w:jc w:val="left"/>
              <w:rPr/>
            </w:pPr>
            <w:hyperlink w:anchor="sig_001">
              <w:r>
                <w:rPr>
                  <w:rStyle w:val="InternetLink"/>
                  <w:rFonts w:ascii="Times New Roman;Times;Serif" w:hAnsi="Times New Roman;Times;Serif"/>
                  <w:sz w:val="20"/>
                </w:rPr>
                <w:t>Filed herewith</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3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121"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left"/>
              <w:rPr/>
            </w:pPr>
            <w:hyperlink w:anchor="tm2622703d1_ex-filingfees.htm">
              <w:r>
                <w:rPr>
                  <w:rStyle w:val="InternetLink"/>
                  <w:rFonts w:ascii="Times New Roman;Times;Serif" w:hAnsi="Times New Roman;Times;Serif"/>
                  <w:sz w:val="20"/>
                </w:rPr>
                <w:t>107</w:t>
              </w:r>
            </w:hyperlink>
          </w:p>
        </w:tc>
        <w:tc>
          <w:tcPr>
            <w:tcW w:w="60" w:type="dxa"/>
            <w:tcBorders/>
            <w:tcMar>
              <w:bottom w:w="0" w:type="dxa"/>
            </w:tcMar>
            <w:vAlign w:val="center"/>
          </w:tcPr>
          <w:p>
            <w:pPr>
              <w:pStyle w:val="TableContents"/>
              <w:bidi w:val="0"/>
              <w:spacing w:before="0" w:after="283"/>
              <w:jc w:val="left"/>
              <w:rPr/>
            </w:pPr>
            <w:r>
              <w:rPr/>
              <w:t> </w:t>
            </w:r>
          </w:p>
        </w:tc>
        <w:tc>
          <w:tcPr>
            <w:tcW w:w="6239" w:type="dxa"/>
            <w:tcBorders/>
            <w:tcMar>
              <w:bottom w:w="0" w:type="dxa"/>
            </w:tcMar>
            <w:vAlign w:val="center"/>
          </w:tcPr>
          <w:p>
            <w:pPr>
              <w:pStyle w:val="TableContents"/>
              <w:bidi w:val="0"/>
              <w:spacing w:before="0" w:after="283"/>
              <w:jc w:val="left"/>
              <w:rPr/>
            </w:pPr>
            <w:hyperlink w:anchor="tm2622703d1_ex-filingfees.htm">
              <w:r>
                <w:rPr>
                  <w:rStyle w:val="InternetLink"/>
                  <w:rFonts w:ascii="Times New Roman;Times;Serif" w:hAnsi="Times New Roman;Times;Serif"/>
                  <w:sz w:val="20"/>
                </w:rPr>
                <w:t>Filing Fee Table</w:t>
              </w:r>
            </w:hyperlink>
          </w:p>
        </w:tc>
        <w:tc>
          <w:tcPr>
            <w:tcW w:w="60" w:type="dxa"/>
            <w:tcBorders/>
            <w:tcMar>
              <w:bottom w:w="0" w:type="dxa"/>
            </w:tcMar>
            <w:vAlign w:val="center"/>
          </w:tcPr>
          <w:p>
            <w:pPr>
              <w:pStyle w:val="TableContents"/>
              <w:bidi w:val="0"/>
              <w:spacing w:before="0" w:after="283"/>
              <w:jc w:val="left"/>
              <w:rPr/>
            </w:pPr>
            <w:r>
              <w:rPr/>
              <w:t> </w:t>
            </w:r>
          </w:p>
        </w:tc>
        <w:tc>
          <w:tcPr>
            <w:tcW w:w="3121" w:type="dxa"/>
            <w:tcBorders/>
            <w:tcMar>
              <w:bottom w:w="0" w:type="dxa"/>
            </w:tcMar>
            <w:vAlign w:val="center"/>
          </w:tcPr>
          <w:p>
            <w:pPr>
              <w:pStyle w:val="TableContents"/>
              <w:bidi w:val="0"/>
              <w:spacing w:before="0" w:after="283"/>
              <w:jc w:val="left"/>
              <w:rPr/>
            </w:pPr>
            <w:hyperlink w:anchor="tm2622703d1_ex-filingfees.htm">
              <w:r>
                <w:rPr>
                  <w:rStyle w:val="InternetLink"/>
                  <w:rFonts w:ascii="Times New Roman;Times;Serif" w:hAnsi="Times New Roman;Times;Serif"/>
                  <w:sz w:val="20"/>
                </w:rPr>
                <w:t>Filed herewith</w:t>
              </w:r>
            </w:hyperlink>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jc w:val="right"/>
        <w:rPr>
          <w:b/>
        </w:rPr>
      </w:pPr>
      <w:bookmarkStart w:id="3" w:name="tm2622703d1_ex5-1.htm"/>
      <w:bookmarkStart w:id="4" w:name="kstm2622703d1_ex51"/>
      <w:bookmarkEnd w:id="3"/>
      <w:bookmarkEnd w:id="4"/>
      <w:r>
        <w:rPr>
          <w:b/>
        </w:rPr>
        <w:t>Exhibit 5.1</w:t>
      </w:r>
      <w:r>
        <w:br w:type="page"/>
      </w:r>
    </w:p>
    <w:p>
      <w:pPr>
        <w:pStyle w:val="TextBody"/>
        <w:bidi w:val="0"/>
        <w:spacing w:before="0" w:after="0"/>
        <w:ind w:left="0" w:right="0" w:hanging="0"/>
        <w:jc w:val="left"/>
        <w:rPr>
          <w:caps w:val="false"/>
          <w:smallCaps w:val="false"/>
        </w:rPr>
      </w:pPr>
      <w:r>
        <w:rPr>
          <w:caps w:val="false"/>
          <w:smallCaps w:val="false"/>
        </w:rPr>
        <w:t> </w:t>
      </w:r>
    </w:p>
    <w:tbl>
      <w:tblPr>
        <w:tblW w:w="5900" w:type="dxa"/>
        <w:jc w:val="left"/>
        <w:tblInd w:w="0" w:type="dxa"/>
        <w:tblLayout w:type="fixed"/>
        <w:tblCellMar>
          <w:top w:w="0" w:type="dxa"/>
          <w:left w:w="0" w:type="dxa"/>
          <w:bottom w:w="0" w:type="dxa"/>
          <w:right w:w="0" w:type="dxa"/>
        </w:tblCellMar>
      </w:tblPr>
      <w:tblGrid>
        <w:gridCol w:w="3465"/>
        <w:gridCol w:w="2435"/>
      </w:tblGrid>
      <w:tr>
        <w:trPr/>
        <w:tc>
          <w:tcPr>
            <w:tcW w:w="3465" w:type="dxa"/>
            <w:tcBorders/>
            <w:vAlign w:val="center"/>
          </w:tcPr>
          <w:p>
            <w:pPr>
              <w:pStyle w:val="TableContents"/>
              <w:bidi w:val="0"/>
              <w:spacing w:before="0" w:after="283"/>
              <w:jc w:val="left"/>
              <w:rPr/>
            </w:pPr>
            <w:r>
              <w:rPr/>
              <w:drawing>
                <wp:inline distT="0" distB="0" distL="0" distR="0">
                  <wp:extent cx="2190750" cy="266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4"/>
                          <a:stretch>
                            <a:fillRect/>
                          </a:stretch>
                        </pic:blipFill>
                        <pic:spPr bwMode="auto">
                          <a:xfrm>
                            <a:off x="0" y="0"/>
                            <a:ext cx="2190750" cy="266700"/>
                          </a:xfrm>
                          <a:prstGeom prst="rect">
                            <a:avLst/>
                          </a:prstGeom>
                        </pic:spPr>
                      </pic:pic>
                    </a:graphicData>
                  </a:graphic>
                </wp:inline>
              </w:drawing>
            </w:r>
          </w:p>
        </w:tc>
        <w:tc>
          <w:tcPr>
            <w:tcW w:w="24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Mayer Brown LLP</w:t>
              <w:br/>
              <w:t>1221 Avenue of the Americas</w:t>
              <w:br/>
              <w:t>New York, NY 10020-1001</w:t>
              <w:br/>
              <w:t>United States of America</w:t>
              <w:br/>
              <w:br/>
              <w:t>T: +1 212 506 2500</w:t>
              <w:br/>
              <w:t>F: +1 212 262 1910</w:t>
              <w:br/>
              <w:br/>
              <w:t>mayerbrown.com</w:t>
              <w:br/>
              <w:br/>
            </w:r>
            <w:r>
              <w:rPr>
                <w:rFonts w:ascii="Times New Roman;Times;Serif" w:hAnsi="Times New Roman;Times;Serif"/>
                <w:b/>
                <w:sz w:val="20"/>
              </w:rPr>
              <w:t>Anna T. Pinedo</w:t>
              <w:br/>
            </w:r>
            <w:r>
              <w:rPr>
                <w:rFonts w:ascii="Times New Roman;Times;Serif" w:hAnsi="Times New Roman;Times;Serif"/>
                <w:sz w:val="20"/>
              </w:rPr>
              <w:t>T: +1 212 506 2275</w:t>
              <w:br/>
              <w:t>APinedo@mayerbrown.com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Protalix BioTherapeutics,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Snunit Street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Science Park</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POB 455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Carmiel, Israel 2161401</w:t>
      </w:r>
    </w:p>
    <w:p>
      <w:pPr>
        <w:pStyle w:val="TextBody"/>
        <w:bidi w:val="0"/>
        <w:spacing w:before="0" w:after="0"/>
        <w:ind w:left="0" w:right="0" w:hanging="0"/>
        <w:jc w:val="left"/>
        <w:rPr>
          <w:caps w:val="false"/>
          <w:smallCaps w:val="false"/>
        </w:rPr>
      </w:pPr>
      <w:r>
        <w:rPr>
          <w:caps w:val="false"/>
          <w:smallCaps w:val="false"/>
        </w:rPr>
        <w:t> </w:t>
      </w:r>
    </w:p>
    <w:tbl>
      <w:tblPr>
        <w:tblW w:w="6888" w:type="dxa"/>
        <w:jc w:val="left"/>
        <w:tblInd w:w="0" w:type="dxa"/>
        <w:tblLayout w:type="fixed"/>
        <w:tblCellMar>
          <w:top w:w="0" w:type="dxa"/>
          <w:left w:w="0" w:type="dxa"/>
          <w:bottom w:w="0" w:type="dxa"/>
          <w:right w:w="0" w:type="dxa"/>
        </w:tblCellMar>
      </w:tblPr>
      <w:tblGrid>
        <w:gridCol w:w="38"/>
        <w:gridCol w:w="350"/>
        <w:gridCol w:w="650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Re:</w:t>
            </w:r>
          </w:p>
        </w:tc>
        <w:tc>
          <w:tcPr>
            <w:tcW w:w="6500" w:type="dxa"/>
            <w:tcBorders/>
            <w:vAlign w:val="center"/>
          </w:tcPr>
          <w:p>
            <w:pPr>
              <w:pStyle w:val="TableContents"/>
              <w:bidi w:val="0"/>
              <w:spacing w:before="0" w:after="283"/>
              <w:jc w:val="both"/>
              <w:rPr/>
            </w:pPr>
            <w:r>
              <w:rPr/>
              <w:t>Protalix BioTherapeutics, Inc. – Registration Statement on Form S-8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Protalix BioTherapeutics, Inc., a Delaware corporation (the “Company”), in connection with the preparation and filing with the Securities and Exchange Commission (the “Commission”) of a Registration Statement on Form S-8 (the “Registration Statement”), relating to the registration by the Company under the Securities Act of 1933, as amended (the “Securities Act”), of up to 3,500,000 shares of its common stock, $0.001 par value per share (the “Common Stock”), which may be issued under the Protalix BioTherapeutics, Inc. Amended and Restated 2006 Stock Incentive Plan, as amended on June 25, 2026 (the “Plan”). This opinion is being rendered solely in connection with the registration of the offer and sale of the shares of Common Stock under the Plan (the “Plan Shares”) under the registration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your counsel in connection with the Registration Statement, we have examined the proceedings taken by you in connection with the adoption of the Plan and the authorization of the issuance of the Plan Shares, and such documents as we have deemed necessary to render this opinion. For the purpose of the opinion rendered below, we have assumed that in connection with the issuance of the Plan Shares, the Company will receive consideration in an amount not less than the aggregate par value of the Plan Shares covered by each such issuance and that such issuance will comply in all respects with the terms, conditions and restrictions set forth in the Plan. In our examination, we have assumed the genuineness of all signatures, the legal capacity of natural persons, the authenticity of all documents submitted to us as originals, the conformity to original documents of all documents submitted to us as certified or photostatic copies and the authenticity of the originals of such copies.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and subject to the foregoing, it is our opinion that the Plan Shares, when issued and outstanding pursuant to the terms of the Plan, will be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admitted to practice law in New York and our opinion expressed herein is limited solely to the General Corporation Law of the State of Delaware, and we express no opinion herein concerning the laws of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Mayer Brown is a global services provider comprising an association of legal practices that are separate entities including</w:t>
      </w:r>
    </w:p>
    <w:p>
      <w:pPr>
        <w:pStyle w:val="TextBody"/>
        <w:bidi w:val="0"/>
        <w:spacing w:before="0" w:after="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Mayer Brown LLP (Illinois, USA), Mayer Brown International LLP (England &amp; Wales), Mayer Brown Hong Kong LLP (a Hong Kong limited liability</w:t>
      </w:r>
    </w:p>
    <w:p>
      <w:pPr>
        <w:pStyle w:val="TextBody"/>
        <w:bidi w:val="0"/>
        <w:spacing w:before="0" w:after="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partnership) and Tauil &amp; Chequer Advogados (a Brazilian law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Mayer Brown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12,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use of our name under the heading “Legal Matters” in the Registration Statement filed by the Company with the Commission. We further consent to your filing a copy of this opinion as Exhibit 5.1 to the Registration Statement. In giving such permission, we do not admit hereby that we come within the category of persons whose consent is required under Section 7 of the Securities Act, or the rules and regulations of the Commission thereunder. We disclaim any undertaking to advise you of any subsequent changes of the facts stated or assumed herein or any subsequent changes in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note that we are opining only as to the matters expressly set forth herein and that no opinion should be inferred as to any other matter.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pStyle w:val="TextBody"/>
        <w:bidi w:val="0"/>
        <w:spacing w:before="0" w:after="0"/>
        <w:ind w:left="0" w:right="0" w:hanging="0"/>
        <w:jc w:val="left"/>
        <w:rPr>
          <w:caps w:val="false"/>
          <w:smallCaps w:val="false"/>
        </w:rPr>
      </w:pPr>
      <w:r>
        <w:rPr>
          <w:caps w:val="false"/>
          <w:smallCaps w:val="false"/>
        </w:rPr>
        <w:t> </w:t>
      </w:r>
    </w:p>
    <w:tbl>
      <w:tblPr>
        <w:tblW w:w="1850" w:type="dxa"/>
        <w:jc w:val="left"/>
        <w:tblInd w:w="0" w:type="dxa"/>
        <w:tblLayout w:type="fixed"/>
        <w:tblCellMar>
          <w:top w:w="0" w:type="dxa"/>
          <w:left w:w="0" w:type="dxa"/>
          <w:bottom w:w="0" w:type="dxa"/>
          <w:right w:w="0" w:type="dxa"/>
        </w:tblCellMar>
      </w:tblPr>
      <w:tblGrid>
        <w:gridCol w:w="75"/>
        <w:gridCol w:w="1775"/>
      </w:tblGrid>
      <w:tr>
        <w:trPr/>
        <w:tc>
          <w:tcPr>
            <w:tcW w:w="7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Very truly yours,</w:t>
            </w:r>
          </w:p>
        </w:tc>
      </w:tr>
      <w:tr>
        <w:trPr/>
        <w:tc>
          <w:tcPr>
            <w:tcW w:w="7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Mayer Brown LLP</w:t>
            </w:r>
          </w:p>
        </w:tc>
      </w:tr>
      <w:tr>
        <w:trPr/>
        <w:tc>
          <w:tcPr>
            <w:tcW w:w="7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Mayer Brown LLP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jc w:val="right"/>
        <w:rPr>
          <w:b/>
        </w:rPr>
      </w:pPr>
      <w:bookmarkStart w:id="5" w:name="tm2622703d1_ex23-2.htm"/>
      <w:bookmarkStart w:id="6" w:name="kstm2622703d1_ex232"/>
      <w:bookmarkEnd w:id="5"/>
      <w:bookmarkEnd w:id="6"/>
      <w:r>
        <w:rPr>
          <w:b/>
        </w:rPr>
        <w:t>Exhibit 23.2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on Form S-8 of Protalix BioTherapeutics, Inc. of our report dated March 18, 2026 relating to the financial statements, which appears in Protalix BioTherapeutics, Inc.’s Annual Report on Form 10-K for the year ended December 31, 2025.</w:t>
      </w:r>
    </w:p>
    <w:p>
      <w:pPr>
        <w:pStyle w:val="TextBody"/>
        <w:bidi w:val="0"/>
        <w:spacing w:before="0" w:after="0"/>
        <w:ind w:left="0" w:right="0" w:hanging="0"/>
        <w:jc w:val="left"/>
        <w:rPr>
          <w:caps w:val="false"/>
          <w:smallCaps w:val="false"/>
        </w:rPr>
      </w:pPr>
      <w:r>
        <w:rPr>
          <w:caps w:val="false"/>
          <w:smallCaps w:val="false"/>
        </w:rPr>
        <w:t> </w:t>
      </w:r>
    </w:p>
    <w:tbl>
      <w:tblPr>
        <w:tblW w:w="3560" w:type="dxa"/>
        <w:jc w:val="left"/>
        <w:tblInd w:w="0" w:type="dxa"/>
        <w:tblLayout w:type="fixed"/>
        <w:tblCellMar>
          <w:top w:w="0" w:type="dxa"/>
          <w:left w:w="0" w:type="dxa"/>
          <w:bottom w:w="0" w:type="dxa"/>
          <w:right w:w="0" w:type="dxa"/>
        </w:tblCellMar>
      </w:tblPr>
      <w:tblGrid>
        <w:gridCol w:w="3485"/>
        <w:gridCol w:w="75"/>
      </w:tblGrid>
      <w:tr>
        <w:trPr/>
        <w:tc>
          <w:tcPr>
            <w:tcW w:w="3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Kesselman &amp; Kesselman</w:t>
            </w:r>
          </w:p>
        </w:tc>
        <w:tc>
          <w:tcPr>
            <w:tcW w:w="75" w:type="dxa"/>
            <w:tcBorders/>
            <w:vAlign w:val="center"/>
          </w:tcPr>
          <w:p>
            <w:pPr>
              <w:pStyle w:val="TableContents"/>
              <w:bidi w:val="0"/>
              <w:spacing w:before="0" w:after="283"/>
              <w:jc w:val="left"/>
              <w:rPr/>
            </w:pPr>
            <w:r>
              <w:rPr/>
              <w:t> </w:t>
            </w:r>
          </w:p>
        </w:tc>
      </w:tr>
      <w:tr>
        <w:trPr/>
        <w:tc>
          <w:tcPr>
            <w:tcW w:w="3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Certified Public Accountants (lsr.)</w:t>
            </w:r>
          </w:p>
        </w:tc>
        <w:tc>
          <w:tcPr>
            <w:tcW w:w="75" w:type="dxa"/>
            <w:tcBorders/>
            <w:vAlign w:val="center"/>
          </w:tcPr>
          <w:p>
            <w:pPr>
              <w:pStyle w:val="TableContents"/>
              <w:bidi w:val="0"/>
              <w:spacing w:before="0" w:after="283"/>
              <w:jc w:val="left"/>
              <w:rPr/>
            </w:pPr>
            <w:r>
              <w:rPr/>
              <w:t> </w:t>
            </w:r>
          </w:p>
        </w:tc>
      </w:tr>
      <w:tr>
        <w:trPr/>
        <w:tc>
          <w:tcPr>
            <w:tcW w:w="3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member firm of PricewaterhouseCoopers</w:t>
            </w:r>
          </w:p>
        </w:tc>
        <w:tc>
          <w:tcPr>
            <w:tcW w:w="75" w:type="dxa"/>
            <w:tcBorders/>
            <w:vAlign w:val="center"/>
          </w:tcPr>
          <w:p>
            <w:pPr>
              <w:pStyle w:val="TableContents"/>
              <w:bidi w:val="0"/>
              <w:spacing w:before="0" w:after="283"/>
              <w:jc w:val="left"/>
              <w:rPr/>
            </w:pPr>
            <w:r>
              <w:rPr/>
              <w:t> </w:t>
            </w:r>
          </w:p>
        </w:tc>
      </w:tr>
      <w:tr>
        <w:trPr/>
        <w:tc>
          <w:tcPr>
            <w:tcW w:w="3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International Limited</w:t>
            </w:r>
          </w:p>
        </w:tc>
        <w:tc>
          <w:tcPr>
            <w:tcW w:w="75" w:type="dxa"/>
            <w:tcBorders/>
            <w:vAlign w:val="center"/>
          </w:tcPr>
          <w:p>
            <w:pPr>
              <w:pStyle w:val="TableContents"/>
              <w:bidi w:val="0"/>
              <w:spacing w:before="0" w:after="283"/>
              <w:jc w:val="left"/>
              <w:rPr/>
            </w:pPr>
            <w:r>
              <w:rPr/>
              <w:t> </w:t>
            </w:r>
          </w:p>
        </w:tc>
      </w:tr>
      <w:tr>
        <w:trPr/>
        <w:tc>
          <w:tcPr>
            <w:tcW w:w="348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Tel-Aviv, Israel</w:t>
            </w:r>
          </w:p>
        </w:tc>
        <w:tc>
          <w:tcPr>
            <w:tcW w:w="75" w:type="dxa"/>
            <w:tcBorders/>
            <w:vAlign w:val="center"/>
          </w:tcPr>
          <w:p>
            <w:pPr>
              <w:pStyle w:val="TableContents"/>
              <w:bidi w:val="0"/>
              <w:spacing w:before="0" w:after="283"/>
              <w:jc w:val="left"/>
              <w:rPr/>
            </w:pPr>
            <w:r>
              <w:rPr/>
              <w:t> </w:t>
            </w:r>
          </w:p>
        </w:tc>
      </w:tr>
      <w:tr>
        <w:trPr/>
        <w:tc>
          <w:tcPr>
            <w:tcW w:w="3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12, 2026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Normal"/>
        <w:bidi w:val="0"/>
        <w:spacing w:before="0" w:after="0"/>
        <w:jc w:val="left"/>
        <w:rPr>
          <w:sz w:val="4"/>
          <w:szCs w:val="4"/>
        </w:rPr>
      </w:pPr>
      <w:r>
        <w:rPr>
          <w:sz w:val="4"/>
          <w:szCs w:val="4"/>
        </w:rPr>
      </w:r>
      <w:bookmarkStart w:id="7" w:name="tm2622703d1_ex-filingfees.htm"/>
      <w:bookmarkStart w:id="8" w:name="kstm2622703d1_exfilingfees"/>
      <w:bookmarkStart w:id="9" w:name="tm2622703d1_ex-filingfees.htm"/>
      <w:bookmarkStart w:id="10" w:name="kstm2622703d1_exfilingfees"/>
      <w:bookmarkEnd w:id="9"/>
      <w:bookmarkEnd w:id="10"/>
      <w:r>
        <w:br w:type="page"/>
      </w:r>
    </w:p>
    <w:tbl>
      <w:tblPr>
        <w:tblW w:w="3580" w:type="dxa"/>
        <w:jc w:val="left"/>
        <w:tblInd w:w="0" w:type="dxa"/>
        <w:tblLayout w:type="fixed"/>
        <w:tblCellMar>
          <w:top w:w="28" w:type="dxa"/>
          <w:left w:w="28" w:type="dxa"/>
          <w:bottom w:w="28" w:type="dxa"/>
          <w:right w:w="28" w:type="dxa"/>
        </w:tblCellMar>
      </w:tblPr>
      <w:tblGrid>
        <w:gridCol w:w="3426"/>
        <w:gridCol w:w="154"/>
      </w:tblGrid>
      <w:tr>
        <w:trPr/>
        <w:tc>
          <w:tcPr>
            <w:tcW w:w="358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6"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26" w:type="dxa"/>
            <w:tcBorders/>
            <w:vAlign w:val="center"/>
          </w:tcPr>
          <w:p>
            <w:pPr>
              <w:pStyle w:val="TableContents"/>
              <w:bidi w:val="0"/>
              <w:spacing w:before="0" w:after="283"/>
              <w:jc w:val="left"/>
              <w:rPr>
                <w:b/>
              </w:rPr>
            </w:pPr>
            <w:r>
              <w:rPr>
                <w:b/>
              </w:rPr>
              <w:t xml:space="preserve">Protalix BioTherapeutics,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2"/>
        <w:gridCol w:w="962"/>
        <w:gridCol w:w="1074"/>
        <w:gridCol w:w="1301"/>
        <w:gridCol w:w="1210"/>
        <w:gridCol w:w="1244"/>
        <w:gridCol w:w="1603"/>
        <w:gridCol w:w="1127"/>
        <w:gridCol w:w="1442"/>
      </w:tblGrid>
      <w:tr>
        <w:trPr/>
        <w:tc>
          <w:tcPr>
            <w:tcW w:w="242" w:type="dxa"/>
            <w:tcBorders/>
            <w:shd w:fill="9ADAF6" w:val="clear"/>
            <w:vAlign w:val="center"/>
          </w:tcPr>
          <w:p>
            <w:pPr>
              <w:pStyle w:val="TableHeading"/>
              <w:bidi w:val="0"/>
              <w:spacing w:before="0" w:after="283"/>
              <w:rPr>
                <w:sz w:val="4"/>
                <w:szCs w:val="4"/>
              </w:rPr>
            </w:pPr>
            <w:r>
              <w:rPr>
                <w:sz w:val="4"/>
                <w:szCs w:val="4"/>
              </w:rPr>
            </w:r>
          </w:p>
        </w:tc>
        <w:tc>
          <w:tcPr>
            <w:tcW w:w="96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74"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301"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10"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44"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03"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7"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42"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2" w:type="dxa"/>
            <w:tcBorders/>
            <w:shd w:fill="E7E7E2" w:val="clear"/>
            <w:vAlign w:val="center"/>
          </w:tcPr>
          <w:p>
            <w:pPr>
              <w:pStyle w:val="TableContents"/>
              <w:bidi w:val="0"/>
              <w:spacing w:before="0" w:after="283"/>
              <w:jc w:val="center"/>
              <w:rPr/>
            </w:pPr>
            <w:r>
              <w:rPr/>
              <w:t xml:space="preserve">1 </w:t>
            </w:r>
          </w:p>
        </w:tc>
        <w:tc>
          <w:tcPr>
            <w:tcW w:w="962" w:type="dxa"/>
            <w:tcBorders/>
            <w:shd w:fill="E7E7E2" w:val="clear"/>
            <w:vAlign w:val="center"/>
          </w:tcPr>
          <w:p>
            <w:pPr>
              <w:pStyle w:val="TableContents"/>
              <w:bidi w:val="0"/>
              <w:spacing w:before="0" w:after="283"/>
              <w:jc w:val="left"/>
              <w:rPr/>
            </w:pPr>
            <w:r>
              <w:rPr/>
              <w:t xml:space="preserve">Equity </w:t>
            </w:r>
          </w:p>
        </w:tc>
        <w:tc>
          <w:tcPr>
            <w:tcW w:w="1074" w:type="dxa"/>
            <w:tcBorders/>
            <w:shd w:fill="E7E7E2" w:val="clear"/>
            <w:vAlign w:val="center"/>
          </w:tcPr>
          <w:p>
            <w:pPr>
              <w:pStyle w:val="TableContents"/>
              <w:bidi w:val="0"/>
              <w:spacing w:before="0" w:after="283"/>
              <w:jc w:val="left"/>
              <w:rPr/>
            </w:pPr>
            <w:r>
              <w:rPr/>
              <w:t xml:space="preserve">Common Stock, par value $0.001 per share </w:t>
            </w:r>
          </w:p>
        </w:tc>
        <w:tc>
          <w:tcPr>
            <w:tcW w:w="1301" w:type="dxa"/>
            <w:tcBorders/>
            <w:shd w:fill="E7E7E2" w:val="clear"/>
            <w:vAlign w:val="center"/>
          </w:tcPr>
          <w:p>
            <w:pPr>
              <w:pStyle w:val="TableContents"/>
              <w:bidi w:val="0"/>
              <w:spacing w:before="0" w:after="283"/>
              <w:jc w:val="center"/>
              <w:rPr/>
            </w:pPr>
            <w:r>
              <w:rPr/>
              <w:t xml:space="preserve">Other </w:t>
            </w:r>
          </w:p>
        </w:tc>
        <w:tc>
          <w:tcPr>
            <w:tcW w:w="1210" w:type="dxa"/>
            <w:tcBorders/>
            <w:shd w:fill="E7E7E2" w:val="clear"/>
            <w:vAlign w:val="center"/>
          </w:tcPr>
          <w:p>
            <w:pPr>
              <w:pStyle w:val="TableContents"/>
              <w:bidi w:val="0"/>
              <w:spacing w:before="0" w:after="283"/>
              <w:jc w:val="right"/>
              <w:rPr/>
            </w:pPr>
            <w:r>
              <w:rPr/>
              <w:t xml:space="preserve">3,500,000 </w:t>
            </w:r>
          </w:p>
        </w:tc>
        <w:tc>
          <w:tcPr>
            <w:tcW w:w="1244" w:type="dxa"/>
            <w:tcBorders/>
            <w:shd w:fill="E7E7E2" w:val="clear"/>
            <w:vAlign w:val="center"/>
          </w:tcPr>
          <w:p>
            <w:pPr>
              <w:pStyle w:val="TableContents"/>
              <w:bidi w:val="0"/>
              <w:spacing w:before="0" w:after="283"/>
              <w:jc w:val="right"/>
              <w:rPr/>
            </w:pPr>
            <w:r>
              <w:rPr/>
              <w:t xml:space="preserve">$ 2.45 </w:t>
            </w:r>
          </w:p>
        </w:tc>
        <w:tc>
          <w:tcPr>
            <w:tcW w:w="1603" w:type="dxa"/>
            <w:tcBorders/>
            <w:shd w:fill="E7E7E2" w:val="clear"/>
            <w:vAlign w:val="center"/>
          </w:tcPr>
          <w:p>
            <w:pPr>
              <w:pStyle w:val="TableContents"/>
              <w:bidi w:val="0"/>
              <w:spacing w:before="0" w:after="283"/>
              <w:jc w:val="right"/>
              <w:rPr/>
            </w:pPr>
            <w:r>
              <w:rPr/>
              <w:t xml:space="preserve">$ 8,575,000.00 </w:t>
            </w:r>
          </w:p>
        </w:tc>
        <w:tc>
          <w:tcPr>
            <w:tcW w:w="1127" w:type="dxa"/>
            <w:tcBorders/>
            <w:shd w:fill="E7E7E2" w:val="clear"/>
            <w:vAlign w:val="center"/>
          </w:tcPr>
          <w:p>
            <w:pPr>
              <w:pStyle w:val="TableContents"/>
              <w:bidi w:val="0"/>
              <w:spacing w:before="0" w:after="283"/>
              <w:jc w:val="right"/>
              <w:rPr/>
            </w:pPr>
            <w:r>
              <w:rPr/>
              <w:t xml:space="preserve">0.0001381 </w:t>
            </w:r>
          </w:p>
        </w:tc>
        <w:tc>
          <w:tcPr>
            <w:tcW w:w="1442" w:type="dxa"/>
            <w:tcBorders/>
            <w:shd w:fill="E7E7E2" w:val="clear"/>
            <w:vAlign w:val="center"/>
          </w:tcPr>
          <w:p>
            <w:pPr>
              <w:pStyle w:val="TableContents"/>
              <w:bidi w:val="0"/>
              <w:spacing w:before="0" w:after="283"/>
              <w:jc w:val="right"/>
              <w:rPr/>
            </w:pPr>
            <w:r>
              <w:rPr/>
              <w:t xml:space="preserve">$ 1,184.21 </w:t>
            </w:r>
          </w:p>
        </w:tc>
      </w:tr>
      <w:tr>
        <w:trPr/>
        <w:tc>
          <w:tcPr>
            <w:tcW w:w="4789" w:type="dxa"/>
            <w:gridSpan w:val="5"/>
            <w:tcBorders/>
            <w:vAlign w:val="center"/>
          </w:tcPr>
          <w:p>
            <w:pPr>
              <w:pStyle w:val="TableContents"/>
              <w:bidi w:val="0"/>
              <w:spacing w:before="0" w:after="0"/>
              <w:ind w:left="0" w:right="0" w:hanging="0"/>
              <w:jc w:val="right"/>
              <w:rPr/>
            </w:pPr>
            <w:r>
              <w:rPr/>
              <w:t>Total Offering Amounts:</w:t>
            </w:r>
          </w:p>
        </w:tc>
        <w:tc>
          <w:tcPr>
            <w:tcW w:w="1244"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0"/>
              <w:ind w:left="0" w:right="0" w:hanging="0"/>
              <w:jc w:val="right"/>
              <w:rPr/>
            </w:pPr>
            <w:bookmarkStart w:id="11" w:name="MaxAggtOfferingPrice"/>
            <w:bookmarkEnd w:id="11"/>
            <w:r>
              <w:rPr/>
              <w:t xml:space="preserve">$ 8,575,000.00 </w:t>
            </w:r>
          </w:p>
        </w:tc>
        <w:tc>
          <w:tcPr>
            <w:tcW w:w="1127" w:type="dxa"/>
            <w:tcBorders/>
            <w:vAlign w:val="center"/>
          </w:tcPr>
          <w:p>
            <w:pPr>
              <w:pStyle w:val="TableContents"/>
              <w:bidi w:val="0"/>
              <w:spacing w:before="0" w:after="283"/>
              <w:jc w:val="left"/>
              <w:rPr>
                <w:sz w:val="4"/>
                <w:szCs w:val="4"/>
              </w:rPr>
            </w:pPr>
            <w:r>
              <w:rPr>
                <w:sz w:val="4"/>
                <w:szCs w:val="4"/>
              </w:rPr>
            </w:r>
          </w:p>
        </w:tc>
        <w:tc>
          <w:tcPr>
            <w:tcW w:w="1442"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2" w:name="TotalFeeAmt"/>
            <w:bookmarkEnd w:id="12"/>
            <w:r>
              <w:rPr/>
              <w:t xml:space="preserve">$ 1,184.21 </w:t>
            </w:r>
          </w:p>
        </w:tc>
      </w:tr>
      <w:tr>
        <w:trPr/>
        <w:tc>
          <w:tcPr>
            <w:tcW w:w="4789" w:type="dxa"/>
            <w:gridSpan w:val="5"/>
            <w:tcBorders/>
            <w:vAlign w:val="center"/>
          </w:tcPr>
          <w:p>
            <w:pPr>
              <w:pStyle w:val="TableContents"/>
              <w:bidi w:val="0"/>
              <w:spacing w:before="0" w:after="0"/>
              <w:ind w:left="0" w:right="0" w:hanging="0"/>
              <w:jc w:val="right"/>
              <w:rPr/>
            </w:pPr>
            <w:r>
              <w:rPr/>
              <w:t xml:space="preserve">Total Fee Offsets: </w:t>
            </w:r>
          </w:p>
        </w:tc>
        <w:tc>
          <w:tcPr>
            <w:tcW w:w="1244"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0"/>
              <w:ind w:left="0" w:right="0" w:hanging="0"/>
              <w:jc w:val="right"/>
              <w:rPr/>
            </w:pPr>
            <w:bookmarkStart w:id="13" w:name="TotalOffsetAmt"/>
            <w:bookmarkEnd w:id="13"/>
            <w:r>
              <w:rPr/>
              <w:t xml:space="preserve">$ 0.00 </w:t>
            </w:r>
          </w:p>
        </w:tc>
      </w:tr>
      <w:tr>
        <w:trPr/>
        <w:tc>
          <w:tcPr>
            <w:tcW w:w="4789" w:type="dxa"/>
            <w:gridSpan w:val="5"/>
            <w:tcBorders/>
            <w:vAlign w:val="center"/>
          </w:tcPr>
          <w:p>
            <w:pPr>
              <w:pStyle w:val="TableContents"/>
              <w:bidi w:val="0"/>
              <w:spacing w:before="0" w:after="0"/>
              <w:ind w:left="0" w:right="0" w:hanging="0"/>
              <w:jc w:val="right"/>
              <w:rPr/>
            </w:pPr>
            <w:r>
              <w:rPr/>
              <w:t xml:space="preserve">Net Fee Due: </w:t>
            </w:r>
          </w:p>
        </w:tc>
        <w:tc>
          <w:tcPr>
            <w:tcW w:w="1244"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0"/>
              <w:ind w:left="0" w:right="0" w:hanging="0"/>
              <w:jc w:val="right"/>
              <w:rPr/>
            </w:pPr>
            <w:bookmarkStart w:id="14" w:name="NetFeeAmt"/>
            <w:bookmarkEnd w:id="14"/>
            <w:r>
              <w:rPr/>
              <w:t xml:space="preserve">$ 1,184.21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1"/>
        <w:gridCol w:w="1299"/>
        <w:gridCol w:w="8705"/>
      </w:tblGrid>
      <w:tr>
        <w:trPr/>
        <w:tc>
          <w:tcPr>
            <w:tcW w:w="201"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4" w:type="dxa"/>
            <w:gridSpan w:val="2"/>
            <w:tcBorders/>
            <w:vAlign w:val="center"/>
          </w:tcPr>
          <w:p>
            <w:pPr>
              <w:pStyle w:val="TableContents"/>
              <w:bidi w:val="0"/>
              <w:spacing w:before="0" w:after="283"/>
              <w:jc w:val="left"/>
              <w:rPr/>
            </w:pPr>
            <w:r>
              <w:rPr/>
              <w:t xml:space="preserve">a) Registrant is registering 3,500,000 shares under the Protalix BioTherapeutics, Inc. Amended and Restated 2006 Stock Incentive Plan (the "Plan"), pursuant to this Registration Statement on Form S-8 (this "Registration Statement"). b) This Registration Statement also registers additional securities to be offered or issued upon adjustments or changes made to registered securities by reason of any stock splits, stock dividends or similar transactions as permitted by Rule 416(a) and Rule 416(b) under the Securities Act of 1933, as amended. c) Estimated in accordance with Rules 457(h) and Rule 457(c) solely for purposes of calculating the registration fee. The maximum price per Security and the maximum aggregate offering price are based on the average of the high and low sale price of the Registrant's common stock as reported on the NYSE American on August 7, 2026, which date is within five business days of the filing of this Registration Statement. </w:t>
            </w:r>
          </w:p>
        </w:tc>
      </w:tr>
      <w:tr>
        <w:trPr/>
        <w:tc>
          <w:tcPr>
            <w:tcW w:w="1500" w:type="dxa"/>
            <w:gridSpan w:val="2"/>
            <w:tcBorders/>
            <w:vAlign w:val="center"/>
          </w:tcPr>
          <w:p>
            <w:pPr>
              <w:pStyle w:val="HorizontalLine"/>
              <w:pBdr>
                <w:bottom w:val="double" w:sz="2" w:space="0" w:color="808080"/>
              </w:pBdr>
              <w:bidi w:val="0"/>
              <w:spacing w:before="0" w:after="283"/>
              <w:jc w:val="left"/>
              <w:rPr/>
            </w:pPr>
            <w:r>
              <w:rPr/>
            </w:r>
          </w:p>
        </w:tc>
        <w:tc>
          <w:tcPr>
            <w:tcW w:w="8705"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06281/000095013608000428/file1.htm" TargetMode="External"/><Relationship Id="rId3" Type="http://schemas.openxmlformats.org/officeDocument/2006/relationships/hyperlink" Target="https://www.sec.gov/Archives/edgar/data/1006281/000114420412039491/v318601_s-8.htm" TargetMode="External"/><Relationship Id="rId4" Type="http://schemas.openxmlformats.org/officeDocument/2006/relationships/hyperlink" Target="https://www.sec.gov/Archives/edgar/data/1006281/000114420415028455/v409794_s8.htm" TargetMode="External"/><Relationship Id="rId5" Type="http://schemas.openxmlformats.org/officeDocument/2006/relationships/hyperlink" Target="https://www.sec.gov/Archives/edgar/data/1006281/000114420418033540/tv496075_s8.htm" TargetMode="External"/><Relationship Id="rId6" Type="http://schemas.openxmlformats.org/officeDocument/2006/relationships/hyperlink" Target="https://www.sec.gov/Archives/edgar/data/1006281/000110465920072466/tm2022344d1_s8.htm" TargetMode="External"/><Relationship Id="rId7" Type="http://schemas.openxmlformats.org/officeDocument/2006/relationships/hyperlink" Target="https://www.sec.gov/Archives/edgar/data/1006281/000110465922079877/tm2221015d1_s8.htm" TargetMode="External"/><Relationship Id="rId8" Type="http://schemas.openxmlformats.org/officeDocument/2006/relationships/hyperlink" Target="https://www.sec.gov/Archives/edgar/data/1006281/000110465923090519/tm2323176d1_s8.htm" TargetMode="External"/><Relationship Id="rId9" Type="http://schemas.openxmlformats.org/officeDocument/2006/relationships/hyperlink" Target="https://www.sec.gov/Archives/edgar/data/1006281/000110465924076885/tm2418481d1_s8.htm" TargetMode="External"/><Relationship Id="rId10" Type="http://schemas.openxmlformats.org/officeDocument/2006/relationships/hyperlink" Target="https://www.sec.gov/Archives/edgar/data/1006281/000110465926029858/plx-20251231x10k.htm" TargetMode="External"/><Relationship Id="rId11" Type="http://schemas.openxmlformats.org/officeDocument/2006/relationships/hyperlink" Target="https://www.sec.gov/Archives/edgar/data/1006281/000110465926059756/plx-20260331x10q.htm" TargetMode="External"/><Relationship Id="rId12" Type="http://schemas.openxmlformats.org/officeDocument/2006/relationships/hyperlink" Target="https://www.sec.gov/Archives/edgar/data/1006281/000110465926094444/plx-20260630x10q.htm" TargetMode="External"/><Relationship Id="rId13" Type="http://schemas.openxmlformats.org/officeDocument/2006/relationships/hyperlink" Target="https://www.sec.gov/Archives/edgar/data/1006281/000110465926008410/tm264565d1_8k.htm" TargetMode="External"/><Relationship Id="rId14" Type="http://schemas.openxmlformats.org/officeDocument/2006/relationships/hyperlink" Target="https://www.sec.gov/Archives/edgar/data/1006281/000110465926024975/plx-20260309x8k.htm" TargetMode="External"/><Relationship Id="rId15" Type="http://schemas.openxmlformats.org/officeDocument/2006/relationships/hyperlink" Target="https://www.sec.gov/Archives/edgar/data/1006281/000110465926077790/plx-20260625x8k.htm" TargetMode="External"/><Relationship Id="rId16" Type="http://schemas.openxmlformats.org/officeDocument/2006/relationships/hyperlink" Target="https://www.sec.gov/Archives/edgar/data/1006281/000110465926053016/plx-20260625xdef14a.htm" TargetMode="External"/><Relationship Id="rId17" Type="http://schemas.openxmlformats.org/officeDocument/2006/relationships/hyperlink" Target="https://www.sec.gov/Archives/edgar/data/1006281/000110465926029858/plx-20251231xex4d4.htm" TargetMode="External"/><Relationship Id="rId18" Type="http://schemas.openxmlformats.org/officeDocument/2006/relationships/hyperlink" Target="https://www.sec.gov/Archives/edgar/data/1006281/000110465926077790/plx-20260625xex10d1.htm" TargetMode="External"/><Relationship Id="rId19" Type="http://schemas.openxmlformats.org/officeDocument/2006/relationships/hyperlink" Target="https://www.sec.gov/Archives/edgar/data/1006281/000110465926077790/plx-20260625xex10d1.htm" TargetMode="External"/><Relationship Id="rId20" Type="http://schemas.openxmlformats.org/officeDocument/2006/relationships/hyperlink" Target="https://www.sec.gov/Archives/edgar/data/1006281/000110465926077790/plx-20260625xex10d1.htm" TargetMode="External"/><Relationship Id="rId21" Type="http://schemas.openxmlformats.org/officeDocument/2006/relationships/hyperlink" Target="https://www.sec.gov/Archives/edgar/data/1006281/000110465926077790/plx-20260625xex10d1.htm" TargetMode="External"/><Relationship Id="rId22" Type="http://schemas.openxmlformats.org/officeDocument/2006/relationships/hyperlink" Target="https://www.sec.gov/Archives/edgar/data/1006281/000110465926077790/plx-20260625xex10d1.htm" TargetMode="External"/><Relationship Id="rId23" Type="http://schemas.openxmlformats.org/officeDocument/2006/relationships/hyperlink" Target="https://www.sec.gov/Archives/edgar/data/1006281/000110465926077790/plx-20260625xex10d1.htm" TargetMode="External"/><Relationship Id="rId24" Type="http://schemas.openxmlformats.org/officeDocument/2006/relationships/image" Target="media/image1.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5316</Words>
  <Characters>28190</Characters>
  <CharactersWithSpaces>33613</CharactersWithSpaces>
  <Paragraphs>618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