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-153035</wp:posOffset>
            </wp:positionV>
            <wp:extent cx="6497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43180</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ANNUAL AND TRANSITION REPORTS PURSUANT TO SECTIONS 13 OR 15(d)</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OF THE SECURITIES EXCHANGE ACT OF 1934</w:t>
      </w:r>
    </w:p>
    <w:p>
      <w:pPr>
        <w:spacing w:after="0" w:line="5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07" w:lineRule="exact"/>
        <w:rPr>
          <w:sz w:val="24"/>
          <w:szCs w:val="24"/>
          <w:color w:val="auto"/>
        </w:rPr>
      </w:pPr>
    </w:p>
    <w:p>
      <w:pPr>
        <w:ind w:left="680" w:right="3420" w:hanging="656"/>
        <w:spacing w:after="0" w:line="420" w:lineRule="auto"/>
        <w:tabs>
          <w:tab w:leader="none" w:pos="680" w:val="left"/>
        </w:tabs>
        <w:numPr>
          <w:ilvl w:val="0"/>
          <w:numId w:val="1"/>
        </w:numPr>
        <w:rPr>
          <w:rFonts w:ascii="Arial" w:cs="Arial" w:eastAsia="Arial" w:hAnsi="Arial"/>
          <w:sz w:val="13"/>
          <w:szCs w:val="13"/>
          <w:color w:val="auto"/>
          <w:highlight w:val="black"/>
        </w:rPr>
      </w:pPr>
      <w:r>
        <w:rPr>
          <w:rFonts w:ascii="Times New Roman" w:cs="Times New Roman" w:eastAsia="Times New Roman" w:hAnsi="Times New Roman"/>
          <w:sz w:val="13"/>
          <w:szCs w:val="13"/>
          <w:b w:val="1"/>
          <w:bCs w:val="1"/>
          <w:color w:val="auto"/>
        </w:rPr>
        <w:t>ANNUAL REPORT PURSUANT TO SECTION 13 OR 15(d) OF THE SECURITIES EXCHANGE ACT OF 1934 For the fiscal year ended December 31, 2022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59" w:lineRule="exact"/>
        <w:rPr>
          <w:sz w:val="24"/>
          <w:szCs w:val="24"/>
          <w:color w:val="auto"/>
        </w:rPr>
      </w:pPr>
    </w:p>
    <w:p>
      <w:pPr>
        <w:ind w:left="680" w:hanging="656"/>
        <w:spacing w:after="0"/>
        <w:tabs>
          <w:tab w:leader="none" w:pos="680" w:val="left"/>
        </w:tabs>
        <w:numPr>
          <w:ilvl w:val="0"/>
          <w:numId w:val="2"/>
        </w:numPr>
        <w:rPr>
          <w:rFonts w:ascii="Arial" w:cs="Arial" w:eastAsia="Arial" w:hAnsi="Arial"/>
          <w:sz w:val="13"/>
          <w:szCs w:val="13"/>
          <w:color w:val="auto"/>
          <w:highlight w:val="black"/>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218" w:lineRule="exact"/>
        <w:rPr>
          <w:sz w:val="24"/>
          <w:szCs w:val="24"/>
          <w:color w:val="auto"/>
        </w:rPr>
      </w:pPr>
    </w:p>
    <w:tbl>
      <w:tblPr>
        <w:tblLayout w:type="fixed"/>
        <w:tblInd w:w="680" w:type="dxa"/>
        <w:tblCellMar>
          <w:top w:w="0" w:type="dxa"/>
          <w:left w:w="0" w:type="dxa"/>
          <w:bottom w:w="0" w:type="dxa"/>
          <w:right w:w="0" w:type="dxa"/>
        </w:tblCellMar>
      </w:tblPr>
      <w:tr>
        <w:trPr>
          <w:trHeight w:val="149"/>
        </w:trPr>
        <w:tc>
          <w:tcPr>
            <w:tcW w:w="1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7"/>
              </w:rPr>
              <w:t>For the transition period from</w:t>
            </w:r>
          </w:p>
        </w:tc>
        <w:tc>
          <w:tcPr>
            <w:tcW w:w="720" w:type="dxa"/>
            <w:vAlign w:val="bottom"/>
            <w:tcBorders>
              <w:bottom w:val="single" w:sz="8" w:color="auto"/>
            </w:tcBorders>
          </w:tcPr>
          <w:p>
            <w:pPr>
              <w:spacing w:after="0"/>
              <w:rPr>
                <w:sz w:val="12"/>
                <w:szCs w:val="12"/>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to</w:t>
            </w:r>
          </w:p>
        </w:tc>
        <w:tc>
          <w:tcPr>
            <w:tcW w:w="680" w:type="dxa"/>
            <w:vAlign w:val="bottom"/>
            <w:tcBorders>
              <w:bottom w:val="single" w:sz="8" w:color="auto"/>
            </w:tcBorders>
          </w:tcPr>
          <w:p>
            <w:pPr>
              <w:spacing w:after="0"/>
              <w:rPr>
                <w:sz w:val="12"/>
                <w:szCs w:val="12"/>
                <w:color w:val="auto"/>
              </w:rPr>
            </w:pPr>
          </w:p>
        </w:tc>
        <w:tc>
          <w:tcPr>
            <w:tcW w:w="1880" w:type="dxa"/>
            <w:vAlign w:val="bottom"/>
          </w:tcPr>
          <w:p>
            <w:pPr>
              <w:spacing w:after="0"/>
              <w:rPr>
                <w:sz w:val="12"/>
                <w:szCs w:val="12"/>
                <w:color w:val="auto"/>
              </w:rPr>
            </w:pPr>
          </w:p>
        </w:tc>
      </w:tr>
      <w:tr>
        <w:trPr>
          <w:trHeight w:val="189"/>
        </w:trPr>
        <w:tc>
          <w:tcPr>
            <w:tcW w:w="1660" w:type="dxa"/>
            <w:vAlign w:val="bottom"/>
          </w:tcPr>
          <w:p>
            <w:pPr>
              <w:spacing w:after="0"/>
              <w:rPr>
                <w:sz w:val="16"/>
                <w:szCs w:val="16"/>
                <w:color w:val="auto"/>
              </w:rPr>
            </w:pPr>
          </w:p>
        </w:tc>
        <w:tc>
          <w:tcPr>
            <w:tcW w:w="3480" w:type="dxa"/>
            <w:vAlign w:val="bottom"/>
            <w:gridSpan w:val="4"/>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001-33357</w:t>
            </w:r>
          </w:p>
        </w:tc>
      </w:tr>
      <w:tr>
        <w:trPr>
          <w:trHeight w:val="166"/>
        </w:trPr>
        <w:tc>
          <w:tcPr>
            <w:tcW w:w="1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80" w:type="dxa"/>
            <w:vAlign w:val="bottom"/>
          </w:tcPr>
          <w:p>
            <w:pPr>
              <w:jc w:val="center"/>
              <w:ind w:left="417"/>
              <w:spacing w:after="0"/>
              <w:rPr>
                <w:sz w:val="20"/>
                <w:szCs w:val="20"/>
                <w:color w:val="auto"/>
              </w:rPr>
            </w:pPr>
            <w:r>
              <w:rPr>
                <w:rFonts w:ascii="Times New Roman" w:cs="Times New Roman" w:eastAsia="Times New Roman" w:hAnsi="Times New Roman"/>
                <w:sz w:val="13"/>
                <w:szCs w:val="13"/>
                <w:b w:val="1"/>
                <w:bCs w:val="1"/>
                <w:color w:val="auto"/>
                <w:w w:val="96"/>
              </w:rPr>
              <w:t>(Commission file number)</w:t>
            </w:r>
          </w:p>
        </w:tc>
      </w:tr>
    </w:tbl>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PROTALIX BIOTHERAPEUTICS,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-172085</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78" w:lineRule="exact"/>
        <w:rPr>
          <w:sz w:val="24"/>
          <w:szCs w:val="24"/>
          <w:color w:val="auto"/>
        </w:rPr>
      </w:pPr>
    </w:p>
    <w:tbl>
      <w:tblPr>
        <w:tblLayout w:type="fixed"/>
        <w:tblInd w:w="10" w:type="dxa"/>
        <w:tblCellMar>
          <w:top w:w="0" w:type="dxa"/>
          <w:left w:w="0" w:type="dxa"/>
          <w:bottom w:w="0" w:type="dxa"/>
          <w:right w:w="0" w:type="dxa"/>
        </w:tblCellMar>
      </w:tblPr>
      <w:tr>
        <w:trPr>
          <w:trHeight w:val="148"/>
        </w:trPr>
        <w:tc>
          <w:tcPr>
            <w:tcW w:w="2320" w:type="dxa"/>
            <w:vAlign w:val="bottom"/>
            <w:tcBorders>
              <w:top w:val="single" w:sz="8" w:color="auto"/>
            </w:tcBorders>
            <w:gridSpan w:val="2"/>
            <w:vMerge w:val="restart"/>
          </w:tcPr>
          <w:p>
            <w:pPr>
              <w:ind w:left="1880"/>
              <w:spacing w:after="0"/>
              <w:rPr>
                <w:sz w:val="20"/>
                <w:szCs w:val="20"/>
                <w:color w:val="auto"/>
              </w:rPr>
            </w:pPr>
            <w:r>
              <w:rPr>
                <w:rFonts w:ascii="Times New Roman" w:cs="Times New Roman" w:eastAsia="Times New Roman" w:hAnsi="Times New Roman"/>
                <w:sz w:val="13"/>
                <w:szCs w:val="13"/>
                <w:b w:val="1"/>
                <w:bCs w:val="1"/>
                <w:color w:val="auto"/>
                <w:w w:val="96"/>
              </w:rPr>
              <w:t>State or</w:t>
            </w:r>
          </w:p>
        </w:tc>
        <w:tc>
          <w:tcPr>
            <w:tcW w:w="1200" w:type="dxa"/>
            <w:vAlign w:val="bottom"/>
            <w:tcBorders>
              <w:top w:val="single" w:sz="8" w:color="auto"/>
            </w:tcBorders>
            <w:gridSpan w:val="4"/>
          </w:tcPr>
          <w:p>
            <w:pPr>
              <w:jc w:val="center"/>
              <w:ind w:right="700"/>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1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3420" w:type="dxa"/>
            <w:vAlign w:val="bottom"/>
            <w:tcBorders>
              <w:top w:val="single" w:sz="8" w:color="auto"/>
            </w:tcBorders>
            <w:gridSpan w:val="6"/>
          </w:tcPr>
          <w:p>
            <w:pPr>
              <w:jc w:val="right"/>
              <w:ind w:right="2277"/>
              <w:spacing w:after="0"/>
              <w:rPr>
                <w:sz w:val="20"/>
                <w:szCs w:val="20"/>
                <w:color w:val="auto"/>
              </w:rPr>
            </w:pPr>
            <w:r>
              <w:rPr>
                <w:rFonts w:ascii="Times New Roman" w:cs="Times New Roman" w:eastAsia="Times New Roman" w:hAnsi="Times New Roman"/>
                <w:sz w:val="13"/>
                <w:szCs w:val="13"/>
                <w:b w:val="1"/>
                <w:bCs w:val="1"/>
                <w:color w:val="auto"/>
              </w:rPr>
              <w:t>65-0643773</w:t>
            </w: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20" w:type="dxa"/>
            <w:vAlign w:val="bottom"/>
            <w:gridSpan w:val="2"/>
            <w:vMerge w:val="continue"/>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320" w:type="dxa"/>
            <w:vAlign w:val="bottom"/>
            <w:gridSpan w:val="2"/>
            <w:vMerge w:val="continue"/>
          </w:tcPr>
          <w:p>
            <w:pPr>
              <w:spacing w:after="0"/>
              <w:rPr>
                <w:sz w:val="9"/>
                <w:szCs w:val="9"/>
                <w:color w:val="auto"/>
              </w:rPr>
            </w:pPr>
          </w:p>
        </w:tc>
        <w:tc>
          <w:tcPr>
            <w:tcW w:w="1200" w:type="dxa"/>
            <w:vAlign w:val="bottom"/>
            <w:gridSpan w:val="4"/>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other jurisdiction</w:t>
            </w:r>
          </w:p>
        </w:tc>
        <w:tc>
          <w:tcPr>
            <w:tcW w:w="1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20" w:type="dxa"/>
            <w:vAlign w:val="bottom"/>
            <w:gridSpan w:val="6"/>
          </w:tcPr>
          <w:p>
            <w:pPr>
              <w:jc w:val="center"/>
              <w:ind w:right="2100"/>
              <w:spacing w:after="0" w:line="109" w:lineRule="exact"/>
              <w:rPr>
                <w:sz w:val="20"/>
                <w:szCs w:val="20"/>
                <w:color w:val="auto"/>
              </w:rPr>
            </w:pPr>
            <w:r>
              <w:rPr>
                <w:rFonts w:ascii="Times New Roman" w:cs="Times New Roman" w:eastAsia="Times New Roman" w:hAnsi="Times New Roman"/>
                <w:sz w:val="12"/>
                <w:szCs w:val="12"/>
                <w:b w:val="1"/>
                <w:bCs w:val="1"/>
                <w:color w:val="auto"/>
              </w:rPr>
              <w:t>(I.R.S. Employer</w:t>
            </w:r>
          </w:p>
        </w:tc>
        <w:tc>
          <w:tcPr>
            <w:tcW w:w="0" w:type="dxa"/>
            <w:vAlign w:val="bottom"/>
          </w:tcPr>
          <w:p>
            <w:pPr>
              <w:spacing w:after="0"/>
              <w:rPr>
                <w:sz w:val="1"/>
                <w:szCs w:val="1"/>
                <w:color w:val="auto"/>
              </w:rPr>
            </w:pPr>
          </w:p>
        </w:tc>
      </w:tr>
      <w:tr>
        <w:trPr>
          <w:trHeight w:val="166"/>
        </w:trPr>
        <w:tc>
          <w:tcPr>
            <w:tcW w:w="3520" w:type="dxa"/>
            <w:vAlign w:val="bottom"/>
            <w:gridSpan w:val="6"/>
          </w:tcPr>
          <w:p>
            <w:pPr>
              <w:jc w:val="center"/>
              <w:ind w:left="1557"/>
              <w:spacing w:after="0"/>
              <w:rPr>
                <w:sz w:val="20"/>
                <w:szCs w:val="20"/>
                <w:color w:val="auto"/>
              </w:rPr>
            </w:pPr>
            <w:r>
              <w:rPr>
                <w:rFonts w:ascii="Times New Roman" w:cs="Times New Roman" w:eastAsia="Times New Roman" w:hAnsi="Times New Roman"/>
                <w:sz w:val="13"/>
                <w:szCs w:val="13"/>
                <w:b w:val="1"/>
                <w:bCs w:val="1"/>
                <w:color w:val="auto"/>
                <w:w w:val="96"/>
              </w:rPr>
              <w:t>of incorporation or organization</w:t>
            </w: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20" w:type="dxa"/>
            <w:vAlign w:val="bottom"/>
            <w:gridSpan w:val="6"/>
          </w:tcPr>
          <w:p>
            <w:pPr>
              <w:jc w:val="center"/>
              <w:ind w:right="2080"/>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225"/>
        </w:trPr>
        <w:tc>
          <w:tcPr>
            <w:tcW w:w="3520" w:type="dxa"/>
            <w:vAlign w:val="bottom"/>
            <w:gridSpan w:val="6"/>
          </w:tcPr>
          <w:p>
            <w:pPr>
              <w:jc w:val="center"/>
              <w:ind w:left="1557"/>
              <w:spacing w:after="0"/>
              <w:rPr>
                <w:sz w:val="20"/>
                <w:szCs w:val="20"/>
                <w:color w:val="auto"/>
              </w:rPr>
            </w:pPr>
            <w:r>
              <w:rPr>
                <w:rFonts w:ascii="Times New Roman" w:cs="Times New Roman" w:eastAsia="Times New Roman" w:hAnsi="Times New Roman"/>
                <w:sz w:val="13"/>
                <w:szCs w:val="13"/>
                <w:b w:val="1"/>
                <w:bCs w:val="1"/>
                <w:color w:val="auto"/>
                <w:w w:val="96"/>
              </w:rPr>
              <w:t>2 University Plaza</w:t>
            </w:r>
          </w:p>
        </w:tc>
        <w:tc>
          <w:tcPr>
            <w:tcW w:w="1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4"/>
          </w:tcPr>
          <w:p>
            <w:pPr>
              <w:jc w:val="center"/>
              <w:ind w:right="7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Suite 100</w:t>
            </w:r>
          </w:p>
        </w:tc>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140" w:type="dxa"/>
            <w:vAlign w:val="bottom"/>
          </w:tcPr>
          <w:p>
            <w:pPr>
              <w:spacing w:after="0"/>
              <w:rPr>
                <w:sz w:val="12"/>
                <w:szCs w:val="12"/>
                <w:color w:val="auto"/>
              </w:rPr>
            </w:pPr>
          </w:p>
        </w:tc>
        <w:tc>
          <w:tcPr>
            <w:tcW w:w="1380" w:type="dxa"/>
            <w:vAlign w:val="bottom"/>
            <w:gridSpan w:val="5"/>
          </w:tcPr>
          <w:p>
            <w:pPr>
              <w:jc w:val="center"/>
              <w:ind w:right="5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Hackensack, NJ</w:t>
            </w:r>
          </w:p>
        </w:tc>
        <w:tc>
          <w:tcPr>
            <w:tcW w:w="1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80" w:type="dxa"/>
            <w:vAlign w:val="bottom"/>
            <w:gridSpan w:val="5"/>
          </w:tcPr>
          <w:p>
            <w:pPr>
              <w:jc w:val="right"/>
              <w:ind w:right="140"/>
              <w:spacing w:after="0" w:line="142" w:lineRule="exact"/>
              <w:rPr>
                <w:sz w:val="20"/>
                <w:szCs w:val="20"/>
                <w:color w:val="auto"/>
              </w:rPr>
            </w:pPr>
            <w:r>
              <w:rPr>
                <w:rFonts w:ascii="Times New Roman" w:cs="Times New Roman" w:eastAsia="Times New Roman" w:hAnsi="Times New Roman"/>
                <w:sz w:val="13"/>
                <w:szCs w:val="13"/>
                <w:b w:val="1"/>
                <w:bCs w:val="1"/>
                <w:color w:val="auto"/>
              </w:rPr>
              <w:t>07601</w:t>
            </w:r>
          </w:p>
        </w:tc>
        <w:tc>
          <w:tcPr>
            <w:tcW w:w="2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40" w:type="dxa"/>
            <w:vAlign w:val="bottom"/>
            <w:vMerge w:val="restart"/>
          </w:tcPr>
          <w:p>
            <w:pPr>
              <w:ind w:left="1520"/>
              <w:spacing w:after="0"/>
              <w:rPr>
                <w:sz w:val="20"/>
                <w:szCs w:val="20"/>
                <w:color w:val="auto"/>
              </w:rPr>
            </w:pPr>
            <w:r>
              <w:rPr>
                <w:rFonts w:ascii="Times New Roman" w:cs="Times New Roman" w:eastAsia="Times New Roman" w:hAnsi="Times New Roman"/>
                <w:sz w:val="13"/>
                <w:szCs w:val="13"/>
                <w:b w:val="1"/>
                <w:bCs w:val="1"/>
                <w:color w:val="auto"/>
                <w:w w:val="93"/>
              </w:rPr>
              <w:t>(Address of</w:t>
            </w:r>
          </w:p>
        </w:tc>
        <w:tc>
          <w:tcPr>
            <w:tcW w:w="860" w:type="dxa"/>
            <w:vAlign w:val="bottom"/>
            <w:gridSpan w:val="3"/>
            <w:shd w:val="clear" w:color="auto" w:fill="000000"/>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vMerge w:val="continue"/>
          </w:tcPr>
          <w:p>
            <w:pPr>
              <w:spacing w:after="0"/>
              <w:rPr>
                <w:sz w:val="13"/>
                <w:szCs w:val="13"/>
                <w:color w:val="auto"/>
              </w:rPr>
            </w:pPr>
          </w:p>
        </w:tc>
        <w:tc>
          <w:tcPr>
            <w:tcW w:w="4680" w:type="dxa"/>
            <w:vAlign w:val="bottom"/>
            <w:gridSpan w:val="8"/>
          </w:tcPr>
          <w:p>
            <w:pPr>
              <w:ind w:left="40"/>
              <w:spacing w:after="0"/>
              <w:rPr>
                <w:sz w:val="20"/>
                <w:szCs w:val="20"/>
                <w:color w:val="auto"/>
              </w:rPr>
            </w:pPr>
            <w:r>
              <w:rPr>
                <w:rFonts w:ascii="Times New Roman" w:cs="Times New Roman" w:eastAsia="Times New Roman" w:hAnsi="Times New Roman"/>
                <w:sz w:val="13"/>
                <w:szCs w:val="13"/>
                <w:b w:val="1"/>
                <w:bCs w:val="1"/>
                <w:color w:val="auto"/>
              </w:rPr>
              <w:t>principal executive offices)</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960" w:type="dxa"/>
            <w:vAlign w:val="bottom"/>
            <w:gridSpan w:val="5"/>
          </w:tcPr>
          <w:p>
            <w:pPr>
              <w:jc w:val="center"/>
              <w:ind w:right="2340"/>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185"/>
        </w:trPr>
        <w:tc>
          <w:tcPr>
            <w:tcW w:w="2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0" w:type="dxa"/>
            <w:vAlign w:val="bottom"/>
            <w:gridSpan w:val="2"/>
          </w:tcPr>
          <w:p>
            <w:pPr>
              <w:jc w:val="center"/>
              <w:ind w:left="1157"/>
              <w:spacing w:after="0"/>
              <w:rPr>
                <w:sz w:val="20"/>
                <w:szCs w:val="20"/>
                <w:color w:val="auto"/>
              </w:rPr>
            </w:pPr>
            <w:r>
              <w:rPr>
                <w:rFonts w:ascii="Times New Roman" w:cs="Times New Roman" w:eastAsia="Times New Roman" w:hAnsi="Times New Roman"/>
                <w:sz w:val="13"/>
                <w:szCs w:val="13"/>
                <w:b w:val="1"/>
                <w:bCs w:val="1"/>
                <w:color w:val="auto"/>
                <w:w w:val="95"/>
              </w:rPr>
              <w:t>(201) 696-9345</w:t>
            </w:r>
          </w:p>
        </w:tc>
        <w:tc>
          <w:tcPr>
            <w:tcW w:w="13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including area code</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Registrant’s telephone number,</w:t>
            </w:r>
          </w:p>
        </w:tc>
        <w:tc>
          <w:tcPr>
            <w:tcW w:w="13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300" w:type="dxa"/>
            <w:vAlign w:val="bottom"/>
            <w:gridSpan w:val="3"/>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Securities registered pursuant to Section 12(b) of the Act: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21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340" w:type="dxa"/>
            <w:vAlign w:val="bottom"/>
            <w:tcBorders>
              <w:bottom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3060" w:type="dxa"/>
            <w:vAlign w:val="bottom"/>
            <w:tcBorders>
              <w:left w:val="single" w:sz="8" w:color="auto"/>
              <w:bottom w:val="single" w:sz="8" w:color="auto"/>
              <w:right w:val="single" w:sz="8" w:color="auto"/>
            </w:tcBorders>
            <w:gridSpan w:val="5"/>
          </w:tcPr>
          <w:p>
            <w:pPr>
              <w:jc w:val="center"/>
              <w:spacing w:after="0" w:line="129" w:lineRule="exact"/>
              <w:rPr>
                <w:sz w:val="20"/>
                <w:szCs w:val="20"/>
                <w:color w:val="auto"/>
              </w:rPr>
            </w:pPr>
            <w:r>
              <w:rPr>
                <w:rFonts w:ascii="Times New Roman" w:cs="Times New Roman" w:eastAsia="Times New Roman" w:hAnsi="Times New Roman"/>
                <w:sz w:val="13"/>
                <w:szCs w:val="13"/>
                <w:color w:val="auto"/>
                <w:w w:val="95"/>
              </w:rPr>
              <w:t>Title of each class</w:t>
            </w:r>
          </w:p>
        </w:tc>
        <w:tc>
          <w:tcPr>
            <w:tcW w:w="460" w:type="dxa"/>
            <w:vAlign w:val="bottom"/>
            <w:tcBorders>
              <w:bottom w:val="single" w:sz="8" w:color="auto"/>
            </w:tcBorders>
          </w:tcPr>
          <w:p>
            <w:pPr>
              <w:spacing w:after="0"/>
              <w:rPr>
                <w:sz w:val="11"/>
                <w:szCs w:val="11"/>
                <w:color w:val="auto"/>
              </w:rPr>
            </w:pPr>
          </w:p>
        </w:tc>
        <w:tc>
          <w:tcPr>
            <w:tcW w:w="3300" w:type="dxa"/>
            <w:vAlign w:val="bottom"/>
            <w:tcBorders>
              <w:bottom w:val="single" w:sz="8" w:color="auto"/>
            </w:tcBorders>
            <w:gridSpan w:val="3"/>
          </w:tcPr>
          <w:p>
            <w:pPr>
              <w:jc w:val="center"/>
              <w:spacing w:after="0" w:line="129" w:lineRule="exact"/>
              <w:rPr>
                <w:sz w:val="20"/>
                <w:szCs w:val="20"/>
                <w:color w:val="auto"/>
              </w:rPr>
            </w:pPr>
            <w:r>
              <w:rPr>
                <w:rFonts w:ascii="Times New Roman" w:cs="Times New Roman" w:eastAsia="Times New Roman" w:hAnsi="Times New Roman"/>
                <w:sz w:val="13"/>
                <w:szCs w:val="13"/>
                <w:color w:val="auto"/>
                <w:w w:val="95"/>
              </w:rPr>
              <w:t>Trading Symbol(s)</w:t>
            </w:r>
          </w:p>
        </w:tc>
        <w:tc>
          <w:tcPr>
            <w:tcW w:w="22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800" w:type="dxa"/>
            <w:vAlign w:val="bottom"/>
            <w:tcBorders>
              <w:bottom w:val="single" w:sz="8" w:color="auto"/>
              <w:right w:val="single" w:sz="8" w:color="auto"/>
            </w:tcBorders>
            <w:gridSpan w:val="3"/>
          </w:tcPr>
          <w:p>
            <w:pPr>
              <w:jc w:val="center"/>
              <w:ind w:right="197"/>
              <w:spacing w:after="0" w:line="129" w:lineRule="exact"/>
              <w:rPr>
                <w:sz w:val="20"/>
                <w:szCs w:val="20"/>
                <w:color w:val="auto"/>
              </w:rPr>
            </w:pPr>
            <w:r>
              <w:rPr>
                <w:rFonts w:ascii="Times New Roman" w:cs="Times New Roman" w:eastAsia="Times New Roman" w:hAnsi="Times New Roman"/>
                <w:sz w:val="13"/>
                <w:szCs w:val="13"/>
                <w:color w:val="auto"/>
                <w:w w:val="96"/>
              </w:rPr>
              <w:t>Name of each exchange on which registered</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tcBorders>
              <w:left w:val="single" w:sz="8" w:color="auto"/>
              <w:bottom w:val="single" w:sz="8" w:color="auto"/>
              <w:right w:val="single" w:sz="8" w:color="auto"/>
            </w:tcBorders>
            <w:gridSpan w:val="5"/>
          </w:tcPr>
          <w:p>
            <w:pPr>
              <w:jc w:val="center"/>
              <w:spacing w:after="0" w:line="129" w:lineRule="exact"/>
              <w:rPr>
                <w:sz w:val="20"/>
                <w:szCs w:val="20"/>
                <w:color w:val="auto"/>
              </w:rPr>
            </w:pPr>
            <w:r>
              <w:rPr>
                <w:rFonts w:ascii="Times New Roman" w:cs="Times New Roman" w:eastAsia="Times New Roman" w:hAnsi="Times New Roman"/>
                <w:sz w:val="13"/>
                <w:szCs w:val="13"/>
                <w:color w:val="auto"/>
                <w:w w:val="97"/>
              </w:rPr>
              <w:t>Common stock, $0.001 par value</w:t>
            </w:r>
          </w:p>
        </w:tc>
        <w:tc>
          <w:tcPr>
            <w:tcW w:w="4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gridSpan w:val="2"/>
          </w:tcPr>
          <w:p>
            <w:pPr>
              <w:jc w:val="center"/>
              <w:ind w:right="1137"/>
              <w:spacing w:after="0" w:line="129" w:lineRule="exact"/>
              <w:rPr>
                <w:sz w:val="20"/>
                <w:szCs w:val="20"/>
                <w:color w:val="auto"/>
              </w:rPr>
            </w:pPr>
            <w:r>
              <w:rPr>
                <w:rFonts w:ascii="Times New Roman" w:cs="Times New Roman" w:eastAsia="Times New Roman" w:hAnsi="Times New Roman"/>
                <w:sz w:val="13"/>
                <w:szCs w:val="13"/>
                <w:color w:val="auto"/>
                <w:w w:val="97"/>
              </w:rPr>
              <w:t>PLX</w:t>
            </w:r>
          </w:p>
        </w:tc>
        <w:tc>
          <w:tcPr>
            <w:tcW w:w="22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340" w:type="dxa"/>
            <w:vAlign w:val="bottom"/>
            <w:tcBorders>
              <w:bottom w:val="single" w:sz="8" w:color="auto"/>
              <w:right w:val="single" w:sz="8" w:color="auto"/>
            </w:tcBorders>
          </w:tcPr>
          <w:p>
            <w:pPr>
              <w:jc w:val="center"/>
              <w:ind w:right="657"/>
              <w:spacing w:after="0" w:line="129" w:lineRule="exact"/>
              <w:rPr>
                <w:sz w:val="20"/>
                <w:szCs w:val="20"/>
                <w:color w:val="auto"/>
              </w:rPr>
            </w:pPr>
            <w:r>
              <w:rPr>
                <w:rFonts w:ascii="Times New Roman" w:cs="Times New Roman" w:eastAsia="Times New Roman" w:hAnsi="Times New Roman"/>
                <w:sz w:val="13"/>
                <w:szCs w:val="13"/>
                <w:color w:val="auto"/>
                <w:w w:val="97"/>
              </w:rPr>
              <w:t>NYSE American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2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300" w:type="dxa"/>
            <w:vAlign w:val="bottom"/>
            <w:gridSpan w:val="3"/>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Securities registered pursuant to Section 12(g) of the Act: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1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2"/>
          </w:tcPr>
          <w:p>
            <w:pPr>
              <w:jc w:val="center"/>
              <w:ind w:right="1257"/>
              <w:spacing w:after="0"/>
              <w:rPr>
                <w:sz w:val="20"/>
                <w:szCs w:val="20"/>
                <w:color w:val="auto"/>
              </w:rPr>
            </w:pPr>
            <w:r>
              <w:rPr>
                <w:rFonts w:ascii="Times New Roman" w:cs="Times New Roman" w:eastAsia="Times New Roman" w:hAnsi="Times New Roman"/>
                <w:sz w:val="13"/>
                <w:szCs w:val="13"/>
                <w:b w:val="1"/>
                <w:bCs w:val="1"/>
                <w:color w:val="auto"/>
                <w:w w:val="96"/>
              </w:rPr>
              <w:t>None</w:t>
            </w:r>
          </w:p>
        </w:tc>
        <w:tc>
          <w:tcPr>
            <w:tcW w:w="2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6820" w:type="dxa"/>
            <w:vAlign w:val="bottom"/>
            <w:gridSpan w:val="9"/>
          </w:tcPr>
          <w:p>
            <w:pPr>
              <w:ind w:left="660"/>
              <w:spacing w:after="0"/>
              <w:rPr>
                <w:sz w:val="20"/>
                <w:szCs w:val="20"/>
                <w:color w:val="auto"/>
              </w:rPr>
            </w:pPr>
            <w:r>
              <w:rPr>
                <w:rFonts w:ascii="Times New Roman" w:cs="Times New Roman" w:eastAsia="Times New Roman" w:hAnsi="Times New Roman"/>
                <w:sz w:val="13"/>
                <w:szCs w:val="13"/>
                <w:color w:val="auto"/>
                <w:w w:val="96"/>
              </w:rPr>
              <w:t>Indicate by check mark if the registrant is a well-known seasoned issuer, as defined in Rule 405 of the Securities Act. Yes</w:t>
            </w:r>
          </w:p>
        </w:tc>
        <w:tc>
          <w:tcPr>
            <w:tcW w:w="3440" w:type="dxa"/>
            <w:vAlign w:val="bottom"/>
            <w:gridSpan w:val="7"/>
          </w:tcPr>
          <w:p>
            <w:pPr>
              <w:ind w:left="20"/>
              <w:spacing w:after="0" w:line="175" w:lineRule="exact"/>
              <w:rPr>
                <w:sz w:val="20"/>
                <w:szCs w:val="20"/>
                <w:color w:val="auto"/>
              </w:rPr>
            </w:pP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tc>
        <w:tc>
          <w:tcPr>
            <w:tcW w:w="0" w:type="dxa"/>
            <w:vAlign w:val="bottom"/>
          </w:tcPr>
          <w:p>
            <w:pPr>
              <w:spacing w:after="0"/>
              <w:rPr>
                <w:sz w:val="1"/>
                <w:szCs w:val="1"/>
                <w:color w:val="auto"/>
              </w:rPr>
            </w:pPr>
          </w:p>
        </w:tc>
      </w:tr>
    </w:tbl>
    <w:p>
      <w:pPr>
        <w:spacing w:after="0" w:line="17" w:lineRule="exact"/>
        <w:rPr>
          <w:sz w:val="24"/>
          <w:szCs w:val="24"/>
          <w:color w:val="auto"/>
        </w:rPr>
      </w:pPr>
    </w:p>
    <w:p>
      <w:pPr>
        <w:ind w:left="660"/>
        <w:spacing w:after="0" w:line="175"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Act.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62" w:lineRule="exact"/>
        <w:rPr>
          <w:sz w:val="24"/>
          <w:szCs w:val="24"/>
          <w:color w:val="auto"/>
        </w:rPr>
      </w:pPr>
    </w:p>
    <w:p>
      <w:pPr>
        <w:ind w:left="20" w:right="120" w:firstLine="648"/>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25" w:lineRule="exact"/>
        <w:rPr>
          <w:sz w:val="24"/>
          <w:szCs w:val="24"/>
          <w:color w:val="auto"/>
        </w:rPr>
      </w:pPr>
    </w:p>
    <w:p>
      <w:pPr>
        <w:ind w:left="20" w:right="280" w:firstLine="648"/>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25" w:lineRule="exact"/>
        <w:rPr>
          <w:sz w:val="24"/>
          <w:szCs w:val="24"/>
          <w:color w:val="auto"/>
        </w:rPr>
      </w:pPr>
    </w:p>
    <w:p>
      <w:pPr>
        <w:ind w:left="20" w:right="320" w:firstLine="648"/>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20" w:type="dxa"/>
        <w:tblCellMar>
          <w:top w:w="0" w:type="dxa"/>
          <w:left w:w="0" w:type="dxa"/>
          <w:bottom w:w="0" w:type="dxa"/>
          <w:right w:w="0" w:type="dxa"/>
        </w:tblCellMar>
      </w:tblPr>
      <w:tr>
        <w:trPr>
          <w:trHeight w:val="174"/>
        </w:trPr>
        <w:tc>
          <w:tcPr>
            <w:tcW w:w="15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520" w:type="dxa"/>
            <w:vAlign w:val="bottom"/>
          </w:tcPr>
          <w:p>
            <w:pPr>
              <w:ind w:left="42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3900" w:type="dxa"/>
            <w:vAlign w:val="bottom"/>
          </w:tcPr>
          <w:p>
            <w:pPr>
              <w:ind w:left="1980"/>
              <w:spacing w:after="0"/>
              <w:rPr>
                <w:sz w:val="20"/>
                <w:szCs w:val="20"/>
                <w:color w:val="auto"/>
              </w:rPr>
            </w:pPr>
            <w:r>
              <w:rPr>
                <w:rFonts w:ascii="Times New Roman" w:cs="Times New Roman" w:eastAsia="Times New Roman" w:hAnsi="Times New Roman"/>
                <w:sz w:val="13"/>
                <w:szCs w:val="13"/>
                <w:color w:val="auto"/>
              </w:rPr>
              <w:t>Accelerated filer</w:t>
            </w:r>
          </w:p>
        </w:tc>
        <w:tc>
          <w:tcPr>
            <w:tcW w:w="660" w:type="dxa"/>
            <w:vAlign w:val="bottom"/>
          </w:tcPr>
          <w:p>
            <w:pPr>
              <w:ind w:left="54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148"/>
        </w:trPr>
        <w:tc>
          <w:tcPr>
            <w:tcW w:w="15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520" w:type="dxa"/>
            <w:vAlign w:val="bottom"/>
          </w:tcPr>
          <w:p>
            <w:pPr>
              <w:ind w:left="420"/>
              <w:spacing w:after="0" w:line="149" w:lineRule="exact"/>
              <w:rPr>
                <w:sz w:val="20"/>
                <w:szCs w:val="20"/>
                <w:color w:val="auto"/>
              </w:rPr>
            </w:pPr>
            <w:r>
              <w:rPr>
                <w:rFonts w:ascii="Arial Unicode MS" w:cs="Arial Unicode MS" w:eastAsia="Arial Unicode MS" w:hAnsi="Arial Unicode MS"/>
                <w:sz w:val="13"/>
                <w:szCs w:val="13"/>
                <w:color w:val="auto"/>
              </w:rPr>
              <w:t>☒</w:t>
            </w:r>
          </w:p>
        </w:tc>
        <w:tc>
          <w:tcPr>
            <w:tcW w:w="3900" w:type="dxa"/>
            <w:vAlign w:val="bottom"/>
          </w:tcPr>
          <w:p>
            <w:pPr>
              <w:ind w:left="19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660" w:type="dxa"/>
            <w:vAlign w:val="bottom"/>
          </w:tcPr>
          <w:p>
            <w:pPr>
              <w:ind w:left="540"/>
              <w:spacing w:after="0" w:line="149" w:lineRule="exact"/>
              <w:rPr>
                <w:sz w:val="20"/>
                <w:szCs w:val="20"/>
                <w:color w:val="auto"/>
              </w:rPr>
            </w:pPr>
            <w:r>
              <w:rPr>
                <w:rFonts w:ascii="Arial Unicode MS" w:cs="Arial Unicode MS" w:eastAsia="Arial Unicode MS" w:hAnsi="Arial Unicode MS"/>
                <w:sz w:val="13"/>
                <w:szCs w:val="13"/>
                <w:color w:val="auto"/>
              </w:rPr>
              <w:t>☒</w:t>
            </w:r>
          </w:p>
        </w:tc>
      </w:tr>
      <w:tr>
        <w:trPr>
          <w:trHeight w:val="170"/>
        </w:trPr>
        <w:tc>
          <w:tcPr>
            <w:tcW w:w="15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900" w:type="dxa"/>
            <w:vAlign w:val="bottom"/>
          </w:tcPr>
          <w:p>
            <w:pPr>
              <w:ind w:left="1980"/>
              <w:spacing w:after="0"/>
              <w:rPr>
                <w:sz w:val="20"/>
                <w:szCs w:val="20"/>
                <w:color w:val="auto"/>
              </w:rPr>
            </w:pPr>
            <w:r>
              <w:rPr>
                <w:rFonts w:ascii="Times New Roman" w:cs="Times New Roman" w:eastAsia="Times New Roman" w:hAnsi="Times New Roman"/>
                <w:sz w:val="13"/>
                <w:szCs w:val="13"/>
                <w:color w:val="auto"/>
              </w:rPr>
              <w:t>Emerging growth company</w:t>
            </w:r>
          </w:p>
        </w:tc>
        <w:tc>
          <w:tcPr>
            <w:tcW w:w="660" w:type="dxa"/>
            <w:vAlign w:val="bottom"/>
          </w:tcPr>
          <w:p>
            <w:pPr>
              <w:ind w:left="540"/>
              <w:spacing w:after="0" w:line="170" w:lineRule="exact"/>
              <w:rPr>
                <w:sz w:val="20"/>
                <w:szCs w:val="20"/>
                <w:color w:val="auto"/>
              </w:rPr>
            </w:pPr>
            <w:r>
              <w:rPr>
                <w:rFonts w:ascii="Arial Unicode MS" w:cs="Arial Unicode MS" w:eastAsia="Arial Unicode MS" w:hAnsi="Arial Unicode MS"/>
                <w:sz w:val="13"/>
                <w:szCs w:val="13"/>
                <w:color w:val="auto"/>
              </w:rPr>
              <w:t>☐</w:t>
            </w:r>
          </w:p>
        </w:tc>
      </w:tr>
    </w:tbl>
    <w:p>
      <w:pPr>
        <w:ind w:left="20" w:right="240" w:firstLine="648"/>
        <w:spacing w:after="0" w:line="15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25" w:lineRule="exact"/>
        <w:rPr>
          <w:sz w:val="24"/>
          <w:szCs w:val="24"/>
          <w:color w:val="auto"/>
        </w:rPr>
      </w:pPr>
    </w:p>
    <w:p>
      <w:pPr>
        <w:ind w:left="20" w:right="200" w:firstLine="648"/>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25" w:lineRule="exact"/>
        <w:rPr>
          <w:sz w:val="24"/>
          <w:szCs w:val="24"/>
          <w:color w:val="auto"/>
        </w:rPr>
      </w:pPr>
    </w:p>
    <w:p>
      <w:pPr>
        <w:ind w:left="20" w:right="260" w:firstLine="648"/>
        <w:spacing w:after="0" w:line="164"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auto"/>
        </w:rPr>
        <w:t>☐</w:t>
      </w:r>
    </w:p>
    <w:p>
      <w:pPr>
        <w:spacing w:after="0" w:line="38" w:lineRule="exact"/>
        <w:rPr>
          <w:sz w:val="24"/>
          <w:szCs w:val="24"/>
          <w:color w:val="auto"/>
        </w:rPr>
      </w:pPr>
    </w:p>
    <w:p>
      <w:pPr>
        <w:ind w:left="20" w:right="500" w:firstLine="648"/>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Unicode MS" w:cs="Arial Unicode MS" w:eastAsia="Arial Unicode MS" w:hAnsi="Arial Unicode MS"/>
          <w:sz w:val="13"/>
          <w:szCs w:val="13"/>
          <w:color w:val="auto"/>
        </w:rPr>
        <w:t>☐</w:t>
      </w:r>
    </w:p>
    <w:p>
      <w:pPr>
        <w:spacing w:after="0" w:line="17" w:lineRule="exact"/>
        <w:rPr>
          <w:sz w:val="24"/>
          <w:szCs w:val="24"/>
          <w:color w:val="auto"/>
        </w:rPr>
      </w:pPr>
    </w:p>
    <w:p>
      <w:pPr>
        <w:ind w:left="660"/>
        <w:spacing w:after="0" w:line="175"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49" w:lineRule="exact"/>
        <w:rPr>
          <w:sz w:val="24"/>
          <w:szCs w:val="24"/>
          <w:color w:val="auto"/>
        </w:rPr>
      </w:pPr>
    </w:p>
    <w:p>
      <w:pPr>
        <w:ind w:left="20" w:right="20" w:firstLine="648"/>
        <w:spacing w:after="0"/>
        <w:rPr>
          <w:sz w:val="20"/>
          <w:szCs w:val="20"/>
          <w:color w:val="auto"/>
        </w:rPr>
      </w:pPr>
      <w:r>
        <w:rPr>
          <w:rFonts w:ascii="Times New Roman" w:cs="Times New Roman" w:eastAsia="Times New Roman" w:hAnsi="Times New Roman"/>
          <w:sz w:val="13"/>
          <w:szCs w:val="13"/>
          <w:color w:val="auto"/>
        </w:rPr>
        <w:t>The aggregate market value of the voting common stock held by non-affiliates of the Registrant as of June 30, 2022 was approximately $52.2 million, based on the closing price for shares of the Registrant’s common stock reported by the NYSE American for such date.</w:t>
      </w:r>
    </w:p>
    <w:p>
      <w:pPr>
        <w:spacing w:after="0" w:line="5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3"/>
          <w:szCs w:val="13"/>
          <w:color w:val="auto"/>
        </w:rPr>
        <w:t>On February 15, 2023, approximately 57,353,430 shares of the Registrant’s common stock, par value $0.001 per share, were outstanding.</w:t>
      </w:r>
    </w:p>
    <w:p>
      <w:pPr>
        <w:spacing w:after="0" w:line="51"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55" w:lineRule="exact"/>
        <w:rPr>
          <w:sz w:val="24"/>
          <w:szCs w:val="24"/>
          <w:color w:val="auto"/>
        </w:rPr>
      </w:pPr>
    </w:p>
    <w:p>
      <w:pPr>
        <w:ind w:left="20" w:right="220" w:firstLine="680"/>
        <w:spacing w:after="0"/>
        <w:rPr>
          <w:sz w:val="20"/>
          <w:szCs w:val="20"/>
          <w:color w:val="auto"/>
        </w:rPr>
      </w:pPr>
      <w:r>
        <w:rPr>
          <w:rFonts w:ascii="Times New Roman" w:cs="Times New Roman" w:eastAsia="Times New Roman" w:hAnsi="Times New Roman"/>
          <w:sz w:val="13"/>
          <w:szCs w:val="13"/>
          <w:color w:val="auto"/>
        </w:rPr>
        <w:t>Portions of the registrant’s proxy statement related to its 2023 Annual Stockholders’ Meeting to be filed subsequently are incorporated by reference into Part III of this Annual Report on Form 10-K. Except as expressly incorporated by reference, the registrant’s proxy statement shall not be deemed to be part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507365</wp:posOffset>
            </wp:positionV>
            <wp:extent cx="649795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70485</wp:posOffset>
            </wp:positionV>
            <wp:extent cx="64979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104775</wp:posOffset>
            </wp:positionV>
            <wp:extent cx="64979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1" w:right="83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0000EE"/>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0000EE"/>
                <w:w w:val="95"/>
              </w:rPr>
              <w:t>PART I</w:t>
            </w:r>
          </w:p>
        </w:tc>
        <w:tc>
          <w:tcPr>
            <w:tcW w:w="3560" w:type="dxa"/>
            <w:vAlign w:val="bottom"/>
            <w:tcBorders>
              <w:bottom w:val="single" w:sz="8" w:color="CCEEFF"/>
            </w:tcBorders>
            <w:gridSpan w:val="12"/>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300" w:type="dxa"/>
            <w:vAlign w:val="bottom"/>
            <w:gridSpan w:val="35"/>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 and Risk Factors Summary</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75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6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Item 1A.</w:t>
            </w:r>
          </w:p>
        </w:tc>
        <w:tc>
          <w:tcPr>
            <w:tcW w:w="75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1B.</w:t>
            </w:r>
          </w:p>
        </w:tc>
        <w:tc>
          <w:tcPr>
            <w:tcW w:w="75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6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75"/>
        </w:trPr>
        <w:tc>
          <w:tcPr>
            <w:tcW w:w="2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140" w:type="dxa"/>
            <w:vAlign w:val="bottom"/>
            <w:tcBorders>
              <w:top w:val="single" w:sz="8" w:color="CCEEFF"/>
            </w:tcBorders>
            <w:gridSpan w:val="2"/>
          </w:tcPr>
          <w:p>
            <w:pPr>
              <w:spacing w:after="0"/>
              <w:rPr>
                <w:sz w:val="15"/>
                <w:szCs w:val="15"/>
                <w:color w:val="auto"/>
              </w:rPr>
            </w:pPr>
          </w:p>
        </w:tc>
        <w:tc>
          <w:tcPr>
            <w:tcW w:w="206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5480" w:type="dxa"/>
            <w:vAlign w:val="bottom"/>
            <w:tcBorders>
              <w:top w:val="single" w:sz="8" w:color="CCEEFF"/>
            </w:tcBorders>
            <w:gridSpan w:val="19"/>
          </w:tcPr>
          <w:p>
            <w:pPr>
              <w:spacing w:after="0"/>
              <w:rPr>
                <w:sz w:val="15"/>
                <w:szCs w:val="15"/>
                <w:color w:val="auto"/>
              </w:rPr>
            </w:pPr>
          </w:p>
        </w:tc>
        <w:tc>
          <w:tcPr>
            <w:tcW w:w="6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75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75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180" w:type="dxa"/>
            <w:vAlign w:val="bottom"/>
            <w:gridSpan w:val="14"/>
            <w:shd w:val="clear" w:color="auto" w:fill="CCEEFF"/>
          </w:tcPr>
          <w:p>
            <w:pPr>
              <w:jc w:val="center"/>
              <w:ind w:right="3520"/>
              <w:spacing w:after="0" w:line="176" w:lineRule="exact"/>
              <w:rPr>
                <w:sz w:val="20"/>
                <w:szCs w:val="20"/>
                <w:color w:val="auto"/>
              </w:rPr>
            </w:pPr>
            <w:r>
              <w:rPr>
                <w:rFonts w:ascii="Times New Roman" w:cs="Times New Roman" w:eastAsia="Times New Roman" w:hAnsi="Times New Roman"/>
                <w:sz w:val="18"/>
                <w:szCs w:val="18"/>
                <w:b w:val="1"/>
                <w:bCs w:val="1"/>
                <w:color w:val="0000EE"/>
                <w:w w:val="97"/>
              </w:rPr>
              <w:t>PART II</w:t>
            </w: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75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20" w:type="dxa"/>
            <w:vAlign w:val="bottom"/>
            <w:tcBorders>
              <w:top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Securities</w:t>
            </w:r>
          </w:p>
        </w:tc>
        <w:tc>
          <w:tcPr>
            <w:tcW w:w="22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75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[Reserved]</w:t>
            </w:r>
          </w:p>
        </w:tc>
        <w:tc>
          <w:tcPr>
            <w:tcW w:w="6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Item 7.</w:t>
            </w:r>
          </w:p>
        </w:tc>
        <w:tc>
          <w:tcPr>
            <w:tcW w:w="75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Item 7A.</w:t>
            </w:r>
          </w:p>
        </w:tc>
        <w:tc>
          <w:tcPr>
            <w:tcW w:w="120" w:type="dxa"/>
            <w:vAlign w:val="bottom"/>
            <w:shd w:val="clear" w:color="auto" w:fill="CCEEFF"/>
          </w:tcPr>
          <w:p>
            <w:pPr>
              <w:spacing w:after="0"/>
              <w:rPr>
                <w:sz w:val="17"/>
                <w:szCs w:val="17"/>
                <w:color w:val="auto"/>
              </w:rPr>
            </w:pPr>
          </w:p>
        </w:tc>
        <w:tc>
          <w:tcPr>
            <w:tcW w:w="75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76"/>
        </w:trPr>
        <w:tc>
          <w:tcPr>
            <w:tcW w:w="2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Item 8.</w:t>
            </w:r>
          </w:p>
        </w:tc>
        <w:tc>
          <w:tcPr>
            <w:tcW w:w="120" w:type="dxa"/>
            <w:vAlign w:val="bottom"/>
            <w:tcBorders>
              <w:top w:val="single" w:sz="8" w:color="CCEEFF"/>
            </w:tcBorders>
          </w:tcPr>
          <w:p>
            <w:pPr>
              <w:spacing w:after="0"/>
              <w:rPr>
                <w:sz w:val="15"/>
                <w:szCs w:val="15"/>
                <w:color w:val="auto"/>
              </w:rPr>
            </w:pPr>
          </w:p>
        </w:tc>
        <w:tc>
          <w:tcPr>
            <w:tcW w:w="4360" w:type="dxa"/>
            <w:vAlign w:val="bottom"/>
            <w:tcBorders>
              <w:top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3180" w:type="dxa"/>
            <w:vAlign w:val="bottom"/>
            <w:tcBorders>
              <w:top w:val="single" w:sz="8" w:color="CCEEFF"/>
            </w:tcBorders>
            <w:gridSpan w:val="8"/>
          </w:tcPr>
          <w:p>
            <w:pPr>
              <w:spacing w:after="0"/>
              <w:rPr>
                <w:sz w:val="15"/>
                <w:szCs w:val="15"/>
                <w:color w:val="auto"/>
              </w:rPr>
            </w:pPr>
          </w:p>
        </w:tc>
        <w:tc>
          <w:tcPr>
            <w:tcW w:w="6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9.</w:t>
            </w:r>
          </w:p>
        </w:tc>
        <w:tc>
          <w:tcPr>
            <w:tcW w:w="75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6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Item 9A.</w:t>
            </w:r>
          </w:p>
        </w:tc>
        <w:tc>
          <w:tcPr>
            <w:tcW w:w="75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9B.</w:t>
            </w:r>
          </w:p>
        </w:tc>
        <w:tc>
          <w:tcPr>
            <w:tcW w:w="75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Item 9C.</w:t>
            </w:r>
          </w:p>
        </w:tc>
        <w:tc>
          <w:tcPr>
            <w:tcW w:w="75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20" w:type="dxa"/>
            <w:vAlign w:val="bottom"/>
            <w:gridSpan w:val="16"/>
            <w:shd w:val="clear" w:color="auto" w:fill="CCEEFF"/>
          </w:tcPr>
          <w:p>
            <w:pPr>
              <w:jc w:val="center"/>
              <w:ind w:right="3500"/>
              <w:spacing w:after="0" w:line="176" w:lineRule="exact"/>
              <w:rPr>
                <w:sz w:val="20"/>
                <w:szCs w:val="20"/>
                <w:color w:val="auto"/>
              </w:rPr>
            </w:pPr>
            <w:r>
              <w:rPr>
                <w:rFonts w:ascii="Times New Roman" w:cs="Times New Roman" w:eastAsia="Times New Roman" w:hAnsi="Times New Roman"/>
                <w:sz w:val="18"/>
                <w:szCs w:val="18"/>
                <w:b w:val="1"/>
                <w:bCs w:val="1"/>
                <w:color w:val="0000EE"/>
                <w:w w:val="96"/>
              </w:rPr>
              <w:t>PART III</w:t>
            </w: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Item 10.</w:t>
            </w:r>
          </w:p>
        </w:tc>
        <w:tc>
          <w:tcPr>
            <w:tcW w:w="75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11.</w:t>
            </w:r>
          </w:p>
        </w:tc>
        <w:tc>
          <w:tcPr>
            <w:tcW w:w="75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6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Item 12.</w:t>
            </w:r>
          </w:p>
        </w:tc>
        <w:tc>
          <w:tcPr>
            <w:tcW w:w="75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60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Item 13.</w:t>
            </w:r>
          </w:p>
        </w:tc>
        <w:tc>
          <w:tcPr>
            <w:tcW w:w="160" w:type="dxa"/>
            <w:vAlign w:val="bottom"/>
            <w:tcBorders>
              <w:bottom w:val="single" w:sz="8" w:color="CCEEFF"/>
            </w:tcBorders>
            <w:gridSpan w:val="3"/>
            <w:shd w:val="clear" w:color="auto" w:fill="CCEEFF"/>
          </w:tcPr>
          <w:p>
            <w:pPr>
              <w:spacing w:after="0"/>
              <w:rPr>
                <w:sz w:val="17"/>
                <w:szCs w:val="17"/>
                <w:color w:val="auto"/>
              </w:rPr>
            </w:pPr>
          </w:p>
        </w:tc>
        <w:tc>
          <w:tcPr>
            <w:tcW w:w="546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2080" w:type="dxa"/>
            <w:vAlign w:val="bottom"/>
            <w:tcBorders>
              <w:bottom w:val="single" w:sz="8" w:color="CCEEFF"/>
            </w:tcBorders>
            <w:gridSpan w:val="6"/>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Item 14.</w:t>
            </w:r>
          </w:p>
        </w:tc>
        <w:tc>
          <w:tcPr>
            <w:tcW w:w="75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0000EE"/>
            </w:tcBorders>
            <w:gridSpan w:val="6"/>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0000EE"/>
                <w:w w:val="97"/>
              </w:rPr>
              <w:t>PART IV</w:t>
            </w:r>
          </w:p>
        </w:tc>
        <w:tc>
          <w:tcPr>
            <w:tcW w:w="3500" w:type="dxa"/>
            <w:vAlign w:val="bottom"/>
            <w:tcBorders>
              <w:bottom w:val="single" w:sz="8" w:color="CCEEFF"/>
            </w:tcBorders>
            <w:gridSpan w:val="10"/>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Item 15.</w:t>
            </w:r>
          </w:p>
        </w:tc>
        <w:tc>
          <w:tcPr>
            <w:tcW w:w="75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60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Item 16.</w:t>
            </w:r>
          </w:p>
        </w:tc>
        <w:tc>
          <w:tcPr>
            <w:tcW w:w="160" w:type="dxa"/>
            <w:vAlign w:val="bottom"/>
            <w:tcBorders>
              <w:bottom w:val="single" w:sz="8" w:color="CCEEFF"/>
            </w:tcBorders>
            <w:gridSpan w:val="3"/>
            <w:shd w:val="clear" w:color="auto" w:fill="CCEEFF"/>
          </w:tcPr>
          <w:p>
            <w:pPr>
              <w:spacing w:after="0"/>
              <w:rPr>
                <w:sz w:val="17"/>
                <w:szCs w:val="17"/>
                <w:color w:val="auto"/>
              </w:rPr>
            </w:pPr>
          </w:p>
        </w:tc>
        <w:tc>
          <w:tcPr>
            <w:tcW w:w="15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Form 10-K Summary</w:t>
            </w:r>
          </w:p>
        </w:tc>
        <w:tc>
          <w:tcPr>
            <w:tcW w:w="5980" w:type="dxa"/>
            <w:vAlign w:val="bottom"/>
            <w:tcBorders>
              <w:bottom w:val="single" w:sz="8" w:color="CCEEFF"/>
            </w:tcBorders>
            <w:gridSpan w:val="22"/>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75"/>
        </w:trPr>
        <w:tc>
          <w:tcPr>
            <w:tcW w:w="20" w:type="dxa"/>
            <w:vAlign w:val="bottom"/>
            <w:tcBorders>
              <w:bottom w:val="single" w:sz="8" w:color="0000EE"/>
            </w:tcBorders>
          </w:tcPr>
          <w:p>
            <w:pPr>
              <w:spacing w:after="0"/>
              <w:rPr>
                <w:sz w:val="15"/>
                <w:szCs w:val="15"/>
                <w:color w:val="auto"/>
              </w:rPr>
            </w:pPr>
          </w:p>
        </w:tc>
        <w:tc>
          <w:tcPr>
            <w:tcW w:w="760" w:type="dxa"/>
            <w:vAlign w:val="bottom"/>
            <w:tcBorders>
              <w:bottom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w w:val="97"/>
              </w:rPr>
              <w:t>Signatures</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458"/>
        </w:trPr>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ind w:left="60" w:right="79"/>
        <w:spacing w:after="0" w:line="267" w:lineRule="auto"/>
        <w:rPr>
          <w:sz w:val="20"/>
          <w:szCs w:val="20"/>
          <w:color w:val="auto"/>
        </w:rPr>
      </w:pPr>
      <w:r>
        <w:rPr>
          <w:rFonts w:ascii="Times New Roman" w:cs="Times New Roman" w:eastAsia="Times New Roman" w:hAnsi="Times New Roman"/>
          <w:sz w:val="18"/>
          <w:szCs w:val="18"/>
          <w:i w:val="1"/>
          <w:iCs w:val="1"/>
          <w:color w:val="auto"/>
        </w:rPr>
        <w:t>Except where the context otherwise requires, the terms “we,” “us,” “our” or “the Company,” refer to the business of Protalix BioTherapeutics, Inc. and its consolidated subsidiaries, and “Protalix” or “Protalix Ltd.” refers to the business of Protalix Ltd., our wholly-owned subsidiary and sole operating unit.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RISK FACTORS SUMMARY</w:t>
      </w:r>
    </w:p>
    <w:p>
      <w:pPr>
        <w:spacing w:after="0" w:line="16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The statements set forth under the sections entitled “Business,” “Management’s Discussion and Analysis of Financial Condition and Results of Operations” and “Risk Factors,” and other statements included elsewhere in this Annual Report on Form 10-K, particularly with respect to our plans and strategy for our business and related financing, include forward-looking statements within the meanings of Section 27A of the Securities Act of 1933, as amended, or the Securities Act, and Section 21E of the Securities Exchange Act of 1934, as amended, or the Exchange Act, including statements regarding expectations, beliefs, intentions or strategies for the future. When used in this report, the terms “anticipate,” “believe,” “estimate,” “expect,” “can,” “continue,” “could,” “intend,” “may,” “plan,” “potential,” “predict,” “project,” “should,” “will,” “would” and other words or phrases of similar import, as they relate to our company, our subsidiaries or our management, are intended to identify forward-looking statements. We intend that all forward-looking statements be subject to the safe-harbor provisions under the Private Securities Litigation Reform Act of 1995. These forward-looking statements are only predictions and reflect our views as of the date they are made with respect to future events and financial performance, and we undertake no obligation to update or revise, nor do we have a policy of updating or revising, any forward-looking statement to reflect events or circumstances after the date on which the statement is made or to reflect the occurrence of unanticipated events, except as may be required under applicable law. Forward-looking statements are subject to many risks and uncertainties that could cause our actual results to differ materially from any future results expressed or implied by the forward-looking statements.</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Examples of the risks and uncertainties include, but are not limited to, the following:</w:t>
      </w:r>
    </w:p>
    <w:p>
      <w:pPr>
        <w:spacing w:after="0" w:line="185" w:lineRule="exact"/>
        <w:rPr>
          <w:sz w:val="20"/>
          <w:szCs w:val="20"/>
          <w:color w:val="auto"/>
        </w:rPr>
      </w:pPr>
    </w:p>
    <w:p>
      <w:pPr>
        <w:ind w:left="60" w:right="119" w:firstLine="638"/>
        <w:spacing w:after="0" w:line="261" w:lineRule="auto"/>
        <w:tabs>
          <w:tab w:leader="none" w:pos="13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U.S. Food and Drug Administration, or the FDA, might not grant marketing approval for pegunigalsidase alfa, or PRX-102, by the Prescription Drug User Fee Act (PDUFA) action date or at all, and other risks related to the timing, progress and likelihood of final approval by the FDA of the resubmitted PRX-102 Biologics License Application, or BLA;</w:t>
      </w:r>
    </w:p>
    <w:p>
      <w:pPr>
        <w:spacing w:after="0" w:line="139" w:lineRule="exact"/>
        <w:rPr>
          <w:rFonts w:ascii="Times New Roman" w:cs="Times New Roman" w:eastAsia="Times New Roman" w:hAnsi="Times New Roman"/>
          <w:sz w:val="18"/>
          <w:szCs w:val="18"/>
          <w:color w:val="auto"/>
        </w:rPr>
      </w:pPr>
    </w:p>
    <w:p>
      <w:pPr>
        <w:ind w:left="60" w:right="79" w:firstLine="638"/>
        <w:spacing w:after="0" w:line="266" w:lineRule="auto"/>
        <w:tabs>
          <w:tab w:leader="none" w:pos="13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timing, progress and likelihood of approval by the European Medicines Agency, or the EMA, of the Marketing Authorization Application, or the MAA, for PRX-102, and of approvals by other applicable health regulatory authorities;</w:t>
      </w:r>
    </w:p>
    <w:p>
      <w:pPr>
        <w:spacing w:after="0" w:line="148" w:lineRule="exact"/>
        <w:rPr>
          <w:rFonts w:ascii="Times New Roman" w:cs="Times New Roman" w:eastAsia="Times New Roman" w:hAnsi="Times New Roman"/>
          <w:sz w:val="18"/>
          <w:szCs w:val="18"/>
          <w:color w:val="auto"/>
        </w:rPr>
      </w:pPr>
    </w:p>
    <w:p>
      <w:pPr>
        <w:ind w:left="60" w:right="419" w:firstLine="638"/>
        <w:spacing w:after="0" w:line="282" w:lineRule="auto"/>
        <w:tabs>
          <w:tab w:leader="none" w:pos="13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 marketing approval of PRX-102 by either the FDA or the EMA will be conditioned on significant limitations on its use;</w:t>
      </w:r>
    </w:p>
    <w:p>
      <w:pPr>
        <w:spacing w:after="0" w:line="121" w:lineRule="exact"/>
        <w:rPr>
          <w:rFonts w:ascii="Times New Roman" w:cs="Times New Roman" w:eastAsia="Times New Roman" w:hAnsi="Times New Roman"/>
          <w:sz w:val="18"/>
          <w:szCs w:val="18"/>
          <w:color w:val="auto"/>
        </w:rPr>
      </w:pPr>
    </w:p>
    <w:p>
      <w:pPr>
        <w:ind w:left="60" w:right="439" w:firstLine="638"/>
        <w:spacing w:after="0" w:line="282" w:lineRule="auto"/>
        <w:tabs>
          <w:tab w:leader="none" w:pos="13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if approved by the FDA, EMA and other applicable health regulatory authorities, the use of PRX-102 will be commercially successful;</w:t>
      </w:r>
    </w:p>
    <w:p>
      <w:pPr>
        <w:spacing w:after="0" w:line="121" w:lineRule="exact"/>
        <w:rPr>
          <w:rFonts w:ascii="Times New Roman" w:cs="Times New Roman" w:eastAsia="Times New Roman" w:hAnsi="Times New Roman"/>
          <w:sz w:val="18"/>
          <w:szCs w:val="18"/>
          <w:color w:val="auto"/>
        </w:rPr>
      </w:pPr>
    </w:p>
    <w:p>
      <w:pPr>
        <w:ind w:left="60" w:right="579" w:firstLine="638"/>
        <w:spacing w:after="0" w:line="282" w:lineRule="auto"/>
        <w:tabs>
          <w:tab w:leader="none" w:pos="13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that the FDA, EMA or other applicable health regulatory authorities will approve an alternative dosing regimen;</w:t>
      </w:r>
    </w:p>
    <w:p>
      <w:pPr>
        <w:spacing w:after="0" w:line="134" w:lineRule="exact"/>
        <w:rPr>
          <w:rFonts w:ascii="Times New Roman" w:cs="Times New Roman" w:eastAsia="Times New Roman" w:hAnsi="Times New Roman"/>
          <w:sz w:val="18"/>
          <w:szCs w:val="18"/>
          <w:color w:val="auto"/>
        </w:rPr>
      </w:pPr>
    </w:p>
    <w:p>
      <w:pPr>
        <w:ind w:left="60" w:right="239" w:firstLine="638"/>
        <w:spacing w:after="0" w:line="256" w:lineRule="auto"/>
        <w:tabs>
          <w:tab w:leader="none" w:pos="13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delay in the commencement or completion of our preclinical studies and clinical trials, which may be caused by several factors, including: slower than expected rates of patient recruitment; unforeseen safety issues; determination of dosing issues; lack of effectiveness during clinical trials; inability to satisfactorily demonstrate non-inferiority to approved therapies; inability or unwillingness of medical investigators and institutional review boards to follow our clinical protocols; inability to monitor patients adequately during or after treatment; and/or lack of sufficient funding to finance our clinical trials;</w:t>
      </w:r>
    </w:p>
    <w:p>
      <w:pPr>
        <w:spacing w:after="0" w:line="146" w:lineRule="exact"/>
        <w:rPr>
          <w:rFonts w:ascii="Times New Roman" w:cs="Times New Roman" w:eastAsia="Times New Roman" w:hAnsi="Times New Roman"/>
          <w:sz w:val="18"/>
          <w:szCs w:val="18"/>
          <w:color w:val="auto"/>
        </w:rPr>
      </w:pPr>
    </w:p>
    <w:p>
      <w:pPr>
        <w:ind w:left="60" w:right="779" w:firstLine="638"/>
        <w:spacing w:after="0" w:line="282" w:lineRule="auto"/>
        <w:tabs>
          <w:tab w:leader="none" w:pos="13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FDA, EMA, or other foreign regulatory authorities may not accept or approve a marketing application we file for any of our product candidates, and other risks relating to the review process;</w:t>
      </w:r>
    </w:p>
    <w:p>
      <w:pPr>
        <w:spacing w:after="0" w:line="121" w:lineRule="exact"/>
        <w:rPr>
          <w:rFonts w:ascii="Times New Roman" w:cs="Times New Roman" w:eastAsia="Times New Roman" w:hAnsi="Times New Roman"/>
          <w:sz w:val="18"/>
          <w:szCs w:val="18"/>
          <w:color w:val="auto"/>
        </w:rPr>
      </w:pPr>
    </w:p>
    <w:p>
      <w:pPr>
        <w:ind w:left="60" w:right="399" w:firstLine="638"/>
        <w:spacing w:after="0" w:line="282" w:lineRule="auto"/>
        <w:tabs>
          <w:tab w:leader="none" w:pos="13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novel coronavirus disease, or COVID-19, outbreak and variants, which may adversely impact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320040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firstLine="638"/>
        <w:spacing w:after="0" w:line="282" w:lineRule="auto"/>
        <w:tabs>
          <w:tab w:leader="none" w:pos="13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any transactions we may effect in the public or private equity markets to raise capital to finance future research and development activities, general and administrative expenses and working capital;</w:t>
      </w:r>
    </w:p>
    <w:p>
      <w:pPr>
        <w:spacing w:after="0" w:line="134"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evaluation and pursuit of strategic alternatives;</w:t>
      </w:r>
    </w:p>
    <w:p>
      <w:pPr>
        <w:spacing w:after="0" w:line="184" w:lineRule="exact"/>
        <w:rPr>
          <w:rFonts w:ascii="Times New Roman" w:cs="Times New Roman" w:eastAsia="Times New Roman" w:hAnsi="Times New Roman"/>
          <w:sz w:val="18"/>
          <w:szCs w:val="18"/>
          <w:color w:val="auto"/>
        </w:rPr>
      </w:pPr>
    </w:p>
    <w:p>
      <w:pPr>
        <w:ind w:left="60" w:right="159" w:firstLine="638"/>
        <w:spacing w:after="0" w:line="266" w:lineRule="auto"/>
        <w:tabs>
          <w:tab w:leader="none" w:pos="13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results of our clinical trials will not support the applicable claims of safety or efficacy and that our product candidates will not have the desired effects or will be associated with undesirable side effects or other unexpected characteristics;</w:t>
      </w:r>
    </w:p>
    <w:p>
      <w:pPr>
        <w:spacing w:after="0" w:line="135" w:lineRule="exact"/>
        <w:rPr>
          <w:rFonts w:ascii="Times New Roman" w:cs="Times New Roman" w:eastAsia="Times New Roman" w:hAnsi="Times New Roman"/>
          <w:sz w:val="18"/>
          <w:szCs w:val="18"/>
          <w:color w:val="auto"/>
        </w:rPr>
      </w:pPr>
    </w:p>
    <w:p>
      <w:pPr>
        <w:ind w:left="60" w:right="379" w:firstLine="638"/>
        <w:spacing w:after="0" w:line="282" w:lineRule="auto"/>
        <w:tabs>
          <w:tab w:leader="none" w:pos="13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ability to manage our relationship with our collaborators, distributors or partners, including, but not limited to, Pfizer Inc., or Pfizer, and Chiesi Farmaceutici S.p.A., or Chiesi;</w:t>
      </w:r>
    </w:p>
    <w:p>
      <w:pPr>
        <w:spacing w:after="0" w:line="134"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amount and sufficiency of our cash and cash equivalents and short-term bank</w:t>
      </w:r>
    </w:p>
    <w:p>
      <w:pPr>
        <w:spacing w:after="0" w:line="2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w:t>
      </w:r>
    </w:p>
    <w:p>
      <w:pPr>
        <w:spacing w:after="0" w:line="166" w:lineRule="exact"/>
        <w:rPr>
          <w:rFonts w:ascii="Times New Roman" w:cs="Times New Roman" w:eastAsia="Times New Roman" w:hAnsi="Times New Roman"/>
          <w:sz w:val="18"/>
          <w:szCs w:val="18"/>
          <w:color w:val="auto"/>
        </w:rPr>
      </w:pPr>
    </w:p>
    <w:p>
      <w:pPr>
        <w:ind w:left="60" w:right="599" w:firstLine="638"/>
        <w:spacing w:after="0" w:line="282" w:lineRule="auto"/>
        <w:tabs>
          <w:tab w:leader="none" w:pos="13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ability to make scheduled payments of the principal of, to pay interest on or to refinance our outstanding notes or any other indebtedness;</w:t>
      </w:r>
    </w:p>
    <w:p>
      <w:pPr>
        <w:spacing w:after="0" w:line="121"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changes to interim, topline or preliminary data from clinical trials that we announce or</w:t>
      </w:r>
    </w:p>
    <w:p>
      <w:pPr>
        <w:spacing w:after="0" w:line="2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publish;</w:t>
      </w:r>
    </w:p>
    <w:p>
      <w:pPr>
        <w:spacing w:after="0" w:line="179"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significant lawsuits, including stockholder litigation, which is common in the life sciences sector;</w:t>
      </w:r>
    </w:p>
    <w:p>
      <w:pPr>
        <w:spacing w:after="0" w:line="184" w:lineRule="exact"/>
        <w:rPr>
          <w:rFonts w:ascii="Times New Roman" w:cs="Times New Roman" w:eastAsia="Times New Roman" w:hAnsi="Times New Roman"/>
          <w:sz w:val="18"/>
          <w:szCs w:val="18"/>
          <w:color w:val="auto"/>
        </w:rPr>
      </w:pPr>
    </w:p>
    <w:p>
      <w:pPr>
        <w:ind w:left="60" w:right="479" w:firstLine="638"/>
        <w:spacing w:after="0" w:line="282" w:lineRule="auto"/>
        <w:tabs>
          <w:tab w:leader="none" w:pos="13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performance by third-party providers of services and supplies, including without limitation, clinical trial services;</w:t>
      </w:r>
    </w:p>
    <w:p>
      <w:pPr>
        <w:spacing w:after="0" w:line="121" w:lineRule="exact"/>
        <w:rPr>
          <w:rFonts w:ascii="Times New Roman" w:cs="Times New Roman" w:eastAsia="Times New Roman" w:hAnsi="Times New Roman"/>
          <w:sz w:val="18"/>
          <w:szCs w:val="18"/>
          <w:color w:val="auto"/>
        </w:rPr>
      </w:pPr>
    </w:p>
    <w:p>
      <w:pPr>
        <w:ind w:left="60" w:right="679" w:firstLine="638"/>
        <w:spacing w:after="0" w:line="282" w:lineRule="auto"/>
        <w:tabs>
          <w:tab w:leader="none" w:pos="13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our preparation and filing of applications for regulatory approval; the inherent risks and uncertainties in developing drug platforms and products of the type we are developing;</w:t>
      </w:r>
    </w:p>
    <w:p>
      <w:pPr>
        <w:spacing w:after="0" w:line="134"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development of competing therapies and/or technologies by other companies;</w:t>
      </w:r>
    </w:p>
    <w:p>
      <w:pPr>
        <w:spacing w:after="0" w:line="184"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supply of drug product to Pfizer;</w:t>
      </w:r>
    </w:p>
    <w:p>
      <w:pPr>
        <w:spacing w:after="0" w:line="184" w:lineRule="exact"/>
        <w:rPr>
          <w:rFonts w:ascii="Times New Roman" w:cs="Times New Roman" w:eastAsia="Times New Roman" w:hAnsi="Times New Roman"/>
          <w:sz w:val="18"/>
          <w:szCs w:val="18"/>
          <w:color w:val="auto"/>
        </w:rPr>
      </w:pPr>
    </w:p>
    <w:p>
      <w:pPr>
        <w:ind w:left="60" w:right="639" w:firstLine="638"/>
        <w:spacing w:after="0" w:line="282" w:lineRule="auto"/>
        <w:tabs>
          <w:tab w:leader="none" w:pos="13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expectations with respect to the potential commercial value of our product and product candidates;</w:t>
      </w:r>
    </w:p>
    <w:p>
      <w:pPr>
        <w:spacing w:after="0" w:line="134" w:lineRule="exact"/>
        <w:rPr>
          <w:rFonts w:ascii="Times New Roman" w:cs="Times New Roman" w:eastAsia="Times New Roman" w:hAnsi="Times New Roman"/>
          <w:sz w:val="18"/>
          <w:szCs w:val="18"/>
          <w:color w:val="auto"/>
        </w:rPr>
      </w:pPr>
    </w:p>
    <w:p>
      <w:pPr>
        <w:jc w:val="both"/>
        <w:ind w:left="60" w:right="119" w:firstLine="638"/>
        <w:spacing w:after="0" w:line="266" w:lineRule="auto"/>
        <w:tabs>
          <w:tab w:leader="none" w:pos="13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compliance by Fundação Oswaldo Cruz, or Fiocruz, an arm of the Brazilian Ministry of Health, or the Brazilian MoH, with its purchase obligations under our supply and technology transfer agreement, which may have a material adverse effect on us and may also result in the termination of such agreement;</w:t>
      </w:r>
    </w:p>
    <w:p>
      <w:pPr>
        <w:spacing w:after="0" w:line="135"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risks, and risks of securing adequate levels of related insurance coverage;</w:t>
      </w:r>
    </w:p>
    <w:p>
      <w:pPr>
        <w:spacing w:after="0" w:line="184" w:lineRule="exact"/>
        <w:rPr>
          <w:rFonts w:ascii="Times New Roman" w:cs="Times New Roman" w:eastAsia="Times New Roman" w:hAnsi="Times New Roman"/>
          <w:sz w:val="18"/>
          <w:szCs w:val="18"/>
          <w:color w:val="auto"/>
        </w:rPr>
      </w:pPr>
    </w:p>
    <w:p>
      <w:pPr>
        <w:jc w:val="both"/>
        <w:ind w:left="60" w:right="99" w:firstLine="638"/>
        <w:spacing w:after="0" w:line="266" w:lineRule="auto"/>
        <w:tabs>
          <w:tab w:leader="none" w:pos="13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infringing a third-party’s patents or other intellectual property rights and the uncertainty of obtaining patents covering our products and processes and successfully enforcing our intellectual property rights against third-parties;</w:t>
      </w:r>
    </w:p>
    <w:p>
      <w:pPr>
        <w:spacing w:after="0" w:line="148"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changes in healthcare laws, rules and regulations in the United States or elsewhere;</w:t>
      </w:r>
    </w:p>
    <w:p>
      <w:pPr>
        <w:spacing w:after="0" w:line="184" w:lineRule="exact"/>
        <w:rPr>
          <w:rFonts w:ascii="Times New Roman" w:cs="Times New Roman" w:eastAsia="Times New Roman" w:hAnsi="Times New Roman"/>
          <w:sz w:val="18"/>
          <w:szCs w:val="18"/>
          <w:color w:val="auto"/>
        </w:rPr>
      </w:pPr>
    </w:p>
    <w:p>
      <w:pPr>
        <w:ind w:left="60" w:right="179" w:firstLine="638"/>
        <w:spacing w:after="0" w:line="266" w:lineRule="auto"/>
        <w:tabs>
          <w:tab w:leader="none" w:pos="13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the possible disruption of our operations due to terrorist activities and armed conflict, including as a result of the disruption of the operations of certain regulatory authorities and of certain of our suppliers, collaborative partners, licensees, clinical trial sites, distributors and customers.</w:t>
      </w:r>
    </w:p>
    <w:p>
      <w:pPr>
        <w:spacing w:after="0" w:line="135" w:lineRule="exact"/>
        <w:rPr>
          <w:sz w:val="20"/>
          <w:szCs w:val="20"/>
          <w:color w:val="auto"/>
        </w:rPr>
      </w:pPr>
    </w:p>
    <w:p>
      <w:pPr>
        <w:jc w:val="both"/>
        <w:ind w:left="60" w:right="399"/>
        <w:spacing w:after="0" w:line="312" w:lineRule="auto"/>
        <w:rPr>
          <w:sz w:val="20"/>
          <w:szCs w:val="20"/>
          <w:color w:val="auto"/>
        </w:rPr>
      </w:pPr>
      <w:r>
        <w:rPr>
          <w:rFonts w:ascii="Times New Roman" w:cs="Times New Roman" w:eastAsia="Times New Roman" w:hAnsi="Times New Roman"/>
          <w:sz w:val="17"/>
          <w:szCs w:val="17"/>
          <w:color w:val="auto"/>
        </w:rPr>
        <w:t>Given these uncertainties, you should not place undue reliance on these forward-looking statements. Companies in the pharmaceutical and biotechnology industries have suffered significant setbacks in advanced or late-stage clinical trials,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even after obtaining promising earlier trial results or preliminary findings for such clinical trials. Even if favorable testing data is generated from clinical trials of a drug product, the FDA or foreign regulatory authorities may not accept or approve a marketing application filed by a pharmaceutical or biotechnology company for the drug product.</w:t>
      </w:r>
    </w:p>
    <w:p>
      <w:pPr>
        <w:spacing w:after="0" w:line="149" w:lineRule="exact"/>
        <w:rPr>
          <w:sz w:val="20"/>
          <w:szCs w:val="20"/>
          <w:color w:val="auto"/>
        </w:rPr>
      </w:pPr>
    </w:p>
    <w:p>
      <w:pPr>
        <w:ind w:left="60" w:right="159"/>
        <w:spacing w:after="0" w:line="312" w:lineRule="auto"/>
        <w:rPr>
          <w:sz w:val="20"/>
          <w:szCs w:val="20"/>
          <w:color w:val="auto"/>
        </w:rPr>
      </w:pPr>
      <w:r>
        <w:rPr>
          <w:rFonts w:ascii="Times New Roman" w:cs="Times New Roman" w:eastAsia="Times New Roman" w:hAnsi="Times New Roman"/>
          <w:sz w:val="17"/>
          <w:szCs w:val="17"/>
          <w:color w:val="auto"/>
        </w:rPr>
        <w:t>These and other risks and uncertainties are detailed under the “Risk Factors” section of this Annual Report and are described from time to time in the reports we file with the U.S. Securities and Exchange Commission, or the Commission.</w:t>
      </w: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ind w:left="60" w:right="299"/>
        <w:spacing w:after="0" w:line="242" w:lineRule="auto"/>
        <w:rPr>
          <w:sz w:val="20"/>
          <w:szCs w:val="20"/>
          <w:color w:val="auto"/>
        </w:rPr>
      </w:pPr>
      <w:r>
        <w:rPr>
          <w:rFonts w:ascii="Times New Roman" w:cs="Times New Roman" w:eastAsia="Times New Roman" w:hAnsi="Times New Roman"/>
          <w:sz w:val="17"/>
          <w:szCs w:val="17"/>
          <w:color w:val="auto"/>
        </w:rPr>
        <w:t>We are a biopharmaceutical company focused on the development, production and commercialization of recombinant therapeutic proteins produced by our proprietary ProCellEx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plant cell-based protein expression system. We are the first and only company to gain FDA approval of a protein produced through plant cell-based expression in suspension. Our unique expression system represents a new method for developing recombinant proteins in an industrial-scale manner.</w:t>
      </w:r>
    </w:p>
    <w:p>
      <w:pPr>
        <w:spacing w:after="0" w:line="158"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Our strategic focus is to develop tailored complex recombinant therapeutic proteins primarily produced through ProCellEx while genetically engineering and/or chemically modifying the proteins pre- and/or post-production. We intend such engineering and modifications to provide added clinical benefits by improving the biological characteristics (e.g., glycosylation, half-life, immunogenicity) of the therapeutic protein.</w:t>
      </w:r>
    </w:p>
    <w:p>
      <w:pPr>
        <w:spacing w:after="0" w:line="145" w:lineRule="exact"/>
        <w:rPr>
          <w:sz w:val="20"/>
          <w:szCs w:val="20"/>
          <w:color w:val="auto"/>
        </w:rPr>
      </w:pPr>
    </w:p>
    <w:p>
      <w:pPr>
        <w:ind w:left="60" w:right="79"/>
        <w:spacing w:after="0" w:line="241" w:lineRule="auto"/>
        <w:rPr>
          <w:sz w:val="20"/>
          <w:szCs w:val="20"/>
          <w:color w:val="auto"/>
        </w:rPr>
      </w:pPr>
      <w:r>
        <w:rPr>
          <w:rFonts w:ascii="Times New Roman" w:cs="Times New Roman" w:eastAsia="Times New Roman" w:hAnsi="Times New Roman"/>
          <w:sz w:val="18"/>
          <w:szCs w:val="18"/>
          <w:color w:val="auto"/>
        </w:rPr>
        <w:t>Our proprietary ProCellEx platform is being used to manufacture our approved and marketed product, Elelyso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for the treatment of Gaucher disease. We are also developing, via ProCellEx, a pipeline of products. The phase III clinical program for PRX-102, our investigational new drug for the potential treatment of Fabry disease is complete and a BLA and an MAA are currently under review by the FDA and the EMA, respectively. On February 23, 2023, the EMA’s Committee for Medicinal Products for Human Use, or CHMP, adopted a positive opinion, recommending marketing authorization for PRX-102. The CHMP opinion is now referred for final action to the European Commission, or EC. A final EC decision on the MAA is expected in the beginning of May 2023. The FDA has indicated that the PRX-102 BLA was considered a complete, class 2 response and set a PDUFA action date of May 9, 2023.</w:t>
      </w:r>
    </w:p>
    <w:p>
      <w:pPr>
        <w:spacing w:after="0" w:line="156"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In addition, we are developing uricase, or PRX-115, for the treatment of severe gout, Long Acting (LA) DNase I, or PRX-119, for the treatment of NETs-related diseases, and a number of other product candidates that are in early and preclinical development.</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Product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139700</wp:posOffset>
            </wp:positionV>
            <wp:extent cx="5554980" cy="11226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54980" cy="112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ProCellEx Platform</w:t>
      </w:r>
    </w:p>
    <w:p>
      <w:pPr>
        <w:spacing w:after="0" w:line="189" w:lineRule="exact"/>
        <w:rPr>
          <w:sz w:val="20"/>
          <w:szCs w:val="20"/>
          <w:color w:val="auto"/>
        </w:rPr>
      </w:pPr>
    </w:p>
    <w:p>
      <w:pPr>
        <w:ind w:left="60" w:right="199"/>
        <w:spacing w:after="0" w:line="277" w:lineRule="auto"/>
        <w:rPr>
          <w:sz w:val="20"/>
          <w:szCs w:val="20"/>
          <w:color w:val="auto"/>
        </w:rPr>
      </w:pPr>
      <w:r>
        <w:rPr>
          <w:rFonts w:ascii="Times New Roman" w:cs="Times New Roman" w:eastAsia="Times New Roman" w:hAnsi="Times New Roman"/>
          <w:sz w:val="17"/>
          <w:szCs w:val="17"/>
          <w:color w:val="auto"/>
        </w:rPr>
        <w:t>ProCellEx is our proprietary platform used to produce and manufacture recombinant proteins through plant cell-based expressions in suspension. ProCellEx consists of a comprehensive set of proprietary technologies and capabilities, including the use of advanced genetic engineering and plant cell culture technology, enabling us to produce complex, proprietary, and biologically equivalent proteins for a variety of human diseases. Our protein expression system facilitates the creation and selection of high-expressing, genetically-stable cell lines capable of expressing recombinant proteins.</w:t>
      </w:r>
    </w:p>
    <w:p>
      <w:pPr>
        <w:spacing w:after="0" w:line="141"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Our technology allows for many unique advantages, including: biologic optimization; an ability to handle complex protein expressions; flexible manufacturing with improvements through efficiencies, enhancements and/or rapid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horizontal scale-ups; a simplified production process; elimination of the risk of viral contaminations from mammalian components; and intellectual property advantages.</w:t>
      </w:r>
    </w:p>
    <w:p>
      <w:pPr>
        <w:spacing w:after="0" w:line="135"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We developed ProCellEx based on our plant cell culture technology for the development, expression and manufacturing of recombinant proteins, which are the essential foundation of modern biotechnology. We develop new, recombinant therapeutic proteins by using the natural capability of agrobacterium to transfer a DNA fragment into the plant chromosome, allowing the genome of the plant cell to code for specific proteins of interest. The agrobacterium-mediated transformed cells are then able to produce specific proteins, which are extracted and purified and can be used as therapies to treat a variety of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104775</wp:posOffset>
            </wp:positionV>
            <wp:extent cx="5554980" cy="1680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54980"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ProCellEx technology can be utilized to express complex therapeutic proteins belonging to different drug classes, such as enzymes, hormones, monoclonal antibodies, cytokines and vaccines. The entire protein expression process, from initial nucleotide cloning to large-scale production of the protein product, occurs under Current Good Manufacturing Practice, or cGMP-, compliant, controlled processes. Our plant cell culture technology uses cells, such as carrot and tobacco (BY-2) cells, which undergo advanced genetic engineering and/or chemical modifications, and are grown on an industrial scale in a disposable, flexible bioreactor system. Our system does not involve mammalian or animal-derived components or transgenic field-grown or whole plants at any point in the production process.</w:t>
      </w:r>
    </w:p>
    <w:p>
      <w:pPr>
        <w:spacing w:after="0" w:line="162"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Cell growth, from initiating scale-up steps from a cell-bank through large-scale production takes place in a clean-room environment in flexible, sterile, custom-designed polyethylene bioreactors, and does not require the use of large stainless-steel bioreactors commonly used in mammalian-based systems for recombinant protein production. The ProCellEx reactors are easy to use and maintain, allowing for rapid horizontal scale-up and do not involve the risk of mammalian viral contamination. Our bioreactors are well-suited for plant cell growth using a simple, inexpensive, chemically defined growth medium. The reactors, which are custom-designed and optimized for plant cell cultures, require low initial capital investment and are rapidly scalable at a low cost.</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Highlights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Elelyso</w:t>
      </w:r>
      <w:r>
        <w:rPr>
          <w:rFonts w:ascii="Times New Roman" w:cs="Times New Roman" w:eastAsia="Times New Roman" w:hAnsi="Times New Roman"/>
          <w:sz w:val="26"/>
          <w:szCs w:val="26"/>
          <w:i w:val="1"/>
          <w:iCs w:val="1"/>
          <w:color w:val="auto"/>
          <w:vertAlign w:val="superscript"/>
        </w:rPr>
        <w:t>®</w:t>
      </w:r>
    </w:p>
    <w:p>
      <w:pPr>
        <w:spacing w:after="0" w:line="116" w:lineRule="exact"/>
        <w:rPr>
          <w:sz w:val="20"/>
          <w:szCs w:val="20"/>
          <w:color w:val="auto"/>
        </w:rPr>
      </w:pPr>
    </w:p>
    <w:p>
      <w:pPr>
        <w:ind w:left="60" w:right="59"/>
        <w:spacing w:after="0" w:line="241" w:lineRule="auto"/>
        <w:rPr>
          <w:sz w:val="20"/>
          <w:szCs w:val="20"/>
          <w:color w:val="auto"/>
        </w:rPr>
      </w:pPr>
      <w:r>
        <w:rPr>
          <w:rFonts w:ascii="Times New Roman" w:cs="Times New Roman" w:eastAsia="Times New Roman" w:hAnsi="Times New Roman"/>
          <w:sz w:val="18"/>
          <w:szCs w:val="18"/>
          <w:color w:val="auto"/>
        </w:rPr>
        <w:t>Elelyso for the treatment of Gaucher Disease is currently approved and marketed in 23 countries including the United States, Australia, Canada, Israel, Brazil, Russia and Turkey. In June 2012, CHMP issued a positive opinion regarding the benefit of Elelyso but did not immediately grant marketing authorization because of the ten-year market exclusivity granted to Vpriv</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(Takeda Shire) in August 2010 for the same condition, which was extended for an additional two years, and expired in August 2022. Elelyso is marketed globally, excluding Brazil, through an exclusive licensing agreement with Pfizer. We maintain the distribution rights to Elelyso in Brazil, where it is currently marketed as BioManguinhos alfataliglicerase, through the Supply and Technology Transfer Agreement, or the Brazil Agreement, we entered into on June 18, 2013, with Fiocruz, an arm of the Brazilian MoH. In 2022, we generated $9.5 million from sales of BioManguinhos alfataliglicerase to the Brazilian MoH.</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Pegunigalsidase alfa (PRX</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102)</w:t>
      </w:r>
    </w:p>
    <w:p>
      <w:pPr>
        <w:spacing w:after="0" w:line="200" w:lineRule="exact"/>
        <w:rPr>
          <w:sz w:val="20"/>
          <w:szCs w:val="20"/>
          <w:color w:val="auto"/>
        </w:rPr>
      </w:pPr>
    </w:p>
    <w:p>
      <w:pPr>
        <w:ind w:left="60" w:right="79"/>
        <w:spacing w:after="0" w:line="227" w:lineRule="auto"/>
        <w:rPr>
          <w:sz w:val="20"/>
          <w:szCs w:val="20"/>
          <w:color w:val="auto"/>
        </w:rPr>
      </w:pPr>
      <w:r>
        <w:rPr>
          <w:rFonts w:ascii="Times New Roman" w:cs="Times New Roman" w:eastAsia="Times New Roman" w:hAnsi="Times New Roman"/>
          <w:sz w:val="18"/>
          <w:szCs w:val="18"/>
          <w:color w:val="auto"/>
        </w:rPr>
        <w:t>PRX-102, our lead product candidate, is a late-stage clinical asset in development for the treatment of Fabry disease. We expect PRX-102 to be the primary subject of our development efforts in the short-term. It is our proprietary, investigational, plant cell culture expressed enzyme, and a chemically modified stabilized version of, the recombinant α-Galactosidase-A protein, a lysosomal enzyme, under development for the treatment of Fabry disease. Fabry disease is a serious life-threatening rare genetic disorder. Fabry patients lack or have low levels of α-galactosidase-A resulting in the progressive accumulation of abnormal deposits of a fatty substance called globotriaosylceramide, or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in blood vessel walls throughout their body. The abnormal storage of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increases with time and, as a result,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accumulates, primarily in the blood vessel walls. The ultimate consequences of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deposition range from episodes of pain and impaired peripheral sensation to end-organ failure, particularly of the kidneys, but also of the heart and the cerebrovascular system. Fabry disease occurs in one person per 40,000 to 60,000 males.</w:t>
      </w:r>
    </w:p>
    <w:p>
      <w:pPr>
        <w:spacing w:after="0" w:line="155"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 xml:space="preserve">Our phase III clinical program includes three separate clinical trials which are referred to as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the </w:t>
      </w:r>
      <w:r>
        <w:rPr>
          <w:rFonts w:ascii="Times New Roman" w:cs="Times New Roman" w:eastAsia="Times New Roman" w:hAnsi="Times New Roman"/>
          <w:sz w:val="18"/>
          <w:szCs w:val="18"/>
          <w:i w:val="1"/>
          <w:iCs w:val="1"/>
          <w:color w:val="auto"/>
        </w:rPr>
        <w:t xml:space="preserve">BRIDGE </w:t>
      </w:r>
      <w:r>
        <w:rPr>
          <w:rFonts w:ascii="Times New Roman" w:cs="Times New Roman" w:eastAsia="Times New Roman" w:hAnsi="Times New Roman"/>
          <w:sz w:val="18"/>
          <w:szCs w:val="18"/>
          <w:color w:val="auto"/>
        </w:rPr>
        <w:t>study and the</w:t>
      </w:r>
      <w:r>
        <w:rPr>
          <w:rFonts w:ascii="Times New Roman" w:cs="Times New Roman" w:eastAsia="Times New Roman" w:hAnsi="Times New Roman"/>
          <w:sz w:val="18"/>
          <w:szCs w:val="18"/>
          <w:i w:val="1"/>
          <w:iCs w:val="1"/>
          <w:color w:val="auto"/>
        </w:rPr>
        <w:t xml:space="preserve"> BRIGHT </w:t>
      </w:r>
      <w:r>
        <w:rPr>
          <w:rFonts w:ascii="Times New Roman" w:cs="Times New Roman" w:eastAsia="Times New Roman" w:hAnsi="Times New Roman"/>
          <w:sz w:val="18"/>
          <w:szCs w:val="18"/>
          <w:color w:val="auto"/>
        </w:rPr>
        <w:t>study, all of which have been completed. In addition, the phase III clinical program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two extension studies in which subjects that participated in our phase I/II clinical trials and our phase III clinical trials may enroll and continue to be treated with PRX-102.</w:t>
      </w:r>
    </w:p>
    <w:p>
      <w:pPr>
        <w:spacing w:after="0" w:line="141"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 xml:space="preserve">On November 9, 2022, we, together with Chiesi, resubmitted to the FDA a BLA for PRX-102 for the potential treatment of adult patients with Fabry disease. The initial BLA for PRX-102 was submitted to the FDA on May 27, 2020 under the FDA’s Accelerated Approval pathway, and the submission was subsequently accepted by the FDA and granted Priority Review designation. However, in April 2021, the FDA issued a Complete Response Letter, or a CRL, in response to the initial BLA. In preparation for the BLA resubmission, we and Chiesi participated in a Type A (End of Review) meeting with the FDA on September 9, 2021. As part of the meeting minutes provided by the FDA, which included the preliminary comments and meeting discussion, the FDA, in principle, agreed that the data package proposed to the FDA for a BLA resubmission has the potential to support a traditional approval of PRX-102 for the treatment of Fabry disease. The data package in the BLA resubmission, given the change in the regulatory landscape in the United States, includes the final two-year analyses of our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and long-term data from our open-label extension study of PRX-102 in adult patients treated with a 2 mg/kg every four weeks dosage of PRX-102.</w:t>
      </w:r>
    </w:p>
    <w:p>
      <w:pPr>
        <w:spacing w:after="0" w:line="165"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On February 7, 2022, we, together with Chiesi, submitted an MAA for PRX-102 to the EMA which was subsequently validated by the EMA. The submission was made after the October 8, 2021 meeting we held, together with Chiesi, with the Rapporteur and Co-Rapporteur of the EMA regarding PRX-102.</w:t>
      </w:r>
    </w:p>
    <w:p>
      <w:pPr>
        <w:spacing w:after="0" w:line="135"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 xml:space="preserve">The MAA submission includes a comprehensive set of preclinical, clinical and manufacturing data compiled from our completed and ongoing clinical studies evaluating PRX-102 as a potential alternative treatment for adult patients with Fabry disease. The submission was supported by the 12–month interim data analysis generated from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Data generated from our completed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our phase I/II clinical trial in naive or untreated patients, and from our extension studies with 1 mg/kg every two weeks were also included in the submission. In addition, the MAA includes data from our completed 12–month switch–over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in adult patients with Fabry disease treated with a 2 mg/kg every four weeks dosage to support an additional potential treatment regimen for Fabry patients. As part of the EMA review process, Chiesi and the Company received the Day 120 list of questions in June 2022, and the full response package thereto was submitted to the EMA in September 2022 (following a 3-month clock-stop period). An essential portion of the response included the submission of the final analysis of the two-year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(the final Clinical Study Report), and an interim analysis of our long-term, open-label extension study of PRX-102 in adult patients with Fabry disease treated with the 2 mg/kg every four weeks dosage.</w:t>
      </w:r>
    </w:p>
    <w:p>
      <w:pPr>
        <w:spacing w:after="0" w:line="149" w:lineRule="exact"/>
        <w:rPr>
          <w:sz w:val="20"/>
          <w:szCs w:val="20"/>
          <w:color w:val="auto"/>
        </w:rPr>
      </w:pPr>
    </w:p>
    <w:p>
      <w:pPr>
        <w:ind w:left="60" w:right="199"/>
        <w:spacing w:after="0" w:line="257" w:lineRule="auto"/>
        <w:rPr>
          <w:sz w:val="20"/>
          <w:szCs w:val="20"/>
          <w:color w:val="auto"/>
        </w:rPr>
      </w:pPr>
      <w:r>
        <w:rPr>
          <w:rFonts w:ascii="Times New Roman" w:cs="Times New Roman" w:eastAsia="Times New Roman" w:hAnsi="Times New Roman"/>
          <w:sz w:val="18"/>
          <w:szCs w:val="18"/>
          <w:color w:val="auto"/>
        </w:rPr>
        <w:t>We have entered into two exclusive global licensing and supply agreements for PRX-102. On October 19, 2017, Protalix Ltd., our wholly-owned subsidiary, entered into an Exclusive License and Supply Agreement with Chiesi, or the Chiesi Ex-US Agreement, pursuant to which Chiesi was granted an exclusive license for all markets outside of the United States to commercialize PRX-102. On July 23, 2018, Protalix Ltd. entered into an Exclusive License and Supply Agreement with Chiesi, or the Chiesi US Agreement, with respect to the commercialization of PRX-102 in the United States.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PRX-115</w:t>
      </w:r>
    </w:p>
    <w:p>
      <w:pPr>
        <w:spacing w:after="0" w:line="200"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PRX-115 is our plant cell-expressed recombinant PEGylated Uricase (urate oxidase) – a chemically modified enzyme under development for the potential treatment of severe gout. Gout is the most common inflammatory arthritis in the United States, affecting an estimated 9.2 million adults. An estimated approximately 2% of the gout population is considered to have chronic refractory disease. Gout is caused by factors that elevate serum uric acid, or sUA, levels, which may include diet or genetic predisposition and environmental factors leading to hyperuricemia and tissue deposition of monosodium urate crystals, tophi, in joints and soft tissues, causing acute and chronic inflammation, and is characterized by recurrent flares. Gout flares lead to substantial morbidity by causing severe pain, reduced quality of life, decreased physical function, increased healthcare costs, and lost economic productivity. Furthermore, gout is strongly associated with metabolic syndromes, and may contribute to myocardial infarction, type 2 diabetes mellitus, chronic kidney disease, or CKD, and premature mortality.</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PRX-119</w:t>
      </w:r>
    </w:p>
    <w:p>
      <w:pPr>
        <w:spacing w:after="0" w:line="187"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PRX-119 is our plant cell-expressed PEGylated recombinant human DNase I product candidate which we are designing to have an elongated half-life in the circulation for the potential treatment of NETs-related diseases. NETs, Neutrophil extracellular traps, are web-like structures, released by activated neutrophils that trap and kill a variety of microorganisms. NETs are composed of DNA, histones, antimicrobial and pro-inflammatory proteins. Excessive formation or ineffective clearance of NETs can cause different pathological effects. NETs formation has been observed in various autoimmune, inflammatory and fibrotic conditions, diverse forms of thrombosis, cancer and metastasis. According to scientific literature, animal studies have demonstrated that DNase I treatment reduce NETs toxicity. Our proprietary modified DNase I may potentially enable effective treatment of acute and chronic conditions.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2022 and Recent Company Developments</w:t>
      </w:r>
    </w:p>
    <w:p>
      <w:pPr>
        <w:spacing w:after="0" w:line="20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Recent Developments</w:t>
      </w:r>
    </w:p>
    <w:p>
      <w:pPr>
        <w:spacing w:after="0" w:line="225" w:lineRule="exact"/>
        <w:rPr>
          <w:sz w:val="20"/>
          <w:szCs w:val="20"/>
          <w:color w:val="auto"/>
        </w:rPr>
      </w:pPr>
    </w:p>
    <w:p>
      <w:pPr>
        <w:ind w:left="60" w:right="179" w:firstLine="638"/>
        <w:spacing w:after="0" w:line="267" w:lineRule="auto"/>
        <w:tabs>
          <w:tab w:leader="none" w:pos="103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21, 2023, we announced our participation in the 19th Annual WORLD</w:t>
      </w:r>
      <w:r>
        <w:rPr>
          <w:rFonts w:ascii="Times New Roman" w:cs="Times New Roman" w:eastAsia="Times New Roman" w:hAnsi="Times New Roman"/>
          <w:sz w:val="18"/>
          <w:szCs w:val="18"/>
          <w:i w:val="1"/>
          <w:iCs w:val="1"/>
          <w:color w:val="auto"/>
        </w:rPr>
        <w:t>Symposium</w:t>
      </w:r>
      <w:r>
        <w:rPr>
          <w:rFonts w:ascii="Times New Roman" w:cs="Times New Roman" w:eastAsia="Times New Roman" w:hAnsi="Times New Roman"/>
          <w:sz w:val="18"/>
          <w:szCs w:val="18"/>
          <w:color w:val="auto"/>
        </w:rPr>
        <w:t>™ 2023, which took place on February 22-26, 2023 at the Hilton Orlando in Orlando, Florida. We hosted an informational booth at the symposium.</w:t>
      </w:r>
    </w:p>
    <w:p>
      <w:pPr>
        <w:spacing w:after="0" w:line="134" w:lineRule="exact"/>
        <w:rPr>
          <w:rFonts w:ascii="Times New Roman" w:cs="Times New Roman" w:eastAsia="Times New Roman" w:hAnsi="Times New Roman"/>
          <w:sz w:val="18"/>
          <w:szCs w:val="18"/>
          <w:color w:val="auto"/>
        </w:rPr>
      </w:pPr>
    </w:p>
    <w:p>
      <w:pPr>
        <w:ind w:left="60" w:right="279" w:firstLine="638"/>
        <w:spacing w:after="0" w:line="266" w:lineRule="auto"/>
        <w:tabs>
          <w:tab w:leader="none" w:pos="103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24, 2023, we, together with Chiesi, announced that the CHMP has adopted a positive opinion, recommending marketing authorization for PRX-102. The CHMP opinion is now referred for final action to the EC. A final EC decision on the MAA is expected in the beginning of May 2023.</w:t>
      </w:r>
    </w:p>
    <w:p>
      <w:pPr>
        <w:spacing w:after="0" w:line="13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2022 Developments</w:t>
      </w:r>
    </w:p>
    <w:p>
      <w:pPr>
        <w:spacing w:after="0" w:line="227" w:lineRule="exact"/>
        <w:rPr>
          <w:sz w:val="20"/>
          <w:szCs w:val="20"/>
          <w:color w:val="auto"/>
        </w:rPr>
      </w:pPr>
    </w:p>
    <w:p>
      <w:pPr>
        <w:ind w:left="60" w:right="139" w:firstLine="638"/>
        <w:spacing w:after="0" w:line="258" w:lineRule="auto"/>
        <w:tabs>
          <w:tab w:leader="none" w:pos="10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24, 2022, we, together with Chiesi, announced that the PRX-102 MAA was submitted to the EMA following the October 8, 2021 meeting we, together with Chiesi, held with the Rapporteur and Co-Rapporteur of the EMA regarding PRX-102, and that the submission was subsequently validated by the EMA. At the meeting, we and Chiesi discussed the scope of the anticipated MAA submission for the European Union, and the Rapporteur and Co-Rapporteur were generally supportive of a planned MAA submission.</w:t>
      </w:r>
    </w:p>
    <w:p>
      <w:pPr>
        <w:spacing w:after="0" w:line="154" w:lineRule="exact"/>
        <w:rPr>
          <w:rFonts w:ascii="Times New Roman" w:cs="Times New Roman" w:eastAsia="Times New Roman" w:hAnsi="Times New Roman"/>
          <w:sz w:val="18"/>
          <w:szCs w:val="18"/>
          <w:color w:val="auto"/>
        </w:rPr>
      </w:pPr>
    </w:p>
    <w:p>
      <w:pPr>
        <w:ind w:left="60" w:right="199" w:firstLine="638"/>
        <w:spacing w:after="0" w:line="254" w:lineRule="auto"/>
        <w:tabs>
          <w:tab w:leader="none" w:pos="103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On March 18, 2022, we, together with Chiesi, announced final results from our </w:t>
      </w:r>
      <w:r>
        <w:rPr>
          <w:rFonts w:ascii="Times New Roman" w:cs="Times New Roman" w:eastAsia="Times New Roman" w:hAnsi="Times New Roman"/>
          <w:sz w:val="17"/>
          <w:szCs w:val="17"/>
          <w:i w:val="1"/>
          <w:iCs w:val="1"/>
          <w:color w:val="auto"/>
        </w:rPr>
        <w:t>BRIGHT</w:t>
      </w:r>
      <w:r>
        <w:rPr>
          <w:rFonts w:ascii="Times New Roman" w:cs="Times New Roman" w:eastAsia="Times New Roman" w:hAnsi="Times New Roman"/>
          <w:sz w:val="17"/>
          <w:szCs w:val="17"/>
          <w:color w:val="auto"/>
        </w:rPr>
        <w:t xml:space="preserve"> study, a phase III clinical trial of PRX-102 for the treatment of Fabry disease designed to evaluate the safety, efficacy and pharmacokinetics of PRX-102 treatment, 2 mg/kg every four weeks, in up to 30 patients with Fabry disease previously treated with a commercially available ERT (Replagal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(agalsidase alfa; marketed by Takeda Pharmaceutical Company Limited (after the acquisition of Shire Plc)) or Fabrazyme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(agalsidase beta; marketed by Sanofi after the acquisition of Genzyme)).</w:t>
      </w:r>
    </w:p>
    <w:p>
      <w:pPr>
        <w:spacing w:after="0" w:line="26" w:lineRule="exact"/>
        <w:rPr>
          <w:rFonts w:ascii="Times New Roman" w:cs="Times New Roman" w:eastAsia="Times New Roman" w:hAnsi="Times New Roman"/>
          <w:sz w:val="17"/>
          <w:szCs w:val="17"/>
          <w:color w:val="auto"/>
        </w:rPr>
      </w:pPr>
    </w:p>
    <w:p>
      <w:pPr>
        <w:ind w:left="60" w:right="279" w:firstLine="638"/>
        <w:spacing w:after="0" w:line="315" w:lineRule="auto"/>
        <w:tabs>
          <w:tab w:leader="none" w:pos="103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On April 4, 2022, we, together with Chiesi, announced topline results from the </w:t>
      </w:r>
      <w:r>
        <w:rPr>
          <w:rFonts w:ascii="Times New Roman" w:cs="Times New Roman" w:eastAsia="Times New Roman" w:hAnsi="Times New Roman"/>
          <w:sz w:val="17"/>
          <w:szCs w:val="17"/>
          <w:i w:val="1"/>
          <w:iCs w:val="1"/>
          <w:color w:val="auto"/>
        </w:rPr>
        <w:t>BALANCE</w:t>
      </w:r>
      <w:r>
        <w:rPr>
          <w:rFonts w:ascii="Times New Roman" w:cs="Times New Roman" w:eastAsia="Times New Roman" w:hAnsi="Times New Roman"/>
          <w:sz w:val="17"/>
          <w:szCs w:val="17"/>
          <w:color w:val="auto"/>
        </w:rPr>
        <w:t xml:space="preserve"> study evaluating PRX-102, 1 mg/kg, administered every two weeks, compared to agalsidase beta for the treatment of Fabry disease.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38"/>
        <w:spacing w:after="0" w:line="254" w:lineRule="auto"/>
        <w:tabs>
          <w:tab w:leader="none" w:pos="1032" w:val="left"/>
        </w:tabs>
        <w:numPr>
          <w:ilvl w:val="0"/>
          <w:numId w:val="7"/>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On June 30, 2022, we held our Annual Meeting at which our stockholders: (1) elected the six persons nominated by our Board of Directors to serve as directors of our Company; (2) approved, on a non-binding, advisory basis, the compensation of our named executive officers; (3) adopted the amendments to the Plan to increase the number </w:t>
      </w:r>
      <w:hyperlink r:id="rId24">
        <w:r>
          <w:rPr>
            <w:rFonts w:ascii="Times New Roman" w:cs="Times New Roman" w:eastAsia="Times New Roman" w:hAnsi="Times New Roman"/>
            <w:sz w:val="18"/>
            <w:szCs w:val="18"/>
            <w:color w:val="auto"/>
          </w:rPr>
          <w:t xml:space="preserve">of shares of common stock available under our </w:t>
        </w:r>
        <w:r>
          <w:rPr>
            <w:rFonts w:ascii="Times New Roman" w:cs="Times New Roman" w:eastAsia="Times New Roman" w:hAnsi="Times New Roman"/>
            <w:sz w:val="18"/>
            <w:szCs w:val="18"/>
            <w:u w:val="single" w:color="auto"/>
            <w:color w:val="0000EE"/>
          </w:rPr>
          <w:t>Amended and Restated Pro BioTherapeutics, Inc. 2006 Stock Incentive</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EE"/>
          </w:rPr>
          <w:t>Plan, as amended</w:t>
        </w:r>
        <w:r>
          <w:rPr>
            <w:rFonts w:ascii="Times New Roman" w:cs="Times New Roman" w:eastAsia="Times New Roman" w:hAnsi="Times New Roman"/>
            <w:sz w:val="18"/>
            <w:szCs w:val="18"/>
            <w:color w:val="000000"/>
          </w:rPr>
          <w:t>, from 5,725,171 shares to 8,475,171 shares and to amend certain other terms of the Plan; (4) approved</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Charter Amendment; and (5) ratified the appointment of Kesselman &amp; Kesselman, Certified Public Accountants (Isr.), a member of PricewaterhouseCoopers International Limited, as our independent registered public accounting firm for the fiscal year ending December 31, 2022.</w:t>
      </w:r>
    </w:p>
    <w:p>
      <w:pPr>
        <w:spacing w:after="0" w:line="164" w:lineRule="exact"/>
        <w:rPr>
          <w:rFonts w:ascii="Times New Roman" w:cs="Times New Roman" w:eastAsia="Times New Roman" w:hAnsi="Times New Roman"/>
          <w:sz w:val="18"/>
          <w:szCs w:val="18"/>
          <w:color w:val="0000EE"/>
        </w:rPr>
      </w:pPr>
    </w:p>
    <w:p>
      <w:pPr>
        <w:ind w:left="60" w:right="519" w:firstLine="638"/>
        <w:spacing w:after="0" w:line="282" w:lineRule="auto"/>
        <w:tabs>
          <w:tab w:leader="none" w:pos="103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30, 2022, Shmuel “Muli” Ben Zvi, Ph.D. joined our Board of Directors. Dr. Ben Zvi is the new Chairman of the Audit Committee and is also serving on the Compensation Committee.</w:t>
      </w:r>
    </w:p>
    <w:p>
      <w:pPr>
        <w:spacing w:after="0" w:line="121" w:lineRule="exact"/>
        <w:rPr>
          <w:rFonts w:ascii="Times New Roman" w:cs="Times New Roman" w:eastAsia="Times New Roman" w:hAnsi="Times New Roman"/>
          <w:sz w:val="18"/>
          <w:szCs w:val="18"/>
          <w:color w:val="auto"/>
        </w:rPr>
      </w:pPr>
    </w:p>
    <w:p>
      <w:pPr>
        <w:ind w:left="60" w:right="979" w:firstLine="638"/>
        <w:spacing w:after="0" w:line="282" w:lineRule="auto"/>
        <w:tabs>
          <w:tab w:leader="none" w:pos="103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29, 2022, we entered into a Fill/Finish Agreement, or the F/F Agreement, and a Letter Agreement, or the Letter Agreement, in each case with Chiesi.</w:t>
      </w:r>
    </w:p>
    <w:p>
      <w:pPr>
        <w:spacing w:after="0" w:line="121" w:lineRule="exact"/>
        <w:rPr>
          <w:rFonts w:ascii="Times New Roman" w:cs="Times New Roman" w:eastAsia="Times New Roman" w:hAnsi="Times New Roman"/>
          <w:sz w:val="18"/>
          <w:szCs w:val="18"/>
          <w:color w:val="auto"/>
        </w:rPr>
      </w:pPr>
    </w:p>
    <w:p>
      <w:pPr>
        <w:ind w:left="60" w:right="759" w:firstLine="638"/>
        <w:spacing w:after="0" w:line="282" w:lineRule="auto"/>
        <w:tabs>
          <w:tab w:leader="none" w:pos="103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9, 2022, we, together with Chiesi, resubmitted the BLA for PRX-102 for the potential treatment of adult patients with Fabry disease.</w:t>
      </w:r>
    </w:p>
    <w:p>
      <w:pPr>
        <w:spacing w:after="0" w:line="134"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5, 2022, we hosted a key opinion leader (KOL) webinar featuring Myrl D. Holida, PA-</w:t>
      </w:r>
    </w:p>
    <w:p>
      <w:pPr>
        <w:spacing w:after="0" w:line="27" w:lineRule="exact"/>
        <w:rPr>
          <w:rFonts w:ascii="Times New Roman" w:cs="Times New Roman" w:eastAsia="Times New Roman" w:hAnsi="Times New Roman"/>
          <w:sz w:val="18"/>
          <w:szCs w:val="18"/>
          <w:color w:val="auto"/>
        </w:rPr>
      </w:pPr>
    </w:p>
    <w:p>
      <w:pPr>
        <w:ind w:left="60"/>
        <w:spacing w:after="0"/>
        <w:rPr>
          <w:sz w:val="20"/>
          <w:szCs w:val="20"/>
          <w:color w:val="auto"/>
        </w:rPr>
      </w:pPr>
      <w:r>
        <w:rPr>
          <w:rFonts w:ascii="Times New Roman" w:cs="Times New Roman" w:eastAsia="Times New Roman" w:hAnsi="Times New Roman"/>
          <w:sz w:val="18"/>
          <w:szCs w:val="18"/>
          <w:color w:val="auto"/>
        </w:rPr>
        <w:t>C, University of Iowa Stead Family Children’s Hospital, who discussed the robust PRX-102 clinical program.</w:t>
      </w:r>
    </w:p>
    <w:p>
      <w:pPr>
        <w:spacing w:after="0" w:line="166" w:lineRule="exact"/>
        <w:rPr>
          <w:rFonts w:ascii="Times New Roman" w:cs="Times New Roman" w:eastAsia="Times New Roman" w:hAnsi="Times New Roman"/>
          <w:sz w:val="18"/>
          <w:szCs w:val="18"/>
          <w:color w:val="auto"/>
        </w:rPr>
      </w:pPr>
    </w:p>
    <w:p>
      <w:pPr>
        <w:ind w:left="60" w:right="399" w:firstLine="638"/>
        <w:spacing w:after="0" w:line="266" w:lineRule="auto"/>
        <w:tabs>
          <w:tab w:leader="none" w:pos="103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5, 2022, we announced that the FDA had accepted the resubmitted BLA for PRX-102. The FDA indicated in the BLA filing communication letter that the resubmitted BLA was considered a complete, class 2 response and set a PDUFA action date of May 9, 2023.</w:t>
      </w:r>
    </w:p>
    <w:p>
      <w:pPr>
        <w:spacing w:after="0" w:line="135" w:lineRule="exact"/>
        <w:rPr>
          <w:rFonts w:ascii="Times New Roman" w:cs="Times New Roman" w:eastAsia="Times New Roman" w:hAnsi="Times New Roman"/>
          <w:sz w:val="18"/>
          <w:szCs w:val="18"/>
          <w:color w:val="auto"/>
        </w:rPr>
      </w:pPr>
    </w:p>
    <w:p>
      <w:pPr>
        <w:ind w:left="60" w:right="479" w:firstLine="638"/>
        <w:spacing w:after="0" w:line="266" w:lineRule="auto"/>
        <w:tabs>
          <w:tab w:leader="none" w:pos="103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21, 2022, we announced that we have decided that it is our company’s best interest to voluntarily delist our common stock from the Tel Aviv Stock Exchange, or the TASE. The delisting will take effect on March 22, 2023, and the last trading date on the TASE is March 20, 2023.</w:t>
      </w:r>
    </w:p>
    <w:p>
      <w:pPr>
        <w:spacing w:after="0" w:line="149" w:lineRule="exact"/>
        <w:rPr>
          <w:rFonts w:ascii="Times New Roman" w:cs="Times New Roman" w:eastAsia="Times New Roman" w:hAnsi="Times New Roman"/>
          <w:sz w:val="18"/>
          <w:szCs w:val="18"/>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In light of recent developments relating to the COVID-19 pandemic and the focus of healthcare providers and hospitals on fighting the virus and its variants, and consistent with the FDA’s updated industry guidance for conducting clinical trials issued on March 18, 2020, we and our contract research organizations have made certain adjustments to the operation of our clinical trials in an effort to ensure the monitoring and safety of patients and minimize risk to trial integrity during the pandemic and generally, and we may need to make adjustments again in the future.</w:t>
      </w:r>
    </w:p>
    <w:p>
      <w:pPr>
        <w:spacing w:after="0" w:line="143" w:lineRule="exact"/>
        <w:rPr>
          <w:rFonts w:ascii="Times New Roman" w:cs="Times New Roman" w:eastAsia="Times New Roman" w:hAnsi="Times New Roman"/>
          <w:sz w:val="18"/>
          <w:szCs w:val="18"/>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We are in close contact with our principal investigators, clinical sites and clinical research organizations, which are primarily located in the United States and Europe, and to date, the COVID-19 pandemic has had a minimal effect on the performance of the phase III clinical trials of PRX-102 as many of the patients were already treated in home care settings. We were able to complete all three of the clinical trials.</w:t>
      </w:r>
    </w:p>
    <w:p>
      <w:pPr>
        <w:spacing w:after="0" w:line="139" w:lineRule="exact"/>
        <w:rPr>
          <w:rFonts w:ascii="Times New Roman" w:cs="Times New Roman" w:eastAsia="Times New Roman" w:hAnsi="Times New Roman"/>
          <w:sz w:val="18"/>
          <w:szCs w:val="18"/>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We are in close contact with our principal investigators and clinical sites and our clinical research organizations, which are primarily located in the United States and Europe, and to date, the COVID-19 pandemic has had a minimal effect on the performance of the phase III clinical trials of PRX-102 as many of the patients were already treated in home care settings. We were able to complete all three of the clinical trials.</w:t>
      </w:r>
    </w:p>
    <w:p>
      <w:pPr>
        <w:spacing w:after="0" w:line="149" w:lineRule="exact"/>
        <w:rPr>
          <w:rFonts w:ascii="Times New Roman" w:cs="Times New Roman" w:eastAsia="Times New Roman" w:hAnsi="Times New Roman"/>
          <w:sz w:val="18"/>
          <w:szCs w:val="18"/>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Marketed Product</w:t>
      </w:r>
    </w:p>
    <w:p>
      <w:pPr>
        <w:spacing w:after="0" w:line="177" w:lineRule="exact"/>
        <w:rPr>
          <w:rFonts w:ascii="Times New Roman" w:cs="Times New Roman" w:eastAsia="Times New Roman" w:hAnsi="Times New Roman"/>
          <w:sz w:val="18"/>
          <w:szCs w:val="18"/>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Elelyso</w:t>
      </w:r>
      <w:r>
        <w:rPr>
          <w:rFonts w:ascii="Times New Roman" w:cs="Times New Roman" w:eastAsia="Times New Roman" w:hAnsi="Times New Roman"/>
          <w:sz w:val="26"/>
          <w:szCs w:val="26"/>
          <w:b w:val="1"/>
          <w:bCs w:val="1"/>
          <w:i w:val="1"/>
          <w:iCs w:val="1"/>
          <w:color w:val="auto"/>
          <w:vertAlign w:val="superscript"/>
        </w:rPr>
        <w:t>®</w:t>
      </w:r>
    </w:p>
    <w:p>
      <w:pPr>
        <w:spacing w:after="0" w:line="104" w:lineRule="exact"/>
        <w:rPr>
          <w:rFonts w:ascii="Times New Roman" w:cs="Times New Roman" w:eastAsia="Times New Roman" w:hAnsi="Times New Roman"/>
          <w:sz w:val="18"/>
          <w:szCs w:val="18"/>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Elelyso (taliglucerase alfa), our first commercial product for the treatment of Gaucher disease, is the first plant cell derived recombinant protein therapeutic approved by major regulatory authorities, including the FDA and the EMA. Elelyso is approved in 23 markets for infusion as an ERT for the long-term treatment of adult and pediatric patients with a confirmed diagnosis of type 1 Gaucher disease. We have licensed to Pfizer the global rights for Elelyso, excluding Brazil. In Brazil, we maintain the distribution rights to taliglucerase alfa, marketed as BioManguinhos alfataliglicerase,</w:t>
      </w:r>
    </w:p>
    <w:p>
      <w:pPr>
        <w:sectPr>
          <w:pgSz w:w="11900" w:h="16838" w:orient="portrait"/>
          <w:cols w:equalWidth="0" w:num="1">
            <w:col w:w="9019"/>
          </w:cols>
          <w:pgMar w:left="1440" w:top="513" w:right="1440" w:bottom="1440" w:gutter="0" w:footer="0" w:header="0"/>
        </w:sectPr>
      </w:pPr>
    </w:p>
    <w:p>
      <w:pPr>
        <w:spacing w:after="0" w:line="39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through the Brazil Agreement. In 2022, we generated $9.5 million from sales of BioManguinhos alfataliglicerase to the Brazilian MoH.</w:t>
      </w:r>
    </w:p>
    <w:p>
      <w:pPr>
        <w:spacing w:after="0" w:line="135" w:lineRule="exact"/>
        <w:rPr>
          <w:sz w:val="20"/>
          <w:szCs w:val="20"/>
          <w:color w:val="auto"/>
        </w:rPr>
      </w:pPr>
    </w:p>
    <w:p>
      <w:pPr>
        <w:ind w:left="60" w:right="119"/>
        <w:spacing w:after="0" w:line="270" w:lineRule="auto"/>
        <w:rPr>
          <w:sz w:val="20"/>
          <w:szCs w:val="20"/>
          <w:color w:val="auto"/>
        </w:rPr>
      </w:pPr>
      <w:r>
        <w:rPr>
          <w:rFonts w:ascii="Times New Roman" w:cs="Times New Roman" w:eastAsia="Times New Roman" w:hAnsi="Times New Roman"/>
          <w:sz w:val="17"/>
          <w:szCs w:val="17"/>
          <w:color w:val="auto"/>
        </w:rPr>
        <w:t>Gaucher disease, also known as glucocerebrosidase, or GCD, deficiency, is a rare genetic autosomal recessive disorder and one of the most common Lysosomal Storage Disorders in the world. It is one of a group of disorders that affect specific enzymes that normally break down fatty substances for reuse in the cells. If the enzymes are missing or do not work properly, the substances can build up and become toxic. Gaucher disease occurs when a lipid called glucosylceramide accumulates in the cells of the bone marrow, lungs, spleen, liver, and sometimes the brain. Gaucher disease symptoms can include fatigue, anemia, easy bruising and bleeding, severe bone pain and easily broken bones, and distended stomach due to an enlarged spleen and thrombocytopenia. Epidemiology of Gaucher disease varies. Recent literature provides that prevalence of Gaucher disease ranges from 0.70 to 1.75 per 100,000 in the general population. In people of Ashkenazi Jewish heritage, estimates of occurrence vary from approximately 1 in 400 to 1 in 850 people. The global market for Gaucher disease was approximately $1.6 billion in 2022, is forecasted to be approximately $1.6 billion in 2023.</w:t>
      </w:r>
    </w:p>
    <w:p>
      <w:pPr>
        <w:spacing w:after="0" w:line="136" w:lineRule="exact"/>
        <w:rPr>
          <w:sz w:val="20"/>
          <w:szCs w:val="20"/>
          <w:color w:val="auto"/>
        </w:rPr>
      </w:pPr>
    </w:p>
    <w:p>
      <w:pPr>
        <w:ind w:left="60" w:right="199"/>
        <w:spacing w:after="0" w:line="265" w:lineRule="auto"/>
        <w:rPr>
          <w:sz w:val="20"/>
          <w:szCs w:val="20"/>
          <w:color w:val="auto"/>
        </w:rPr>
      </w:pPr>
      <w:r>
        <w:rPr>
          <w:rFonts w:ascii="Times New Roman" w:cs="Times New Roman" w:eastAsia="Times New Roman" w:hAnsi="Times New Roman"/>
          <w:sz w:val="18"/>
          <w:szCs w:val="18"/>
          <w:color w:val="auto"/>
        </w:rPr>
        <w:t>The current standard of care for Gaucher disease is ERT, which is a medical treatment where recombinant enzymes are injected into patients to replace the lacking or dysfunctional enzyme. In Gaucher disease, recombinant GCD is infused to replace the mutated or deficient natural GCD enzyme. Elelyso is the only alternative ERT treatment of Gaucher disease to Sanofi Genzyme’s Cerezyme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Takeda’s (Shire) Vpriv.</w:t>
      </w:r>
    </w:p>
    <w:p>
      <w:pPr>
        <w:spacing w:after="0" w:line="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Clinical Development Pipeline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Pegunigalsidase alfa (PRX-102)</w:t>
      </w:r>
    </w:p>
    <w:p>
      <w:pPr>
        <w:spacing w:after="0" w:line="202" w:lineRule="exact"/>
        <w:rPr>
          <w:sz w:val="20"/>
          <w:szCs w:val="20"/>
          <w:color w:val="auto"/>
        </w:rPr>
      </w:pPr>
    </w:p>
    <w:p>
      <w:pPr>
        <w:ind w:left="60" w:right="99"/>
        <w:spacing w:after="0" w:line="247" w:lineRule="auto"/>
        <w:rPr>
          <w:sz w:val="20"/>
          <w:szCs w:val="20"/>
          <w:color w:val="auto"/>
        </w:rPr>
      </w:pPr>
      <w:r>
        <w:rPr>
          <w:rFonts w:ascii="Times New Roman" w:cs="Times New Roman" w:eastAsia="Times New Roman" w:hAnsi="Times New Roman"/>
          <w:sz w:val="18"/>
          <w:szCs w:val="18"/>
          <w:color w:val="auto"/>
        </w:rPr>
        <w:t>PRX-102 is our lead product candidate and we expect it to be the primary subject of our development efforts in the short-term. It is our proprietary, investigational, plant cell culture expressed enzyme, and a chemically modified stabilized version of, the recombinant α-Galactosidase-A protein, a lysosomal enzyme, under development for the treatment of Fabry disease. Fabry disease is a serious life-threatening rare genetic disorder. Fabry patients lack or have low levels of α-galactosidase-A resulting in the progressive accumulation of abnormal deposits of a fatty substance called Gb</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8"/>
          <w:szCs w:val="18"/>
          <w:color w:val="auto"/>
        </w:rPr>
        <w:t xml:space="preserve"> in blood vessel walls throughout their body. The abnormal storage of Gb</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8"/>
          <w:szCs w:val="18"/>
          <w:color w:val="auto"/>
        </w:rPr>
        <w:t xml:space="preserve"> increases with time. The ultimate consequences of Gb</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8"/>
          <w:szCs w:val="18"/>
          <w:color w:val="auto"/>
        </w:rPr>
        <w:t xml:space="preserve"> deposition range from episodes of pain and impaired peripheral sensation to end-organ failure, particularly of the kidneys, but also of the heart and the cerebrovascular system. Fabry disease occurs in one person per 40,000 to 60,000 males. The global market for Fabry disease is forecasted to be approximately $2.0 billion and $2.1 billion in 2022 and 2023, respectively, and to grow at a CAGR of approximately 8.7% from 2022-2028.</w:t>
      </w:r>
    </w:p>
    <w:p>
      <w:pPr>
        <w:spacing w:after="0" w:line="158"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Fabry disease is generally treated with an ERT, agalsidase alfa or agalsidase beta. In the currently approved ERTs, the missing α-galactosidase-A is replaced with a recombinant form of the protein via intravenous, or IV, infusion once every two weeks. Fabry disease, if left untreated, will progress from a less severe condition to a more serious one. It can have a significant impact on quality of life due to presence of serious, chronic and debilitating complications, including cardiovascular and renal complications, and comorbid conditions such as pain can have a significant impact on the psychological well-being of Fabry patients and their social functioning. Fabry disease involves substantial reduction in life expectancy. Causes of death are most often cardiovascular disease and, to a lesser extent, cerebrovascular disease and renal disease. The life expectancy of Fabry patients is significantly shorter compared to the general population. Untreated male Fabry patients may experience shortened lifespans to approximately 50 years, and 70 years for untreated female patients with Fabry disease. This represents a 20- and 10-year reduction of their respective lifespans.</w:t>
      </w:r>
    </w:p>
    <w:p>
      <w:pPr>
        <w:spacing w:after="0" w:line="154"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On November 9, 2022, we, together with Chiesi, resubmitted to the FDA a BLA for PRX-102 for the potential treatment of adult patients with Fabry disease. The initial BLA for PRX-102 was submitted to the FDA on May 27, 2020 under the FDA’s Accelerated Approval pathway, and the submission was subsequently accepted by the FDA and granted Priority Review designation. However, in April 2021, the FDA issued a CRL in response to the initial BLA. In preparation for the BLA resubmission, we and Chiesi participated in a Type A (End of Review) meeting with the FDA on September 9, 2021. As part of the meeting minutes provided by the FDA, which included the preliminary comments and meeting discussion, the FDA, in principle, agreed that the data package proposed to the FDA for a BLA resubmission has the potential to support a traditional approval of PRX-102 for the treatment of Fabry disease. The data package in the BLA resubmission, given the change in the regulatory landscape in the United States, includes the final two-year analyses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which were completed in July 2022, and long-term data from our open-label extension study of PRX-102 in adult patients treated with a 2 mg/kg every four weeks dosage of PRX-102. The initial BLA included a comprehensive set of preclinical, clinical and manufacturing data compiled from our completed phase I/II clinical trial of PRX-102, including the related extension study, interim clinical data from our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and safety data from our on-going clinical studies of PRX-102 in adult patients receiving 1 mg/kg every two weeks.</w:t>
      </w:r>
    </w:p>
    <w:p>
      <w:pPr>
        <w:spacing w:after="0" w:line="158"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CRL did not report any concerns relating to the potential safety or efficacy of PRX-102 in the submitted data package. In the CRL, the FDA noted that an inspection of our manufacturing facility in Carmiel, Israel, including the FDA’s subsequent assessment of any related FDA findings, is required before the FDA can approve a new drug. Due to travel restrictions during the COVID-19 pandemic, the FDA was unable to conduct the required inspection during the review cycle. The FDA explained in the letter that it will continue to monitor the public health situation as well as travel restrictions, and is actively working to define an approach for scheduling outstanding inspections. With respect to the third-party facility in Europe at which fill and finish processes are performed for PRX-102, due to COVID-19, the FDA reviewed records under Section 704(a)(4) of the U.S. Federal Food, Drug, and Cosmetic Act, or the FFDCA, in lieu of a pre-licensing inspection. In the CRL, the FDA stated that it will communicate remaining issues to the facility in order to seek prompt resolution of any pending items. In addition to the foregoing, in the CRL, the FDA noted that agalsidase beta, a therapy used to treat Fabry patients, was recently converted to full approval and is now an “available therapy,” which must be addressed in the context of any potential resubmission of a BLA for PRX-102.</w:t>
      </w:r>
    </w:p>
    <w:p>
      <w:pPr>
        <w:spacing w:after="0" w:line="14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 xml:space="preserve">On February 7, 2022, the PRX-102 MAA was submitted to, and subsequently validated by, the EMA. The submission was made after the October 8, 2021 meeting we held, together with Chiesi, with the Rapporteur and Co-Rapporteur of the EMA regarding PRX-102. At the meeting, we and Chiesi discussed the scope of the anticipated MAA submission for the European Union, and the Rapporteur and Co-Rapporteur were generally supportive of the planned MAA submission. The MAA submission includes a comprehensive set of preclinical, clinical and manufacturing data compiled from our completed and ongoing clinical studies evaluating PRX-102 as a potential alternative treatment for adult patients with Fabry disease. The submission was supported by the 12–month interim data analysis generated from our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which was released in June 2021. Data generated from the completed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the phase I/II clinical trial in naive or untreated patients, and from the extension studies with 1 mg/kg every two weeks were also included in the submission. In addition, the MAA includes data from the completed 12–month switch–over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adult patients with Fabry disease treated with the 2 mg/kg every four weeks dosage to support an additional potential treatment regimen for patients with Fabry disease. As part of the EMA review process, we and Chiesi received the Day 120 list of questions in June 2022, and the full response package thereto was submitted to the EMA in September 2022 (following a 3-month clock-stop period). An essential portion of the response included the submission of the final analysis of the two-year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(the final Clinical Study Report), and an interim analysis of the long-term, open-label extension study of PRX-102 in adult patients with Fabry disease treated with the 2 mg/kg every four weeks dosage.</w:t>
      </w:r>
    </w:p>
    <w:p>
      <w:pPr>
        <w:spacing w:after="0" w:line="154" w:lineRule="exact"/>
        <w:rPr>
          <w:sz w:val="20"/>
          <w:szCs w:val="20"/>
          <w:color w:val="auto"/>
        </w:rPr>
      </w:pPr>
    </w:p>
    <w:p>
      <w:pPr>
        <w:ind w:left="60" w:right="419"/>
        <w:spacing w:after="0" w:line="266" w:lineRule="auto"/>
        <w:rPr>
          <w:sz w:val="20"/>
          <w:szCs w:val="20"/>
          <w:color w:val="auto"/>
        </w:rPr>
      </w:pPr>
      <w:r>
        <w:rPr>
          <w:rFonts w:ascii="Times New Roman" w:cs="Times New Roman" w:eastAsia="Times New Roman" w:hAnsi="Times New Roman"/>
          <w:sz w:val="18"/>
          <w:szCs w:val="18"/>
          <w:color w:val="auto"/>
        </w:rPr>
        <w:t>On February 24, 2023, we, together with Chiesi, announced that the CHMP has adopted a positive opinion, recommending marketing authorization for PRX-102. The CHMP opinion is now referred for final action to the EC. A final EC decision on the MAA is expected in the beginning of May 2023.</w:t>
      </w:r>
    </w:p>
    <w:p>
      <w:pPr>
        <w:spacing w:after="0" w:line="149"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In January 2018, the FDA granted Fast Track designation to PRX-102. Fast Track designation is a process designed to facilitate the development and expedite the review of drugs and vaccines for serious conditions that fill an unmet medical need.</w:t>
      </w:r>
    </w:p>
    <w:p>
      <w:pPr>
        <w:spacing w:after="0" w:line="135"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In December 2017, the European Commission granted Orphan Drug Designation for PRX-102 for the treatment of Fabry disease. Orphan Drug Designation for PRX-102 qualifies Chiesi for access to a centralized marketing authorization procedure, including applications for inspections and for protocol assistance. If the orphan drug designation is maintained at the time PRX-102 is approved for marketing in the European Union, if at all, we expect that PRX-102 will benefit from 10 years of market exclusivity within the European Union. The market exclusivity will not have any effect on Fabry disease treatments already approved at that time.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Key Trials and Design</w:t>
      </w:r>
    </w:p>
    <w:p>
      <w:pPr>
        <w:spacing w:after="0" w:line="202"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Our clinical development program is designed to show that PRX-102 has a potential clinical benefit in all adult Fabry patient populations when compared to currently marketed Fabry disease enzymes, agalsidase beta and agalsidase alfa. In preclinical studies, PRX 102 showed significantly longer half-life due to higher enzyme stability, enhanced activity in Fabry disease affected organs leading to reduction of the accumulated substrate and reduced immunogenicity, which together can potentially lead to improved efficacy through increased substrate clearance and significantly lower formation of anti-drug antibodies, or ADAs. Providing a meaningful improvement in the health and quality of life for Fabry patients being treated with PRX-102 represents a significant potential market opportunity.</w:t>
      </w:r>
    </w:p>
    <w:p>
      <w:pPr>
        <w:spacing w:after="0" w:line="148" w:lineRule="exact"/>
        <w:rPr>
          <w:sz w:val="20"/>
          <w:szCs w:val="20"/>
          <w:color w:val="auto"/>
        </w:rPr>
      </w:pPr>
    </w:p>
    <w:p>
      <w:pPr>
        <w:ind w:left="60" w:right="239"/>
        <w:spacing w:after="0" w:line="272" w:lineRule="auto"/>
        <w:rPr>
          <w:sz w:val="20"/>
          <w:szCs w:val="20"/>
          <w:color w:val="auto"/>
        </w:rPr>
      </w:pPr>
      <w:r>
        <w:rPr>
          <w:rFonts w:ascii="Times New Roman" w:cs="Times New Roman" w:eastAsia="Times New Roman" w:hAnsi="Times New Roman"/>
          <w:sz w:val="17"/>
          <w:szCs w:val="17"/>
          <w:color w:val="auto"/>
        </w:rPr>
        <w:t xml:space="preserve">Our phase III clinical program of PRX-102 for the treatment of Fabry disease includes three individual studies; the </w:t>
      </w:r>
      <w:r>
        <w:rPr>
          <w:rFonts w:ascii="Times New Roman" w:cs="Times New Roman" w:eastAsia="Times New Roman" w:hAnsi="Times New Roman"/>
          <w:sz w:val="17"/>
          <w:szCs w:val="17"/>
          <w:i w:val="1"/>
          <w:iCs w:val="1"/>
          <w:color w:val="auto"/>
        </w:rPr>
        <w:t xml:space="preserve">BALANCE </w:t>
      </w:r>
      <w:r>
        <w:rPr>
          <w:rFonts w:ascii="Times New Roman" w:cs="Times New Roman" w:eastAsia="Times New Roman" w:hAnsi="Times New Roman"/>
          <w:sz w:val="17"/>
          <w:szCs w:val="17"/>
          <w:color w:val="auto"/>
        </w:rPr>
        <w:t>study, the</w:t>
      </w:r>
      <w:r>
        <w:rPr>
          <w:rFonts w:ascii="Times New Roman" w:cs="Times New Roman" w:eastAsia="Times New Roman" w:hAnsi="Times New Roman"/>
          <w:sz w:val="17"/>
          <w:szCs w:val="17"/>
          <w:i w:val="1"/>
          <w:iCs w:val="1"/>
          <w:color w:val="auto"/>
        </w:rPr>
        <w:t xml:space="preserve"> BRIDGE </w:t>
      </w:r>
      <w:r>
        <w:rPr>
          <w:rFonts w:ascii="Times New Roman" w:cs="Times New Roman" w:eastAsia="Times New Roman" w:hAnsi="Times New Roman"/>
          <w:sz w:val="17"/>
          <w:szCs w:val="17"/>
          <w:color w:val="auto"/>
        </w:rPr>
        <w:t>study and the</w:t>
      </w:r>
      <w:r>
        <w:rPr>
          <w:rFonts w:ascii="Times New Roman" w:cs="Times New Roman" w:eastAsia="Times New Roman" w:hAnsi="Times New Roman"/>
          <w:sz w:val="17"/>
          <w:szCs w:val="17"/>
          <w:i w:val="1"/>
          <w:iCs w:val="1"/>
          <w:color w:val="auto"/>
        </w:rPr>
        <w:t xml:space="preserve"> BRIGHT </w:t>
      </w:r>
      <w:r>
        <w:rPr>
          <w:rFonts w:ascii="Times New Roman" w:cs="Times New Roman" w:eastAsia="Times New Roman" w:hAnsi="Times New Roman"/>
          <w:sz w:val="17"/>
          <w:szCs w:val="17"/>
          <w:color w:val="auto"/>
        </w:rPr>
        <w:t>study, all of which have been completed. In 2016, we completed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phase I/II clinical trial of PRX-102, which was a dose range finding study in ERT-naïve adult Fabry patients. In the phase</w:t>
      </w:r>
    </w:p>
    <w:p>
      <w:pPr>
        <w:spacing w:after="0" w:line="2" w:lineRule="exact"/>
        <w:rPr>
          <w:sz w:val="20"/>
          <w:szCs w:val="20"/>
          <w:color w:val="auto"/>
        </w:rPr>
      </w:pPr>
    </w:p>
    <w:p>
      <w:pPr>
        <w:ind w:left="60" w:right="79" w:hanging="10"/>
        <w:spacing w:after="0" w:line="265" w:lineRule="auto"/>
        <w:tabs>
          <w:tab w:leader="none" w:pos="28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program overall, two potential dosing regimens for PRX-102 were analyzed; 1 mg/kg every two weeks, with the potential for improved efficacy and safety offering a potential alternative to existing enzyme replacement therapies, and</w:t>
      </w:r>
    </w:p>
    <w:p>
      <w:pPr>
        <w:ind w:left="60" w:right="399"/>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mg/kg every four weeks, which has the potential to lower treatment burden versus existing treatments and potentially provide a better quality of life for a subset of Fabry patients.</w:t>
      </w:r>
    </w:p>
    <w:p>
      <w:pPr>
        <w:spacing w:after="0" w:line="13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 xml:space="preserve">Patients who completed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studies, and the extension of the phase I/II study, were offered the opportunity to continue PRX-102 treatment in one of two long-term open-label extension studies. Currently, 126 subjects who participated in our PRX-102 clinical program have opted, with the advice of the treating physician, to continue PRX-102 treatment in one of our long-term, open label, extension studies. Such extension studies include 97 patients in the 1 mg/kg every two weeks extension study (PB-102-F60) with a total cumulative exposure of approximately 400 patient years (10 subjects who completed an extension study from the phase I/II study, 18 subjects who completed the </w:t>
      </w:r>
      <w:r>
        <w:rPr>
          <w:rFonts w:ascii="Times New Roman" w:cs="Times New Roman" w:eastAsia="Times New Roman" w:hAnsi="Times New Roman"/>
          <w:sz w:val="18"/>
          <w:szCs w:val="18"/>
          <w:i w:val="1"/>
          <w:iCs w:val="1"/>
          <w:color w:val="auto"/>
        </w:rPr>
        <w:t xml:space="preserve">BRIDGE </w:t>
      </w:r>
      <w:r>
        <w:rPr>
          <w:rFonts w:ascii="Times New Roman" w:cs="Times New Roman" w:eastAsia="Times New Roman" w:hAnsi="Times New Roman"/>
          <w:sz w:val="18"/>
          <w:szCs w:val="18"/>
          <w:color w:val="auto"/>
        </w:rPr>
        <w:t>study; 69 subjects who completed the</w:t>
      </w:r>
      <w:r>
        <w:rPr>
          <w:rFonts w:ascii="Times New Roman" w:cs="Times New Roman" w:eastAsia="Times New Roman" w:hAnsi="Times New Roman"/>
          <w:sz w:val="18"/>
          <w:szCs w:val="18"/>
          <w:i w:val="1"/>
          <w:iCs w:val="1"/>
          <w:color w:val="auto"/>
        </w:rPr>
        <w:t xml:space="preserve"> BALANCE </w:t>
      </w:r>
      <w:r>
        <w:rPr>
          <w:rFonts w:ascii="Times New Roman" w:cs="Times New Roman" w:eastAsia="Times New Roman" w:hAnsi="Times New Roman"/>
          <w:sz w:val="18"/>
          <w:szCs w:val="18"/>
          <w:color w:val="auto"/>
        </w:rPr>
        <w:t>study), and 29 subjects who completed the</w:t>
      </w:r>
      <w:r>
        <w:rPr>
          <w:rFonts w:ascii="Times New Roman" w:cs="Times New Roman" w:eastAsia="Times New Roman" w:hAnsi="Times New Roman"/>
          <w:sz w:val="18"/>
          <w:szCs w:val="18"/>
          <w:i w:val="1"/>
          <w:iCs w:val="1"/>
          <w:color w:val="auto"/>
        </w:rPr>
        <w:t xml:space="preserve"> BRIGHT </w:t>
      </w:r>
      <w:r>
        <w:rPr>
          <w:rFonts w:ascii="Times New Roman" w:cs="Times New Roman" w:eastAsia="Times New Roman" w:hAnsi="Times New Roman"/>
          <w:sz w:val="18"/>
          <w:szCs w:val="18"/>
          <w:color w:val="auto"/>
        </w:rPr>
        <w:t>study,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2 mg/kg every four weeks extension study (PB-102-F51) with a total cumulative exposure of approximately 110 patient years. Two of such subjects are being treated with 1 mg/kg every two weeks.</w:t>
      </w:r>
    </w:p>
    <w:p>
      <w:pPr>
        <w:spacing w:after="0" w:line="163" w:lineRule="exact"/>
        <w:rPr>
          <w:sz w:val="20"/>
          <w:szCs w:val="20"/>
          <w:color w:val="auto"/>
        </w:rPr>
      </w:pPr>
    </w:p>
    <w:p>
      <w:pPr>
        <w:ind w:left="60" w:right="439"/>
        <w:spacing w:after="0" w:line="258" w:lineRule="auto"/>
        <w:rPr>
          <w:sz w:val="20"/>
          <w:szCs w:val="20"/>
          <w:color w:val="auto"/>
        </w:rPr>
      </w:pPr>
      <w:r>
        <w:rPr>
          <w:rFonts w:ascii="Times New Roman" w:cs="Times New Roman" w:eastAsia="Times New Roman" w:hAnsi="Times New Roman"/>
          <w:sz w:val="18"/>
          <w:szCs w:val="18"/>
          <w:color w:val="auto"/>
        </w:rPr>
        <w:t>In February 2020, we, together with Chiesi, announced an agreement with the FDA for the Initial Pediatric Study Plan (iPSP) for PRX-102. The joint announcement was made after completion of discussions with the FDA and receipt of confirmation from the FDA in an official “Agreement Letter” which outlines an agreed-upon approach to evaluate the safety and efficacy of PRX-102 in pediatric Fabry patients in a clinical trial to be performed by Chiesi with our collaborative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102235</wp:posOffset>
            </wp:positionV>
            <wp:extent cx="5554980" cy="26657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554980" cy="266573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Phase III BALANCE Study</w:t>
      </w:r>
    </w:p>
    <w:p>
      <w:pPr>
        <w:spacing w:after="0" w:line="198" w:lineRule="exact"/>
        <w:rPr>
          <w:sz w:val="20"/>
          <w:szCs w:val="20"/>
          <w:color w:val="auto"/>
        </w:rPr>
      </w:pPr>
    </w:p>
    <w:p>
      <w:pPr>
        <w:ind w:left="60" w:right="159"/>
        <w:spacing w:after="0" w:line="241" w:lineRule="auto"/>
        <w:rPr>
          <w:sz w:val="20"/>
          <w:szCs w:val="20"/>
          <w:color w:val="auto"/>
        </w:rPr>
      </w:pPr>
      <w:r>
        <w:rPr>
          <w:rFonts w:ascii="Times New Roman" w:cs="Times New Roman" w:eastAsia="Times New Roman" w:hAnsi="Times New Roman"/>
          <w:sz w:val="18"/>
          <w:szCs w:val="18"/>
          <w:color w:val="auto"/>
        </w:rPr>
        <w:t xml:space="preserve">The pivotal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was a 24-month, randomized, double blind, active control study of PRX-102 in adult Fabry patients with deteriorating renal function that was designed to evaluate the safety and efficacy of 1 mg/kg of PRX-102 administered every two weeks compared to agalsidase beta. Topline results from the completed study were announced in April 2022 and the Clinical Study Report for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was completed in July 2022. The final analysis confirmed the positive topline results and favorable tolerability profile. A total of 78 patients who were previously treated with agalsidase beta for at least one year with an estimated glomerular filtration rate (eGFR) slope at screening worse than -2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were enrolled in the study. Patients were randomized on a 2:1 ratio for switching to PRX-102 or continuing on agalsidase beta. A total of 77 patients were treated; 52 with PRX-102 and 25 with agalsidase beta. Approximately 40% of the enrolled patients were female.</w:t>
      </w:r>
    </w:p>
    <w:p>
      <w:pPr>
        <w:spacing w:after="0" w:line="157"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 xml:space="preserve">The primary endpoint of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is the comparison in the annualized rate of decline of estimated Glomerular Filtration Rate, or eGFR, slope between the agalsidase beta and PRX-102 treatment arms. eGFR is considered a reliable and accepted test to measure kidney function and stage of kidney disease. Additional parameters evaluated include: cardiac assessment, Lyso-Gb3 (a biomarker for monitoring Fabry patients during therapy), pain, quality of life, immunogenicity, Fabry Clinical Events, pharmacokinetics and other parameters.</w:t>
      </w:r>
    </w:p>
    <w:p>
      <w:pPr>
        <w:spacing w:after="0" w:line="145"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 xml:space="preserve">Given the changed regulatory landscape in the United States with the full approval of agalsidase beta in March 2021 based on clinical endpoints, we changed the primary analysis of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from superiority to non-inferiority, as demonstrating superiority is no longer required under FDA guidelines. As part of the September 2021 Type A End of Review meeting, the FDA, in principle, agreed that the proposed analysis of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demonstrating non-inferiority to agalsidase beta to be included in the data package for the PRX-102 BLA resubmission has the potential to support the approval of PRX-102 for the treatment of Fabry disease. The primary endpoint of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compared the eGFR annualized changes (slope) between the two treatment arms in the intent-to-treat (ITT) analysis set (77 patients). The study met its pre-specified primary endpoint and demonstrated that PRX-102 was statistically non-inferior to agalsidase beta.</w:t>
      </w:r>
    </w:p>
    <w:p>
      <w:pPr>
        <w:spacing w:after="0" w:line="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median (95% confidence interval) of the eGFR slope in the PRX-102 arm was -2.514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(-3.788,</w:t>
      </w:r>
    </w:p>
    <w:p>
      <w:pPr>
        <w:ind w:left="60"/>
        <w:spacing w:after="0" w:line="180" w:lineRule="auto"/>
        <w:rPr>
          <w:sz w:val="20"/>
          <w:szCs w:val="20"/>
          <w:color w:val="auto"/>
        </w:rPr>
      </w:pPr>
      <w:r>
        <w:rPr>
          <w:rFonts w:ascii="Times New Roman" w:cs="Times New Roman" w:eastAsia="Times New Roman" w:hAnsi="Times New Roman"/>
          <w:sz w:val="17"/>
          <w:szCs w:val="17"/>
          <w:color w:val="auto"/>
        </w:rPr>
        <w:t>-1.240) and -2.155 mL/min/1.73m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/year (-3.805, -0.505) in the agalsidase beta arm, demonstrating a large overlap in the</w:t>
      </w:r>
    </w:p>
    <w:p>
      <w:pPr>
        <w:ind w:left="60"/>
        <w:spacing w:after="0" w:line="180" w:lineRule="auto"/>
        <w:rPr>
          <w:sz w:val="20"/>
          <w:szCs w:val="20"/>
          <w:color w:val="auto"/>
        </w:rPr>
      </w:pPr>
      <w:r>
        <w:rPr>
          <w:rFonts w:ascii="Times New Roman" w:cs="Times New Roman" w:eastAsia="Times New Roman" w:hAnsi="Times New Roman"/>
          <w:sz w:val="17"/>
          <w:szCs w:val="17"/>
          <w:color w:val="auto"/>
        </w:rPr>
        <w:t>confidence intervals of the two arms. The difference in medians (95% confidence interval) is -0.359 mL/min/1.73m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/year</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(-2.444, 1.726). The prespecified non-inferiority margin was met. The final results of the per-protocol analysis set (72</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patients) are consistent with the ITT results, with an even smaller difference in medians (95% confidence interval);</w:t>
      </w:r>
    </w:p>
    <w:p>
      <w:pPr>
        <w:ind w:left="60"/>
        <w:spacing w:after="0" w:line="181" w:lineRule="auto"/>
        <w:rPr>
          <w:sz w:val="20"/>
          <w:szCs w:val="20"/>
          <w:color w:val="auto"/>
        </w:rPr>
      </w:pPr>
      <w:r>
        <w:rPr>
          <w:rFonts w:ascii="Times New Roman" w:cs="Times New Roman" w:eastAsia="Times New Roman" w:hAnsi="Times New Roman"/>
          <w:sz w:val="18"/>
          <w:szCs w:val="18"/>
          <w:color w:val="auto"/>
        </w:rPr>
        <w:t>-0.118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(-2.450, 2.213). Additional sensitivity and supportive analyses investigated mean eGFR slopes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using other statistical models. These models yielded results similar to the primary analysis and confirming non-inferiority</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PRX-102 to agalsidase beta. These results supported the robustness of the methodology used for comparisons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treatment effects in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w:t>
      </w:r>
    </w:p>
    <w:p>
      <w:pPr>
        <w:spacing w:after="0" w:line="166" w:lineRule="exact"/>
        <w:rPr>
          <w:sz w:val="20"/>
          <w:szCs w:val="20"/>
          <w:color w:val="auto"/>
        </w:rPr>
      </w:pPr>
    </w:p>
    <w:p>
      <w:pPr>
        <w:ind w:left="60" w:right="219"/>
        <w:spacing w:after="0" w:line="235" w:lineRule="auto"/>
        <w:rPr>
          <w:sz w:val="20"/>
          <w:szCs w:val="20"/>
          <w:color w:val="auto"/>
        </w:rPr>
      </w:pPr>
      <w:r>
        <w:rPr>
          <w:rFonts w:ascii="Times New Roman" w:cs="Times New Roman" w:eastAsia="Times New Roman" w:hAnsi="Times New Roman"/>
          <w:sz w:val="18"/>
          <w:szCs w:val="18"/>
          <w:color w:val="auto"/>
        </w:rPr>
        <w:t>The study population (ITT analysis set) was composed of 47 males (61.0%) and 30 females (39.0%), with a mean (range) age of 44.3 (18-60) years. The mean duration of prior treatment with agalsidase beta was approximately six years. At baseline, mean (SD) eGFR was 73.69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(20.32) and median eGFR was 74.51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mean (SD) eGFR slope was -8.10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(5.92) and median eGFR slope was -7.25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w:t>
      </w:r>
    </w:p>
    <w:p>
      <w:pPr>
        <w:spacing w:after="0" w:line="49"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A consistent efficacy response was also observed across biomarkers and functional systems relevant to Fabry disease, as demonstrated via secondary endpoints, where in some cases the trend was in favor of PRX-102 and in some in favor of agalsidase beta, but the actual difference between the two arms is always clinically small, supporting the comparability of the two treatments.</w:t>
      </w:r>
    </w:p>
    <w:p>
      <w:pPr>
        <w:spacing w:after="0" w:line="153" w:lineRule="exact"/>
        <w:rPr>
          <w:sz w:val="20"/>
          <w:szCs w:val="20"/>
          <w:color w:val="auto"/>
        </w:rPr>
      </w:pPr>
    </w:p>
    <w:p>
      <w:pPr>
        <w:ind w:left="60" w:right="59"/>
        <w:spacing w:after="0" w:line="236" w:lineRule="auto"/>
        <w:rPr>
          <w:sz w:val="20"/>
          <w:szCs w:val="20"/>
          <w:color w:val="auto"/>
        </w:rPr>
      </w:pPr>
      <w:r>
        <w:rPr>
          <w:rFonts w:ascii="Times New Roman" w:cs="Times New Roman" w:eastAsia="Times New Roman" w:hAnsi="Times New Roman"/>
          <w:sz w:val="18"/>
          <w:szCs w:val="18"/>
          <w:color w:val="auto"/>
        </w:rPr>
        <w:t>Key secondary endpoints included Urine protein creatinine ratio (UPCR) as indicator of proteinuria, plasma levels of lyso –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imaging marker of cardiac remodeling (Left Ventricular Mass Index, LVMI, by cardiac MRI), disease severity (by Mainz Severity Score Index, MSSI), pain severity (Short Form Brief Pain Inventory, BPI) and quality of life (EQ-5D-5L). Both treatments showed either a stabilization of clinical parameters (e.g., for eGFR, eGFR slope and UPCR) or prevention of further progression of Fabry disease (e.g., LVMI, MSSI).</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79" w:firstLine="638"/>
        <w:spacing w:after="0" w:line="257" w:lineRule="auto"/>
        <w:tabs>
          <w:tab w:leader="none" w:pos="13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Secondary measures of kidney function</w:t>
      </w:r>
      <w:r>
        <w:rPr>
          <w:rFonts w:ascii="Times New Roman" w:cs="Times New Roman" w:eastAsia="Times New Roman" w:hAnsi="Times New Roman"/>
          <w:sz w:val="18"/>
          <w:szCs w:val="18"/>
          <w:color w:val="auto"/>
        </w:rPr>
        <w:t>. In addition to eGFR levels and slope, the proportion of patients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categorized as having severe proteinuria (UPCR ≥ 1 gr/gr) in the PRX-102 arm remained stable during the study (at baseline, 7/52 [13.5%] and 6/45 [13.3%] 24-month), while in the agalsidase beta arm, the proportion increased slightly with 3/25 (12.0%) and 4/24 (16.7%), respectively. Mean (SE) UPCR data (post-hoc analysis) for the entire study population remained stable throughout the study with a slight advantage for PRX-102 at 24-months compared to agalsidase beta (Table 1).</w:t>
      </w:r>
    </w:p>
    <w:p>
      <w:pPr>
        <w:spacing w:after="0" w:line="63" w:lineRule="exact"/>
        <w:rPr>
          <w:rFonts w:ascii="Times New Roman" w:cs="Times New Roman" w:eastAsia="Times New Roman" w:hAnsi="Times New Roman"/>
          <w:sz w:val="18"/>
          <w:szCs w:val="18"/>
          <w:color w:val="auto"/>
        </w:rPr>
      </w:pPr>
    </w:p>
    <w:p>
      <w:pPr>
        <w:ind w:left="60" w:right="119" w:firstLine="638"/>
        <w:spacing w:after="0" w:line="244" w:lineRule="auto"/>
        <w:tabs>
          <w:tab w:leader="none" w:pos="13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Biomarkers of Fabry disease</w:t>
      </w:r>
      <w:r>
        <w:rPr>
          <w:rFonts w:ascii="Times New Roman" w:cs="Times New Roman" w:eastAsia="Times New Roman" w:hAnsi="Times New Roman"/>
          <w:sz w:val="18"/>
          <w:szCs w:val="18"/>
          <w:color w:val="auto"/>
        </w:rPr>
        <w:t>. Mean (SE) and median (range) plasma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from baseline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24 months of treatment in the PRX-102 arm were 3.30 (1.38) and 1.15 (-32.2 to 32.7) nM for PRX-102, and -8.74 (4.85) and -1.50 (-102.3 to 2.4) nM for agalsidase beta. As expected, a gender difference was noted, with female Fabry patients exhibiting lower values at baseline and no remarkable changes during the study. Overall, the absolute changes of the Fabry biomarkers were minor in both treatment arms and were considered not clinically significant since there was no indication of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re-accumulation nor of disease progression.</w:t>
      </w:r>
    </w:p>
    <w:p>
      <w:pPr>
        <w:spacing w:after="0" w:line="140" w:lineRule="exact"/>
        <w:rPr>
          <w:rFonts w:ascii="Times New Roman" w:cs="Times New Roman" w:eastAsia="Times New Roman" w:hAnsi="Times New Roman"/>
          <w:sz w:val="18"/>
          <w:szCs w:val="18"/>
          <w:color w:val="auto"/>
        </w:rPr>
      </w:pPr>
    </w:p>
    <w:p>
      <w:pPr>
        <w:ind w:left="60" w:right="99" w:firstLine="638"/>
        <w:spacing w:after="0"/>
        <w:tabs>
          <w:tab w:leader="none" w:pos="13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Measures of cardiac disease</w:t>
      </w:r>
      <w:r>
        <w:rPr>
          <w:rFonts w:ascii="Times New Roman" w:cs="Times New Roman" w:eastAsia="Times New Roman" w:hAnsi="Times New Roman"/>
          <w:sz w:val="18"/>
          <w:szCs w:val="18"/>
          <w:color w:val="auto"/>
        </w:rPr>
        <w:t>. LVMi was centrally evaluated based on cardiac MRI. An increase in LVMi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is indicative of progressing cardiomyopathy, hence preventing an increase in LVMI represents a therapeutic goal in Fabry patients. In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the change from baseline in both treatment arms was analyzed by absence/presence of hypertrophy at baseline (defined as a LVMI above 91 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for males and LVMI above 77 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for females at baseline) and by gender [Kawel-Boehm 2015]. Similar results were achieved in the two treatment arms after 24 months, with a slight reduction in the mean (SE) LVMi values in the PRX-102 arm -4.238 (5.731)) and a small increase in the agalsidase beta arm 2.417 (9.620) for patients with hypertrophy at baseline. Small differences were observed also in those patients without hypertrophy at baseline in both treatment arms.</w:t>
      </w:r>
    </w:p>
    <w:p>
      <w:pPr>
        <w:spacing w:after="0" w:line="155" w:lineRule="exact"/>
        <w:rPr>
          <w:rFonts w:ascii="Times New Roman" w:cs="Times New Roman" w:eastAsia="Times New Roman" w:hAnsi="Times New Roman"/>
          <w:sz w:val="18"/>
          <w:szCs w:val="18"/>
          <w:color w:val="auto"/>
        </w:rPr>
      </w:pPr>
    </w:p>
    <w:p>
      <w:pPr>
        <w:ind w:left="60" w:right="579" w:firstLine="638"/>
        <w:spacing w:after="0" w:line="273" w:lineRule="auto"/>
        <w:tabs>
          <w:tab w:leader="none" w:pos="135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Measures of systemic disease burden (MSSI)</w:t>
      </w:r>
      <w:r>
        <w:rPr>
          <w:rFonts w:ascii="Times New Roman" w:cs="Times New Roman" w:eastAsia="Times New Roman" w:hAnsi="Times New Roman"/>
          <w:sz w:val="17"/>
          <w:szCs w:val="17"/>
          <w:color w:val="auto"/>
        </w:rPr>
        <w:t>. Further evidence of the stabilization of the disease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provided by the MSSI overall scores, which remained stable throughout the </w:t>
      </w:r>
      <w:r>
        <w:rPr>
          <w:rFonts w:ascii="Times New Roman" w:cs="Times New Roman" w:eastAsia="Times New Roman" w:hAnsi="Times New Roman"/>
          <w:sz w:val="17"/>
          <w:szCs w:val="17"/>
          <w:i w:val="1"/>
          <w:iCs w:val="1"/>
          <w:color w:val="auto"/>
        </w:rPr>
        <w:t>BALANCE</w:t>
      </w:r>
      <w:r>
        <w:rPr>
          <w:rFonts w:ascii="Times New Roman" w:cs="Times New Roman" w:eastAsia="Times New Roman" w:hAnsi="Times New Roman"/>
          <w:sz w:val="17"/>
          <w:szCs w:val="17"/>
          <w:color w:val="auto"/>
        </w:rPr>
        <w:t xml:space="preserve"> study in both arms, with the baseline score in both groups at the low end of the moderate range (means of 23.18 points in the PRX-102 arm and</w:t>
      </w:r>
    </w:p>
    <w:p>
      <w:pPr>
        <w:spacing w:after="0" w:line="1" w:lineRule="exact"/>
        <w:rPr>
          <w:rFonts w:ascii="Times New Roman" w:cs="Times New Roman" w:eastAsia="Times New Roman" w:hAnsi="Times New Roman"/>
          <w:sz w:val="17"/>
          <w:szCs w:val="17"/>
          <w:color w:val="auto"/>
        </w:rPr>
      </w:pPr>
    </w:p>
    <w:p>
      <w:pPr>
        <w:ind w:left="60" w:right="359"/>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25.16 points in the agalsidase beta arm), that slightly decreased (improvement by -2.1 points) in the PRX-102 arm and slightly increased in the agalsidase beta arm (+2.0 points). In this case, the CI of the difference in mean changes did not contain 0, suggesting a difference between the two arms in favor of PRX-102.</w:t>
      </w:r>
    </w:p>
    <w:p>
      <w:pPr>
        <w:spacing w:after="0" w:line="156" w:lineRule="exact"/>
        <w:rPr>
          <w:rFonts w:ascii="Times New Roman" w:cs="Times New Roman" w:eastAsia="Times New Roman" w:hAnsi="Times New Roman"/>
          <w:sz w:val="17"/>
          <w:szCs w:val="17"/>
          <w:color w:val="auto"/>
        </w:rPr>
      </w:pPr>
    </w:p>
    <w:p>
      <w:pPr>
        <w:ind w:left="60" w:right="179" w:firstLine="638"/>
        <w:spacing w:after="0" w:line="267" w:lineRule="auto"/>
        <w:tabs>
          <w:tab w:leader="none" w:pos="13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Patient reported outcomes</w:t>
      </w:r>
      <w:r>
        <w:rPr>
          <w:rFonts w:ascii="Times New Roman" w:cs="Times New Roman" w:eastAsia="Times New Roman" w:hAnsi="Times New Roman"/>
          <w:sz w:val="18"/>
          <w:szCs w:val="18"/>
          <w:color w:val="auto"/>
        </w:rPr>
        <w:t>. With regards to the patient-reported outcomes (BPI and EQ-5D-5L), the two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treatments showed very similar results, with the majority of patients reporting an improvement or no change in both groups, for each domain.</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For an overview of primary and secondary endpoints collected in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please refer to the Table 1 below.</w:t>
      </w:r>
    </w:p>
    <w:p>
      <w:pPr>
        <w:spacing w:after="0" w:line="183"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Table 1: Summary Table of Comparison of Treatment Benefit Data in the </w:t>
      </w:r>
      <w:r>
        <w:rPr>
          <w:rFonts w:ascii="Times New Roman" w:cs="Times New Roman" w:eastAsia="Times New Roman" w:hAnsi="Times New Roman"/>
          <w:sz w:val="18"/>
          <w:szCs w:val="18"/>
          <w:b w:val="1"/>
          <w:bCs w:val="1"/>
          <w:i w:val="1"/>
          <w:iCs w:val="1"/>
          <w:color w:val="auto"/>
        </w:rPr>
        <w:t>BALANCE</w:t>
      </w:r>
      <w:r>
        <w:rPr>
          <w:rFonts w:ascii="Times New Roman" w:cs="Times New Roman" w:eastAsia="Times New Roman" w:hAnsi="Times New Roman"/>
          <w:sz w:val="18"/>
          <w:szCs w:val="18"/>
          <w:b w:val="1"/>
          <w:bCs w:val="1"/>
          <w:color w:val="auto"/>
        </w:rPr>
        <w:t xml:space="preserve"> Study, (Mean (SE) [median]), Efficacy Population</w:t>
      </w:r>
    </w:p>
    <w:p>
      <w:pPr>
        <w:spacing w:after="0" w:line="130"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24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Parameter</w:t>
            </w:r>
          </w:p>
        </w:tc>
        <w:tc>
          <w:tcPr>
            <w:tcW w:w="1980" w:type="dxa"/>
            <w:vAlign w:val="bottom"/>
            <w:tcBorders>
              <w:top w:val="single" w:sz="8" w:color="auto"/>
              <w:bottom w:val="single" w:sz="8" w:color="auto"/>
              <w:right w:val="single" w:sz="8" w:color="auto"/>
            </w:tcBorders>
          </w:tcPr>
          <w:p>
            <w:pPr>
              <w:spacing w:after="0"/>
              <w:rPr>
                <w:sz w:val="19"/>
                <w:szCs w:val="19"/>
                <w:color w:val="auto"/>
              </w:rPr>
            </w:pPr>
          </w:p>
        </w:tc>
        <w:tc>
          <w:tcPr>
            <w:tcW w:w="2220" w:type="dxa"/>
            <w:vAlign w:val="bottom"/>
            <w:tcBorders>
              <w:top w:val="single" w:sz="8" w:color="auto"/>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PRX-102 (N = 52)</w:t>
            </w:r>
          </w:p>
        </w:tc>
        <w:tc>
          <w:tcPr>
            <w:tcW w:w="2320" w:type="dxa"/>
            <w:vAlign w:val="bottom"/>
            <w:tcBorders>
              <w:top w:val="single" w:sz="8" w:color="auto"/>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Agalsidase beta (N = 25)</w:t>
            </w:r>
          </w:p>
        </w:tc>
        <w:tc>
          <w:tcPr>
            <w:tcW w:w="0" w:type="dxa"/>
            <w:vAlign w:val="bottom"/>
          </w:tcPr>
          <w:p>
            <w:pPr>
              <w:spacing w:after="0"/>
              <w:rPr>
                <w:sz w:val="1"/>
                <w:szCs w:val="1"/>
                <w:color w:val="auto"/>
              </w:rPr>
            </w:pPr>
          </w:p>
        </w:tc>
      </w:tr>
      <w:tr>
        <w:trPr>
          <w:trHeight w:val="183"/>
        </w:trPr>
        <w:tc>
          <w:tcPr>
            <w:tcW w:w="2400" w:type="dxa"/>
            <w:vAlign w:val="bottom"/>
            <w:tcBorders>
              <w:left w:val="single" w:sz="8" w:color="auto"/>
              <w:right w:val="single" w:sz="8" w:color="auto"/>
            </w:tcBorders>
          </w:tcPr>
          <w:p>
            <w:pPr>
              <w:ind w:left="120"/>
              <w:spacing w:after="0" w:line="183" w:lineRule="exact"/>
              <w:rPr>
                <w:sz w:val="20"/>
                <w:szCs w:val="20"/>
                <w:color w:val="auto"/>
              </w:rPr>
            </w:pPr>
            <w:r>
              <w:rPr>
                <w:rFonts w:ascii="Times New Roman" w:cs="Times New Roman" w:eastAsia="Times New Roman" w:hAnsi="Times New Roman"/>
                <w:sz w:val="18"/>
                <w:szCs w:val="18"/>
                <w:color w:val="auto"/>
              </w:rPr>
              <w:t>eGFR</w:t>
            </w:r>
          </w:p>
        </w:tc>
        <w:tc>
          <w:tcPr>
            <w:tcW w:w="1980" w:type="dxa"/>
            <w:vAlign w:val="bottom"/>
            <w:tcBorders>
              <w:right w:val="single" w:sz="8" w:color="auto"/>
            </w:tcBorders>
          </w:tcPr>
          <w:p>
            <w:pPr>
              <w:spacing w:after="0"/>
              <w:rPr>
                <w:sz w:val="15"/>
                <w:szCs w:val="15"/>
                <w:color w:val="auto"/>
              </w:rPr>
            </w:pPr>
          </w:p>
        </w:tc>
        <w:tc>
          <w:tcPr>
            <w:tcW w:w="40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8"/>
                <w:szCs w:val="18"/>
                <w:b w:val="1"/>
                <w:bCs w:val="1"/>
                <w:color w:val="auto"/>
              </w:rPr>
              <w:t>n</w:t>
            </w:r>
          </w:p>
        </w:tc>
        <w:tc>
          <w:tcPr>
            <w:tcW w:w="520" w:type="dxa"/>
            <w:vAlign w:val="bottom"/>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40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8"/>
                <w:szCs w:val="18"/>
                <w:b w:val="1"/>
                <w:bCs w:val="1"/>
                <w:color w:val="auto"/>
              </w:rPr>
              <w:t>n</w:t>
            </w:r>
          </w:p>
        </w:tc>
        <w:tc>
          <w:tcPr>
            <w:tcW w:w="520" w:type="dxa"/>
            <w:vAlign w:val="bottom"/>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2400" w:type="dxa"/>
            <w:vAlign w:val="bottom"/>
            <w:tcBorders>
              <w:left w:val="single" w:sz="8" w:color="auto"/>
              <w:right w:val="single" w:sz="8" w:color="auto"/>
            </w:tcBorders>
            <w:vMerge w:val="restart"/>
          </w:tcPr>
          <w:p>
            <w:pPr>
              <w:ind w:left="120"/>
              <w:spacing w:after="0" w:line="296" w:lineRule="exact"/>
              <w:rPr>
                <w:sz w:val="20"/>
                <w:szCs w:val="20"/>
                <w:color w:val="auto"/>
              </w:rPr>
            </w:pPr>
            <w:r>
              <w:rPr>
                <w:rFonts w:ascii="Times New Roman" w:cs="Times New Roman" w:eastAsia="Times New Roman" w:hAnsi="Times New Roman"/>
                <w:sz w:val="18"/>
                <w:szCs w:val="18"/>
                <w:color w:val="auto"/>
              </w:rPr>
              <w:t>(ml/min/1.73m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p>
        </w:tc>
        <w:tc>
          <w:tcPr>
            <w:tcW w:w="1980" w:type="dxa"/>
            <w:vAlign w:val="bottom"/>
            <w:tcBorders>
              <w:bottom w:val="single" w:sz="8" w:color="auto"/>
              <w:right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400" w:type="dxa"/>
            <w:vAlign w:val="bottom"/>
            <w:tcBorders>
              <w:left w:val="single" w:sz="8" w:color="auto"/>
              <w:right w:val="single" w:sz="8" w:color="auto"/>
            </w:tcBorders>
            <w:vMerge w:val="continue"/>
          </w:tcPr>
          <w:p>
            <w:pPr>
              <w:spacing w:after="0"/>
              <w:rPr>
                <w:sz w:val="20"/>
                <w:szCs w:val="20"/>
                <w:color w:val="auto"/>
              </w:rPr>
            </w:pPr>
          </w:p>
        </w:tc>
        <w:tc>
          <w:tcPr>
            <w:tcW w:w="1980" w:type="dxa"/>
            <w:vAlign w:val="bottom"/>
            <w:tcBorders>
              <w:bottom w:val="single" w:sz="8" w:color="AEABAB"/>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Baseline</w:t>
            </w:r>
          </w:p>
        </w:tc>
        <w:tc>
          <w:tcPr>
            <w:tcW w:w="400" w:type="dxa"/>
            <w:vAlign w:val="bottom"/>
            <w:tcBorders>
              <w:bottom w:val="single" w:sz="8" w:color="AEABAB"/>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52</w:t>
            </w:r>
          </w:p>
        </w:tc>
        <w:tc>
          <w:tcPr>
            <w:tcW w:w="520" w:type="dxa"/>
            <w:vAlign w:val="bottom"/>
            <w:tcBorders>
              <w:bottom w:val="single" w:sz="8" w:color="AEABAB"/>
            </w:tcBorders>
          </w:tcPr>
          <w:p>
            <w:pPr>
              <w:ind w:left="80"/>
              <w:spacing w:after="0"/>
              <w:rPr>
                <w:sz w:val="20"/>
                <w:szCs w:val="20"/>
                <w:color w:val="auto"/>
              </w:rPr>
            </w:pPr>
            <w:r>
              <w:rPr>
                <w:rFonts w:ascii="Times New Roman" w:cs="Times New Roman" w:eastAsia="Times New Roman" w:hAnsi="Times New Roman"/>
                <w:sz w:val="18"/>
                <w:szCs w:val="18"/>
                <w:color w:val="auto"/>
              </w:rPr>
              <w:t>73.46</w:t>
            </w:r>
          </w:p>
        </w:tc>
        <w:tc>
          <w:tcPr>
            <w:tcW w:w="1300" w:type="dxa"/>
            <w:vAlign w:val="bottom"/>
            <w:tcBorders>
              <w:bottom w:val="single" w:sz="8" w:color="AEABAB"/>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(2.80) [73.45]</w:t>
            </w:r>
          </w:p>
        </w:tc>
        <w:tc>
          <w:tcPr>
            <w:tcW w:w="400" w:type="dxa"/>
            <w:vAlign w:val="bottom"/>
            <w:tcBorders>
              <w:bottom w:val="single" w:sz="8" w:color="AEABAB"/>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25</w:t>
            </w:r>
          </w:p>
        </w:tc>
        <w:tc>
          <w:tcPr>
            <w:tcW w:w="520" w:type="dxa"/>
            <w:vAlign w:val="bottom"/>
            <w:tcBorders>
              <w:bottom w:val="single" w:sz="8" w:color="AEABAB"/>
            </w:tcBorders>
          </w:tcPr>
          <w:p>
            <w:pPr>
              <w:ind w:left="100"/>
              <w:spacing w:after="0"/>
              <w:rPr>
                <w:sz w:val="20"/>
                <w:szCs w:val="20"/>
                <w:color w:val="auto"/>
              </w:rPr>
            </w:pPr>
            <w:r>
              <w:rPr>
                <w:rFonts w:ascii="Times New Roman" w:cs="Times New Roman" w:eastAsia="Times New Roman" w:hAnsi="Times New Roman"/>
                <w:sz w:val="18"/>
                <w:szCs w:val="18"/>
                <w:color w:val="auto"/>
                <w:w w:val="98"/>
              </w:rPr>
              <w:t>74.16</w:t>
            </w:r>
          </w:p>
        </w:tc>
        <w:tc>
          <w:tcPr>
            <w:tcW w:w="1400" w:type="dxa"/>
            <w:vAlign w:val="bottom"/>
            <w:tcBorders>
              <w:bottom w:val="single" w:sz="8" w:color="AEABAB"/>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(4.19) [74.85]</w:t>
            </w:r>
          </w:p>
        </w:tc>
        <w:tc>
          <w:tcPr>
            <w:tcW w:w="0" w:type="dxa"/>
            <w:vAlign w:val="bottom"/>
          </w:tcPr>
          <w:p>
            <w:pPr>
              <w:spacing w:after="0"/>
              <w:rPr>
                <w:sz w:val="1"/>
                <w:szCs w:val="1"/>
                <w:color w:val="auto"/>
              </w:rPr>
            </w:pPr>
          </w:p>
        </w:tc>
      </w:tr>
      <w:tr>
        <w:trPr>
          <w:trHeight w:val="232"/>
        </w:trPr>
        <w:tc>
          <w:tcPr>
            <w:tcW w:w="2400" w:type="dxa"/>
            <w:vAlign w:val="bottom"/>
            <w:tcBorders>
              <w:left w:val="single" w:sz="8" w:color="auto"/>
              <w:right w:val="single" w:sz="8" w:color="auto"/>
            </w:tcBorders>
          </w:tcPr>
          <w:p>
            <w:pPr>
              <w:spacing w:after="0"/>
              <w:rPr>
                <w:sz w:val="20"/>
                <w:szCs w:val="20"/>
                <w:color w:val="auto"/>
              </w:rPr>
            </w:pPr>
          </w:p>
        </w:tc>
        <w:tc>
          <w:tcPr>
            <w:tcW w:w="1980" w:type="dxa"/>
            <w:vAlign w:val="bottom"/>
            <w:tcBorders>
              <w:bottom w:val="single" w:sz="8" w:color="AEABAB"/>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Month 24</w:t>
            </w:r>
          </w:p>
        </w:tc>
        <w:tc>
          <w:tcPr>
            <w:tcW w:w="400" w:type="dxa"/>
            <w:vAlign w:val="bottom"/>
            <w:tcBorders>
              <w:bottom w:val="single" w:sz="8" w:color="AEABAB"/>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47</w:t>
            </w:r>
          </w:p>
        </w:tc>
        <w:tc>
          <w:tcPr>
            <w:tcW w:w="520" w:type="dxa"/>
            <w:vAlign w:val="bottom"/>
            <w:tcBorders>
              <w:bottom w:val="single" w:sz="8" w:color="AEABAB"/>
            </w:tcBorders>
          </w:tcPr>
          <w:p>
            <w:pPr>
              <w:ind w:left="80"/>
              <w:spacing w:after="0"/>
              <w:rPr>
                <w:sz w:val="20"/>
                <w:szCs w:val="20"/>
                <w:color w:val="auto"/>
              </w:rPr>
            </w:pPr>
            <w:r>
              <w:rPr>
                <w:rFonts w:ascii="Times New Roman" w:cs="Times New Roman" w:eastAsia="Times New Roman" w:hAnsi="Times New Roman"/>
                <w:sz w:val="18"/>
                <w:szCs w:val="18"/>
                <w:color w:val="auto"/>
              </w:rPr>
              <w:t>70.53</w:t>
            </w:r>
          </w:p>
        </w:tc>
        <w:tc>
          <w:tcPr>
            <w:tcW w:w="1300" w:type="dxa"/>
            <w:vAlign w:val="bottom"/>
            <w:tcBorders>
              <w:bottom w:val="single" w:sz="8" w:color="AEABAB"/>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(3.19) [69.35]</w:t>
            </w:r>
          </w:p>
        </w:tc>
        <w:tc>
          <w:tcPr>
            <w:tcW w:w="400" w:type="dxa"/>
            <w:vAlign w:val="bottom"/>
            <w:tcBorders>
              <w:bottom w:val="single" w:sz="8" w:color="AEABAB"/>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24</w:t>
            </w:r>
          </w:p>
        </w:tc>
        <w:tc>
          <w:tcPr>
            <w:tcW w:w="520" w:type="dxa"/>
            <w:vAlign w:val="bottom"/>
            <w:tcBorders>
              <w:bottom w:val="single" w:sz="8" w:color="AEABAB"/>
            </w:tcBorders>
          </w:tcPr>
          <w:p>
            <w:pPr>
              <w:ind w:left="100"/>
              <w:spacing w:after="0"/>
              <w:rPr>
                <w:sz w:val="20"/>
                <w:szCs w:val="20"/>
                <w:color w:val="auto"/>
              </w:rPr>
            </w:pPr>
            <w:r>
              <w:rPr>
                <w:rFonts w:ascii="Times New Roman" w:cs="Times New Roman" w:eastAsia="Times New Roman" w:hAnsi="Times New Roman"/>
                <w:sz w:val="18"/>
                <w:szCs w:val="18"/>
                <w:color w:val="auto"/>
                <w:w w:val="98"/>
              </w:rPr>
              <w:t>72.05</w:t>
            </w:r>
          </w:p>
        </w:tc>
        <w:tc>
          <w:tcPr>
            <w:tcW w:w="1400" w:type="dxa"/>
            <w:vAlign w:val="bottom"/>
            <w:tcBorders>
              <w:bottom w:val="single" w:sz="8" w:color="AEABAB"/>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(4.69) [74.48]</w:t>
            </w:r>
          </w:p>
        </w:tc>
        <w:tc>
          <w:tcPr>
            <w:tcW w:w="0" w:type="dxa"/>
            <w:vAlign w:val="bottom"/>
          </w:tcPr>
          <w:p>
            <w:pPr>
              <w:spacing w:after="0"/>
              <w:rPr>
                <w:sz w:val="1"/>
                <w:szCs w:val="1"/>
                <w:color w:val="auto"/>
              </w:rPr>
            </w:pPr>
          </w:p>
        </w:tc>
      </w:tr>
      <w:tr>
        <w:trPr>
          <w:trHeight w:val="214"/>
        </w:trPr>
        <w:tc>
          <w:tcPr>
            <w:tcW w:w="240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Change from Baseline</w:t>
            </w:r>
          </w:p>
        </w:tc>
        <w:tc>
          <w:tcPr>
            <w:tcW w:w="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47</w:t>
            </w:r>
          </w:p>
        </w:tc>
        <w:tc>
          <w:tcPr>
            <w:tcW w:w="182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-3.60 (1.58) [-2.39]</w:t>
            </w:r>
          </w:p>
        </w:tc>
        <w:tc>
          <w:tcPr>
            <w:tcW w:w="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24</w:t>
            </w:r>
          </w:p>
        </w:tc>
        <w:tc>
          <w:tcPr>
            <w:tcW w:w="192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-1.97 (1.51) [-3.20]</w:t>
            </w:r>
          </w:p>
        </w:tc>
        <w:tc>
          <w:tcPr>
            <w:tcW w:w="0" w:type="dxa"/>
            <w:vAlign w:val="bottom"/>
          </w:tcPr>
          <w:p>
            <w:pPr>
              <w:spacing w:after="0"/>
              <w:rPr>
                <w:sz w:val="1"/>
                <w:szCs w:val="1"/>
                <w:color w:val="auto"/>
              </w:rPr>
            </w:pPr>
          </w:p>
        </w:tc>
      </w:tr>
      <w:tr>
        <w:trPr>
          <w:trHeight w:val="183"/>
        </w:trPr>
        <w:tc>
          <w:tcPr>
            <w:tcW w:w="2400" w:type="dxa"/>
            <w:vAlign w:val="bottom"/>
            <w:tcBorders>
              <w:left w:val="single" w:sz="8" w:color="auto"/>
              <w:right w:val="single" w:sz="8" w:color="auto"/>
            </w:tcBorders>
          </w:tcPr>
          <w:p>
            <w:pPr>
              <w:ind w:left="120"/>
              <w:spacing w:after="0" w:line="183" w:lineRule="exact"/>
              <w:rPr>
                <w:sz w:val="20"/>
                <w:szCs w:val="20"/>
                <w:color w:val="auto"/>
              </w:rPr>
            </w:pPr>
            <w:r>
              <w:rPr>
                <w:rFonts w:ascii="Times New Roman" w:cs="Times New Roman" w:eastAsia="Times New Roman" w:hAnsi="Times New Roman"/>
                <w:sz w:val="18"/>
                <w:szCs w:val="18"/>
                <w:color w:val="auto"/>
              </w:rPr>
              <w:t>eGFR slope</w:t>
            </w:r>
          </w:p>
        </w:tc>
        <w:tc>
          <w:tcPr>
            <w:tcW w:w="1980" w:type="dxa"/>
            <w:vAlign w:val="bottom"/>
            <w:tcBorders>
              <w:right w:val="single" w:sz="8" w:color="auto"/>
            </w:tcBorders>
          </w:tcPr>
          <w:p>
            <w:pPr>
              <w:ind w:left="100"/>
              <w:spacing w:after="0" w:line="183" w:lineRule="exact"/>
              <w:rPr>
                <w:sz w:val="20"/>
                <w:szCs w:val="20"/>
                <w:color w:val="auto"/>
              </w:rPr>
            </w:pPr>
            <w:r>
              <w:rPr>
                <w:rFonts w:ascii="Times New Roman" w:cs="Times New Roman" w:eastAsia="Times New Roman" w:hAnsi="Times New Roman"/>
                <w:sz w:val="18"/>
                <w:szCs w:val="18"/>
                <w:color w:val="auto"/>
              </w:rPr>
              <w:t>Baseline</w:t>
            </w:r>
          </w:p>
        </w:tc>
        <w:tc>
          <w:tcPr>
            <w:tcW w:w="40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8"/>
                <w:szCs w:val="18"/>
                <w:color w:val="auto"/>
              </w:rPr>
              <w:t>52</w:t>
            </w:r>
          </w:p>
        </w:tc>
        <w:tc>
          <w:tcPr>
            <w:tcW w:w="1820" w:type="dxa"/>
            <w:vAlign w:val="bottom"/>
            <w:tcBorders>
              <w:right w:val="single" w:sz="8" w:color="auto"/>
            </w:tcBorders>
            <w:gridSpan w:val="2"/>
          </w:tcPr>
          <w:p>
            <w:pPr>
              <w:ind w:left="80"/>
              <w:spacing w:after="0" w:line="183" w:lineRule="exact"/>
              <w:rPr>
                <w:sz w:val="20"/>
                <w:szCs w:val="20"/>
                <w:color w:val="auto"/>
              </w:rPr>
            </w:pPr>
            <w:r>
              <w:rPr>
                <w:rFonts w:ascii="Times New Roman" w:cs="Times New Roman" w:eastAsia="Times New Roman" w:hAnsi="Times New Roman"/>
                <w:sz w:val="18"/>
                <w:szCs w:val="18"/>
                <w:color w:val="auto"/>
              </w:rPr>
              <w:t>-8.03 (0.92) [-6.70]</w:t>
            </w:r>
          </w:p>
        </w:tc>
        <w:tc>
          <w:tcPr>
            <w:tcW w:w="40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8"/>
                <w:szCs w:val="18"/>
                <w:color w:val="auto"/>
              </w:rPr>
              <w:t>25</w:t>
            </w:r>
          </w:p>
        </w:tc>
        <w:tc>
          <w:tcPr>
            <w:tcW w:w="1920" w:type="dxa"/>
            <w:vAlign w:val="bottom"/>
            <w:tcBorders>
              <w:right w:val="single" w:sz="8" w:color="auto"/>
            </w:tcBorders>
            <w:gridSpan w:val="2"/>
          </w:tcPr>
          <w:p>
            <w:pPr>
              <w:ind w:left="100"/>
              <w:spacing w:after="0" w:line="183" w:lineRule="exact"/>
              <w:rPr>
                <w:sz w:val="20"/>
                <w:szCs w:val="20"/>
                <w:color w:val="auto"/>
              </w:rPr>
            </w:pPr>
            <w:r>
              <w:rPr>
                <w:rFonts w:ascii="Times New Roman" w:cs="Times New Roman" w:eastAsia="Times New Roman" w:hAnsi="Times New Roman"/>
                <w:sz w:val="18"/>
                <w:szCs w:val="18"/>
                <w:color w:val="auto"/>
              </w:rPr>
              <w:t>-8.25 (4.27) [-7.84]</w:t>
            </w:r>
          </w:p>
        </w:tc>
        <w:tc>
          <w:tcPr>
            <w:tcW w:w="0" w:type="dxa"/>
            <w:vAlign w:val="bottom"/>
          </w:tcPr>
          <w:p>
            <w:pPr>
              <w:spacing w:after="0"/>
              <w:rPr>
                <w:sz w:val="1"/>
                <w:szCs w:val="1"/>
                <w:color w:val="auto"/>
              </w:rPr>
            </w:pPr>
          </w:p>
        </w:tc>
      </w:tr>
      <w:tr>
        <w:trPr>
          <w:trHeight w:val="242"/>
        </w:trPr>
        <w:tc>
          <w:tcPr>
            <w:tcW w:w="2400" w:type="dxa"/>
            <w:vAlign w:val="bottom"/>
            <w:tcBorders>
              <w:left w:val="single" w:sz="8" w:color="auto"/>
              <w:right w:val="single" w:sz="8" w:color="auto"/>
            </w:tcBorders>
          </w:tcPr>
          <w:p>
            <w:pPr>
              <w:ind w:left="120"/>
              <w:spacing w:after="0" w:line="242" w:lineRule="exact"/>
              <w:rPr>
                <w:sz w:val="20"/>
                <w:szCs w:val="20"/>
                <w:color w:val="auto"/>
              </w:rPr>
            </w:pPr>
            <w:r>
              <w:rPr>
                <w:rFonts w:ascii="Times New Roman" w:cs="Times New Roman" w:eastAsia="Times New Roman" w:hAnsi="Times New Roman"/>
                <w:sz w:val="18"/>
                <w:szCs w:val="18"/>
                <w:color w:val="auto"/>
              </w:rPr>
              <w:t>(ml/min/1.73m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/yr)</w:t>
            </w:r>
          </w:p>
        </w:tc>
        <w:tc>
          <w:tcPr>
            <w:tcW w:w="1980" w:type="dxa"/>
            <w:vAlign w:val="bottom"/>
            <w:tcBorders>
              <w:bottom w:val="single" w:sz="8" w:color="AEABAB"/>
              <w:right w:val="single" w:sz="8" w:color="auto"/>
            </w:tcBorders>
          </w:tcPr>
          <w:p>
            <w:pPr>
              <w:spacing w:after="0"/>
              <w:rPr>
                <w:sz w:val="21"/>
                <w:szCs w:val="21"/>
                <w:color w:val="auto"/>
              </w:rPr>
            </w:pPr>
          </w:p>
        </w:tc>
        <w:tc>
          <w:tcPr>
            <w:tcW w:w="400" w:type="dxa"/>
            <w:vAlign w:val="bottom"/>
            <w:tcBorders>
              <w:bottom w:val="single" w:sz="8" w:color="AEABAB"/>
              <w:right w:val="single" w:sz="8" w:color="auto"/>
            </w:tcBorders>
          </w:tcPr>
          <w:p>
            <w:pPr>
              <w:spacing w:after="0"/>
              <w:rPr>
                <w:sz w:val="21"/>
                <w:szCs w:val="21"/>
                <w:color w:val="auto"/>
              </w:rPr>
            </w:pPr>
          </w:p>
        </w:tc>
        <w:tc>
          <w:tcPr>
            <w:tcW w:w="1820" w:type="dxa"/>
            <w:vAlign w:val="bottom"/>
            <w:tcBorders>
              <w:bottom w:val="single" w:sz="8" w:color="AEABAB"/>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Range: -30.5 ; 6.3</w:t>
            </w:r>
          </w:p>
        </w:tc>
        <w:tc>
          <w:tcPr>
            <w:tcW w:w="400" w:type="dxa"/>
            <w:vAlign w:val="bottom"/>
            <w:tcBorders>
              <w:bottom w:val="single" w:sz="8" w:color="AEABAB"/>
              <w:right w:val="single" w:sz="8" w:color="auto"/>
            </w:tcBorders>
          </w:tcPr>
          <w:p>
            <w:pPr>
              <w:spacing w:after="0"/>
              <w:rPr>
                <w:sz w:val="21"/>
                <w:szCs w:val="21"/>
                <w:color w:val="auto"/>
              </w:rPr>
            </w:pPr>
          </w:p>
        </w:tc>
        <w:tc>
          <w:tcPr>
            <w:tcW w:w="1920" w:type="dxa"/>
            <w:vAlign w:val="bottom"/>
            <w:tcBorders>
              <w:bottom w:val="single" w:sz="8" w:color="AEABAB"/>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Range: -20.3 ; -2.8</w:t>
            </w:r>
          </w:p>
        </w:tc>
        <w:tc>
          <w:tcPr>
            <w:tcW w:w="0" w:type="dxa"/>
            <w:vAlign w:val="bottom"/>
          </w:tcPr>
          <w:p>
            <w:pPr>
              <w:spacing w:after="0"/>
              <w:rPr>
                <w:sz w:val="1"/>
                <w:szCs w:val="1"/>
                <w:color w:val="auto"/>
              </w:rPr>
            </w:pPr>
          </w:p>
        </w:tc>
      </w:tr>
      <w:tr>
        <w:trPr>
          <w:trHeight w:val="191"/>
        </w:trPr>
        <w:tc>
          <w:tcPr>
            <w:tcW w:w="2400" w:type="dxa"/>
            <w:vAlign w:val="bottom"/>
            <w:tcBorders>
              <w:left w:val="single" w:sz="8" w:color="auto"/>
              <w:right w:val="single" w:sz="8" w:color="auto"/>
            </w:tcBorders>
          </w:tcPr>
          <w:p>
            <w:pPr>
              <w:spacing w:after="0"/>
              <w:rPr>
                <w:sz w:val="16"/>
                <w:szCs w:val="16"/>
                <w:color w:val="auto"/>
              </w:rPr>
            </w:pPr>
          </w:p>
        </w:tc>
        <w:tc>
          <w:tcPr>
            <w:tcW w:w="19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Month 24</w:t>
            </w:r>
          </w:p>
        </w:tc>
        <w:tc>
          <w:tcPr>
            <w:tcW w:w="4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51</w:t>
            </w:r>
          </w:p>
        </w:tc>
        <w:tc>
          <w:tcPr>
            <w:tcW w:w="1820" w:type="dxa"/>
            <w:vAlign w:val="bottom"/>
            <w:tcBorders>
              <w:right w:val="single" w:sz="8" w:color="auto"/>
            </w:tcBorders>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-2.38 (1.25) [-2.51]</w:t>
            </w:r>
          </w:p>
        </w:tc>
        <w:tc>
          <w:tcPr>
            <w:tcW w:w="4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25</w:t>
            </w:r>
          </w:p>
        </w:tc>
        <w:tc>
          <w:tcPr>
            <w:tcW w:w="1920" w:type="dxa"/>
            <w:vAlign w:val="bottom"/>
            <w:tcBorders>
              <w:right w:val="single" w:sz="8" w:color="auto"/>
            </w:tcBorders>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-2.31 (0.71) [-2.16]</w:t>
            </w:r>
          </w:p>
        </w:tc>
        <w:tc>
          <w:tcPr>
            <w:tcW w:w="0" w:type="dxa"/>
            <w:vAlign w:val="bottom"/>
          </w:tcPr>
          <w:p>
            <w:pPr>
              <w:spacing w:after="0"/>
              <w:rPr>
                <w:sz w:val="1"/>
                <w:szCs w:val="1"/>
                <w:color w:val="auto"/>
              </w:rPr>
            </w:pPr>
          </w:p>
        </w:tc>
      </w:tr>
      <w:tr>
        <w:trPr>
          <w:trHeight w:val="234"/>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95%CI: -4.8; 0.8</w:t>
            </w:r>
          </w:p>
        </w:tc>
        <w:tc>
          <w:tcPr>
            <w:tcW w:w="40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95%CI: -4.6; -0.5</w:t>
            </w:r>
          </w:p>
        </w:tc>
        <w:tc>
          <w:tcPr>
            <w:tcW w:w="0" w:type="dxa"/>
            <w:vAlign w:val="bottom"/>
          </w:tcPr>
          <w:p>
            <w:pPr>
              <w:spacing w:after="0"/>
              <w:rPr>
                <w:sz w:val="1"/>
                <w:szCs w:val="1"/>
                <w:color w:val="auto"/>
              </w:rPr>
            </w:pPr>
          </w:p>
        </w:tc>
      </w:tr>
      <w:tr>
        <w:trPr>
          <w:trHeight w:val="183"/>
        </w:trPr>
        <w:tc>
          <w:tcPr>
            <w:tcW w:w="2400" w:type="dxa"/>
            <w:vAlign w:val="bottom"/>
            <w:tcBorders>
              <w:left w:val="single" w:sz="8" w:color="auto"/>
              <w:right w:val="single" w:sz="8" w:color="auto"/>
            </w:tcBorders>
          </w:tcPr>
          <w:p>
            <w:pPr>
              <w:ind w:left="120"/>
              <w:spacing w:after="0" w:line="183" w:lineRule="exact"/>
              <w:rPr>
                <w:sz w:val="20"/>
                <w:szCs w:val="20"/>
                <w:color w:val="auto"/>
              </w:rPr>
            </w:pPr>
            <w:r>
              <w:rPr>
                <w:rFonts w:ascii="Times New Roman" w:cs="Times New Roman" w:eastAsia="Times New Roman" w:hAnsi="Times New Roman"/>
                <w:sz w:val="18"/>
                <w:szCs w:val="18"/>
                <w:color w:val="auto"/>
              </w:rPr>
              <w:t>Reaching kidney therapeutic</w:t>
            </w:r>
          </w:p>
        </w:tc>
        <w:tc>
          <w:tcPr>
            <w:tcW w:w="1980" w:type="dxa"/>
            <w:vAlign w:val="bottom"/>
            <w:tcBorders>
              <w:right w:val="single" w:sz="8" w:color="auto"/>
            </w:tcBorders>
          </w:tcPr>
          <w:p>
            <w:pPr>
              <w:ind w:left="100"/>
              <w:spacing w:after="0" w:line="183" w:lineRule="exact"/>
              <w:rPr>
                <w:sz w:val="20"/>
                <w:szCs w:val="20"/>
                <w:color w:val="auto"/>
              </w:rPr>
            </w:pPr>
            <w:r>
              <w:rPr>
                <w:rFonts w:ascii="Times New Roman" w:cs="Times New Roman" w:eastAsia="Times New Roman" w:hAnsi="Times New Roman"/>
                <w:sz w:val="18"/>
                <w:szCs w:val="18"/>
                <w:color w:val="auto"/>
              </w:rPr>
              <w:t>Month 24</w:t>
            </w:r>
          </w:p>
        </w:tc>
        <w:tc>
          <w:tcPr>
            <w:tcW w:w="40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8"/>
                <w:szCs w:val="18"/>
                <w:color w:val="auto"/>
              </w:rPr>
              <w:t>52</w:t>
            </w:r>
          </w:p>
        </w:tc>
        <w:tc>
          <w:tcPr>
            <w:tcW w:w="1820" w:type="dxa"/>
            <w:vAlign w:val="bottom"/>
            <w:tcBorders>
              <w:right w:val="single" w:sz="8" w:color="auto"/>
            </w:tcBorders>
            <w:gridSpan w:val="2"/>
          </w:tcPr>
          <w:p>
            <w:pPr>
              <w:ind w:left="80"/>
              <w:spacing w:after="0" w:line="183" w:lineRule="exact"/>
              <w:rPr>
                <w:sz w:val="20"/>
                <w:szCs w:val="20"/>
                <w:color w:val="auto"/>
              </w:rPr>
            </w:pPr>
            <w:r>
              <w:rPr>
                <w:rFonts w:ascii="Times New Roman" w:cs="Times New Roman" w:eastAsia="Times New Roman" w:hAnsi="Times New Roman"/>
                <w:sz w:val="18"/>
                <w:szCs w:val="18"/>
                <w:color w:val="auto"/>
              </w:rPr>
              <w:t>41 patients (80.4%)</w:t>
            </w:r>
          </w:p>
        </w:tc>
        <w:tc>
          <w:tcPr>
            <w:tcW w:w="40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8"/>
                <w:szCs w:val="18"/>
                <w:color w:val="auto"/>
              </w:rPr>
              <w:t>25</w:t>
            </w:r>
          </w:p>
        </w:tc>
        <w:tc>
          <w:tcPr>
            <w:tcW w:w="1920" w:type="dxa"/>
            <w:vAlign w:val="bottom"/>
            <w:tcBorders>
              <w:right w:val="single" w:sz="8" w:color="auto"/>
            </w:tcBorders>
            <w:gridSpan w:val="2"/>
          </w:tcPr>
          <w:p>
            <w:pPr>
              <w:ind w:left="100"/>
              <w:spacing w:after="0" w:line="183" w:lineRule="exact"/>
              <w:rPr>
                <w:sz w:val="20"/>
                <w:szCs w:val="20"/>
                <w:color w:val="auto"/>
              </w:rPr>
            </w:pPr>
            <w:r>
              <w:rPr>
                <w:rFonts w:ascii="Times New Roman" w:cs="Times New Roman" w:eastAsia="Times New Roman" w:hAnsi="Times New Roman"/>
                <w:sz w:val="18"/>
                <w:szCs w:val="18"/>
                <w:color w:val="auto"/>
              </w:rPr>
              <w:t>20 patients (80.0%)</w:t>
            </w:r>
          </w:p>
        </w:tc>
        <w:tc>
          <w:tcPr>
            <w:tcW w:w="0" w:type="dxa"/>
            <w:vAlign w:val="bottom"/>
          </w:tcPr>
          <w:p>
            <w:pPr>
              <w:spacing w:after="0"/>
              <w:rPr>
                <w:sz w:val="1"/>
                <w:szCs w:val="1"/>
                <w:color w:val="auto"/>
              </w:rPr>
            </w:pPr>
          </w:p>
        </w:tc>
      </w:tr>
      <w:tr>
        <w:trPr>
          <w:trHeight w:val="256"/>
        </w:trPr>
        <w:tc>
          <w:tcPr>
            <w:tcW w:w="2400" w:type="dxa"/>
            <w:vAlign w:val="bottom"/>
            <w:tcBorders>
              <w:left w:val="single" w:sz="8" w:color="auto"/>
              <w:bottom w:val="single" w:sz="8" w:color="auto"/>
              <w:right w:val="single" w:sz="8" w:color="auto"/>
            </w:tcBorders>
          </w:tcPr>
          <w:p>
            <w:pPr>
              <w:ind w:left="120"/>
              <w:spacing w:after="0" w:line="256" w:lineRule="exact"/>
              <w:rPr>
                <w:sz w:val="20"/>
                <w:szCs w:val="20"/>
                <w:color w:val="auto"/>
              </w:rPr>
            </w:pPr>
            <w:r>
              <w:rPr>
                <w:rFonts w:ascii="Times New Roman" w:cs="Times New Roman" w:eastAsia="Times New Roman" w:hAnsi="Times New Roman"/>
                <w:sz w:val="18"/>
                <w:szCs w:val="18"/>
                <w:color w:val="auto"/>
              </w:rPr>
              <w:t>goal</w:t>
            </w:r>
            <w:r>
              <w:rPr>
                <w:rFonts w:ascii="Times New Roman" w:cs="Times New Roman" w:eastAsia="Times New Roman" w:hAnsi="Times New Roman"/>
                <w:sz w:val="26"/>
                <w:szCs w:val="26"/>
                <w:color w:val="auto"/>
                <w:vertAlign w:val="superscript"/>
              </w:rPr>
              <w:t>a</w:t>
            </w:r>
          </w:p>
        </w:tc>
        <w:tc>
          <w:tcPr>
            <w:tcW w:w="1980" w:type="dxa"/>
            <w:vAlign w:val="bottom"/>
            <w:tcBorders>
              <w:bottom w:val="single" w:sz="8" w:color="auto"/>
              <w:right w:val="single" w:sz="8" w:color="auto"/>
            </w:tcBorders>
          </w:tcPr>
          <w:p>
            <w:pPr>
              <w:spacing w:after="0"/>
              <w:rPr>
                <w:sz w:val="22"/>
                <w:szCs w:val="22"/>
                <w:color w:val="auto"/>
              </w:rPr>
            </w:pPr>
          </w:p>
        </w:tc>
        <w:tc>
          <w:tcPr>
            <w:tcW w:w="400" w:type="dxa"/>
            <w:vAlign w:val="bottom"/>
            <w:tcBorders>
              <w:bottom w:val="single" w:sz="8" w:color="auto"/>
              <w:right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spacing w:after="0"/>
              <w:rPr>
                <w:sz w:val="22"/>
                <w:szCs w:val="22"/>
                <w:color w:val="auto"/>
              </w:rPr>
            </w:pPr>
          </w:p>
        </w:tc>
        <w:tc>
          <w:tcPr>
            <w:tcW w:w="400" w:type="dxa"/>
            <w:vAlign w:val="bottom"/>
            <w:tcBorders>
              <w:bottom w:val="single" w:sz="8" w:color="auto"/>
              <w:right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4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UPCR</w:t>
            </w:r>
          </w:p>
        </w:tc>
        <w:tc>
          <w:tcPr>
            <w:tcW w:w="1980" w:type="dxa"/>
            <w:vAlign w:val="bottom"/>
            <w:tcBorders>
              <w:bottom w:val="single" w:sz="8" w:color="AEABAB"/>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Baseline</w:t>
            </w:r>
          </w:p>
        </w:tc>
        <w:tc>
          <w:tcPr>
            <w:tcW w:w="400" w:type="dxa"/>
            <w:vAlign w:val="bottom"/>
            <w:tcBorders>
              <w:bottom w:val="single" w:sz="8" w:color="AEABAB"/>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52</w:t>
            </w:r>
          </w:p>
        </w:tc>
        <w:tc>
          <w:tcPr>
            <w:tcW w:w="520" w:type="dxa"/>
            <w:vAlign w:val="bottom"/>
            <w:tcBorders>
              <w:bottom w:val="single" w:sz="8" w:color="AEABAB"/>
            </w:tcBorders>
          </w:tcPr>
          <w:p>
            <w:pPr>
              <w:ind w:left="80"/>
              <w:spacing w:after="0"/>
              <w:rPr>
                <w:sz w:val="20"/>
                <w:szCs w:val="20"/>
                <w:color w:val="auto"/>
              </w:rPr>
            </w:pPr>
            <w:r>
              <w:rPr>
                <w:rFonts w:ascii="Times New Roman" w:cs="Times New Roman" w:eastAsia="Times New Roman" w:hAnsi="Times New Roman"/>
                <w:sz w:val="18"/>
                <w:szCs w:val="18"/>
                <w:color w:val="auto"/>
              </w:rPr>
              <w:t>0.441</w:t>
            </w:r>
          </w:p>
        </w:tc>
        <w:tc>
          <w:tcPr>
            <w:tcW w:w="1300" w:type="dxa"/>
            <w:vAlign w:val="bottom"/>
            <w:tcBorders>
              <w:bottom w:val="single" w:sz="8" w:color="AEABAB"/>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(0.084)</w:t>
            </w:r>
          </w:p>
        </w:tc>
        <w:tc>
          <w:tcPr>
            <w:tcW w:w="400" w:type="dxa"/>
            <w:vAlign w:val="bottom"/>
            <w:tcBorders>
              <w:bottom w:val="single" w:sz="8" w:color="AEABAB"/>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25</w:t>
            </w:r>
          </w:p>
        </w:tc>
        <w:tc>
          <w:tcPr>
            <w:tcW w:w="520" w:type="dxa"/>
            <w:vAlign w:val="bottom"/>
            <w:tcBorders>
              <w:bottom w:val="single" w:sz="8" w:color="AEABAB"/>
            </w:tcBorders>
          </w:tcPr>
          <w:p>
            <w:pPr>
              <w:ind w:left="100"/>
              <w:spacing w:after="0"/>
              <w:rPr>
                <w:sz w:val="20"/>
                <w:szCs w:val="20"/>
                <w:color w:val="auto"/>
              </w:rPr>
            </w:pPr>
            <w:r>
              <w:rPr>
                <w:rFonts w:ascii="Times New Roman" w:cs="Times New Roman" w:eastAsia="Times New Roman" w:hAnsi="Times New Roman"/>
                <w:sz w:val="18"/>
                <w:szCs w:val="18"/>
                <w:color w:val="auto"/>
                <w:w w:val="98"/>
              </w:rPr>
              <w:t>0.284</w:t>
            </w:r>
          </w:p>
        </w:tc>
        <w:tc>
          <w:tcPr>
            <w:tcW w:w="1400" w:type="dxa"/>
            <w:vAlign w:val="bottom"/>
            <w:tcBorders>
              <w:bottom w:val="single" w:sz="8" w:color="AEABAB"/>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(0.097)</w:t>
            </w:r>
          </w:p>
        </w:tc>
        <w:tc>
          <w:tcPr>
            <w:tcW w:w="0" w:type="dxa"/>
            <w:vAlign w:val="bottom"/>
          </w:tcPr>
          <w:p>
            <w:pPr>
              <w:spacing w:after="0"/>
              <w:rPr>
                <w:sz w:val="1"/>
                <w:szCs w:val="1"/>
                <w:color w:val="auto"/>
              </w:rPr>
            </w:pPr>
          </w:p>
        </w:tc>
      </w:tr>
      <w:tr>
        <w:trPr>
          <w:trHeight w:val="236"/>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1980" w:type="dxa"/>
            <w:vAlign w:val="bottom"/>
            <w:tcBorders>
              <w:bottom w:val="single" w:sz="8" w:color="AEABAB"/>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Month 24</w:t>
            </w:r>
          </w:p>
        </w:tc>
        <w:tc>
          <w:tcPr>
            <w:tcW w:w="400" w:type="dxa"/>
            <w:vAlign w:val="bottom"/>
            <w:tcBorders>
              <w:bottom w:val="single" w:sz="8" w:color="AEABAB"/>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45</w:t>
            </w:r>
          </w:p>
        </w:tc>
        <w:tc>
          <w:tcPr>
            <w:tcW w:w="520" w:type="dxa"/>
            <w:vAlign w:val="bottom"/>
            <w:tcBorders>
              <w:bottom w:val="single" w:sz="8" w:color="AEABAB"/>
            </w:tcBorders>
          </w:tcPr>
          <w:p>
            <w:pPr>
              <w:ind w:left="80"/>
              <w:spacing w:after="0"/>
              <w:rPr>
                <w:sz w:val="20"/>
                <w:szCs w:val="20"/>
                <w:color w:val="auto"/>
              </w:rPr>
            </w:pPr>
            <w:r>
              <w:rPr>
                <w:rFonts w:ascii="Times New Roman" w:cs="Times New Roman" w:eastAsia="Times New Roman" w:hAnsi="Times New Roman"/>
                <w:sz w:val="18"/>
                <w:szCs w:val="18"/>
                <w:color w:val="auto"/>
              </w:rPr>
              <w:t>0.480</w:t>
            </w:r>
          </w:p>
        </w:tc>
        <w:tc>
          <w:tcPr>
            <w:tcW w:w="1300" w:type="dxa"/>
            <w:vAlign w:val="bottom"/>
            <w:tcBorders>
              <w:bottom w:val="single" w:sz="8" w:color="AEABAB"/>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(0.118)</w:t>
            </w:r>
          </w:p>
        </w:tc>
        <w:tc>
          <w:tcPr>
            <w:tcW w:w="400" w:type="dxa"/>
            <w:vAlign w:val="bottom"/>
            <w:tcBorders>
              <w:bottom w:val="single" w:sz="8" w:color="AEABAB"/>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24</w:t>
            </w:r>
          </w:p>
        </w:tc>
        <w:tc>
          <w:tcPr>
            <w:tcW w:w="520" w:type="dxa"/>
            <w:vAlign w:val="bottom"/>
            <w:tcBorders>
              <w:bottom w:val="single" w:sz="8" w:color="AEABAB"/>
            </w:tcBorders>
          </w:tcPr>
          <w:p>
            <w:pPr>
              <w:ind w:left="100"/>
              <w:spacing w:after="0"/>
              <w:rPr>
                <w:sz w:val="20"/>
                <w:szCs w:val="20"/>
                <w:color w:val="auto"/>
              </w:rPr>
            </w:pPr>
            <w:r>
              <w:rPr>
                <w:rFonts w:ascii="Times New Roman" w:cs="Times New Roman" w:eastAsia="Times New Roman" w:hAnsi="Times New Roman"/>
                <w:sz w:val="18"/>
                <w:szCs w:val="18"/>
                <w:color w:val="auto"/>
                <w:w w:val="98"/>
              </w:rPr>
              <w:t>0.489</w:t>
            </w:r>
          </w:p>
        </w:tc>
        <w:tc>
          <w:tcPr>
            <w:tcW w:w="1400" w:type="dxa"/>
            <w:vAlign w:val="bottom"/>
            <w:tcBorders>
              <w:bottom w:val="single" w:sz="8" w:color="AEABAB"/>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(0.162)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1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from Baseline</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0.088</w:t>
            </w: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(0.067)</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0.197</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(0.085)</w:t>
            </w:r>
          </w:p>
        </w:tc>
        <w:tc>
          <w:tcPr>
            <w:tcW w:w="0" w:type="dxa"/>
            <w:vAlign w:val="bottom"/>
          </w:tcPr>
          <w:p>
            <w:pPr>
              <w:spacing w:after="0"/>
              <w:rPr>
                <w:sz w:val="1"/>
                <w:szCs w:val="1"/>
                <w:color w:val="auto"/>
              </w:rPr>
            </w:pPr>
          </w:p>
        </w:tc>
      </w:tr>
      <w:tr>
        <w:trPr>
          <w:trHeight w:val="27"/>
        </w:trPr>
        <w:tc>
          <w:tcPr>
            <w:tcW w:w="2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80" w:type="dxa"/>
            <w:vAlign w:val="bottom"/>
          </w:tcPr>
          <w:p>
            <w:pPr>
              <w:ind w:left="120"/>
              <w:spacing w:after="0" w:line="236" w:lineRule="exact"/>
              <w:rPr>
                <w:sz w:val="20"/>
                <w:szCs w:val="20"/>
                <w:color w:val="auto"/>
              </w:rPr>
            </w:pPr>
            <w:r>
              <w:rPr>
                <w:rFonts w:ascii="Times New Roman" w:cs="Times New Roman" w:eastAsia="Times New Roman" w:hAnsi="Times New Roman"/>
                <w:sz w:val="18"/>
                <w:szCs w:val="18"/>
                <w:color w:val="auto"/>
              </w:rPr>
              <w:t>Plasma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(nM)</w:t>
            </w:r>
          </w:p>
        </w:tc>
        <w:tc>
          <w:tcPr>
            <w:tcW w:w="1900" w:type="dxa"/>
            <w:vAlign w:val="bottom"/>
            <w:tcBorders>
              <w:bottom w:val="single" w:sz="8" w:color="AEABAB"/>
            </w:tcBorders>
          </w:tcPr>
          <w:p>
            <w:pPr>
              <w:ind w:left="120"/>
              <w:spacing w:after="0"/>
              <w:rPr>
                <w:sz w:val="20"/>
                <w:szCs w:val="20"/>
                <w:color w:val="auto"/>
              </w:rPr>
            </w:pPr>
            <w:r>
              <w:rPr>
                <w:rFonts w:ascii="Times New Roman" w:cs="Times New Roman" w:eastAsia="Times New Roman" w:hAnsi="Times New Roman"/>
                <w:sz w:val="18"/>
                <w:szCs w:val="18"/>
                <w:color w:val="auto"/>
              </w:rPr>
              <w:t>Baseline</w:t>
            </w:r>
          </w:p>
        </w:tc>
        <w:tc>
          <w:tcPr>
            <w:tcW w:w="480" w:type="dxa"/>
            <w:vAlign w:val="bottom"/>
            <w:tcBorders>
              <w:bottom w:val="single" w:sz="8" w:color="AEABAB"/>
            </w:tcBorders>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540" w:type="dxa"/>
            <w:vAlign w:val="bottom"/>
            <w:tcBorders>
              <w:bottom w:val="single" w:sz="8" w:color="AEABAB"/>
            </w:tcBorders>
          </w:tcPr>
          <w:p>
            <w:pPr>
              <w:ind w:left="100"/>
              <w:spacing w:after="0"/>
              <w:rPr>
                <w:sz w:val="20"/>
                <w:szCs w:val="20"/>
                <w:color w:val="auto"/>
              </w:rPr>
            </w:pPr>
            <w:r>
              <w:rPr>
                <w:rFonts w:ascii="Times New Roman" w:cs="Times New Roman" w:eastAsia="Times New Roman" w:hAnsi="Times New Roman"/>
                <w:sz w:val="18"/>
                <w:szCs w:val="18"/>
                <w:color w:val="auto"/>
              </w:rPr>
              <w:t>26.22</w:t>
            </w:r>
          </w:p>
        </w:tc>
        <w:tc>
          <w:tcPr>
            <w:tcW w:w="1200" w:type="dxa"/>
            <w:vAlign w:val="bottom"/>
            <w:tcBorders>
              <w:bottom w:val="single" w:sz="8" w:color="AEABAB"/>
            </w:tcBorders>
          </w:tcPr>
          <w:p>
            <w:pPr>
              <w:ind w:left="20"/>
              <w:spacing w:after="0"/>
              <w:rPr>
                <w:sz w:val="20"/>
                <w:szCs w:val="20"/>
                <w:color w:val="auto"/>
              </w:rPr>
            </w:pPr>
            <w:r>
              <w:rPr>
                <w:rFonts w:ascii="Times New Roman" w:cs="Times New Roman" w:eastAsia="Times New Roman" w:hAnsi="Times New Roman"/>
                <w:sz w:val="18"/>
                <w:szCs w:val="18"/>
                <w:color w:val="auto"/>
              </w:rPr>
              <w:t>(3.78) [15.20]</w:t>
            </w:r>
          </w:p>
        </w:tc>
        <w:tc>
          <w:tcPr>
            <w:tcW w:w="480" w:type="dxa"/>
            <w:vAlign w:val="bottom"/>
            <w:tcBorders>
              <w:bottom w:val="single" w:sz="8" w:color="AEABAB"/>
            </w:tcBorders>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540" w:type="dxa"/>
            <w:vAlign w:val="bottom"/>
            <w:tcBorders>
              <w:bottom w:val="single" w:sz="8" w:color="AEABAB"/>
            </w:tcBorders>
          </w:tcPr>
          <w:p>
            <w:pPr>
              <w:ind w:left="120"/>
              <w:spacing w:after="0"/>
              <w:rPr>
                <w:sz w:val="20"/>
                <w:szCs w:val="20"/>
                <w:color w:val="auto"/>
              </w:rPr>
            </w:pPr>
            <w:r>
              <w:rPr>
                <w:rFonts w:ascii="Times New Roman" w:cs="Times New Roman" w:eastAsia="Times New Roman" w:hAnsi="Times New Roman"/>
                <w:sz w:val="18"/>
                <w:szCs w:val="18"/>
                <w:color w:val="auto"/>
                <w:w w:val="98"/>
              </w:rPr>
              <w:t>32.14</w:t>
            </w:r>
          </w:p>
        </w:tc>
        <w:tc>
          <w:tcPr>
            <w:tcW w:w="1400" w:type="dxa"/>
            <w:vAlign w:val="bottom"/>
            <w:tcBorders>
              <w:bottom w:val="single" w:sz="8" w:color="AEABAB"/>
            </w:tcBorders>
          </w:tcPr>
          <w:p>
            <w:pPr>
              <w:ind w:left="20"/>
              <w:spacing w:after="0"/>
              <w:rPr>
                <w:sz w:val="20"/>
                <w:szCs w:val="20"/>
                <w:color w:val="auto"/>
              </w:rPr>
            </w:pPr>
            <w:r>
              <w:rPr>
                <w:rFonts w:ascii="Times New Roman" w:cs="Times New Roman" w:eastAsia="Times New Roman" w:hAnsi="Times New Roman"/>
                <w:sz w:val="18"/>
                <w:szCs w:val="18"/>
                <w:color w:val="auto"/>
              </w:rPr>
              <w:t>(7.08) [17.60]</w:t>
            </w:r>
          </w:p>
        </w:tc>
        <w:tc>
          <w:tcPr>
            <w:tcW w:w="0" w:type="dxa"/>
            <w:vAlign w:val="bottom"/>
          </w:tcPr>
          <w:p>
            <w:pPr>
              <w:spacing w:after="0"/>
              <w:rPr>
                <w:sz w:val="1"/>
                <w:szCs w:val="1"/>
                <w:color w:val="auto"/>
              </w:rPr>
            </w:pPr>
          </w:p>
        </w:tc>
      </w:tr>
      <w:tr>
        <w:trPr>
          <w:trHeight w:val="232"/>
        </w:trPr>
        <w:tc>
          <w:tcPr>
            <w:tcW w:w="2380" w:type="dxa"/>
            <w:vAlign w:val="bottom"/>
          </w:tcPr>
          <w:p>
            <w:pPr>
              <w:spacing w:after="0"/>
              <w:rPr>
                <w:sz w:val="20"/>
                <w:szCs w:val="20"/>
                <w:color w:val="auto"/>
              </w:rPr>
            </w:pPr>
          </w:p>
        </w:tc>
        <w:tc>
          <w:tcPr>
            <w:tcW w:w="1900" w:type="dxa"/>
            <w:vAlign w:val="bottom"/>
            <w:tcBorders>
              <w:bottom w:val="single" w:sz="8" w:color="AEABAB"/>
            </w:tcBorders>
          </w:tcPr>
          <w:p>
            <w:pPr>
              <w:ind w:left="120"/>
              <w:spacing w:after="0"/>
              <w:rPr>
                <w:sz w:val="20"/>
                <w:szCs w:val="20"/>
                <w:color w:val="auto"/>
              </w:rPr>
            </w:pPr>
            <w:r>
              <w:rPr>
                <w:rFonts w:ascii="Times New Roman" w:cs="Times New Roman" w:eastAsia="Times New Roman" w:hAnsi="Times New Roman"/>
                <w:sz w:val="18"/>
                <w:szCs w:val="18"/>
                <w:color w:val="auto"/>
              </w:rPr>
              <w:t>Month 24</w:t>
            </w:r>
          </w:p>
        </w:tc>
        <w:tc>
          <w:tcPr>
            <w:tcW w:w="480" w:type="dxa"/>
            <w:vAlign w:val="bottom"/>
            <w:tcBorders>
              <w:bottom w:val="single" w:sz="8" w:color="AEABAB"/>
            </w:tcBorders>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540" w:type="dxa"/>
            <w:vAlign w:val="bottom"/>
            <w:tcBorders>
              <w:bottom w:val="single" w:sz="8" w:color="AEABAB"/>
            </w:tcBorders>
          </w:tcPr>
          <w:p>
            <w:pPr>
              <w:ind w:left="100"/>
              <w:spacing w:after="0"/>
              <w:rPr>
                <w:sz w:val="20"/>
                <w:szCs w:val="20"/>
                <w:color w:val="auto"/>
              </w:rPr>
            </w:pPr>
            <w:r>
              <w:rPr>
                <w:rFonts w:ascii="Times New Roman" w:cs="Times New Roman" w:eastAsia="Times New Roman" w:hAnsi="Times New Roman"/>
                <w:sz w:val="18"/>
                <w:szCs w:val="18"/>
                <w:color w:val="auto"/>
              </w:rPr>
              <w:t>29.22</w:t>
            </w:r>
          </w:p>
        </w:tc>
        <w:tc>
          <w:tcPr>
            <w:tcW w:w="1200" w:type="dxa"/>
            <w:vAlign w:val="bottom"/>
            <w:tcBorders>
              <w:bottom w:val="single" w:sz="8" w:color="AEABAB"/>
            </w:tcBorders>
          </w:tcPr>
          <w:p>
            <w:pPr>
              <w:ind w:left="20"/>
              <w:spacing w:after="0"/>
              <w:rPr>
                <w:sz w:val="20"/>
                <w:szCs w:val="20"/>
                <w:color w:val="auto"/>
              </w:rPr>
            </w:pPr>
            <w:r>
              <w:rPr>
                <w:rFonts w:ascii="Times New Roman" w:cs="Times New Roman" w:eastAsia="Times New Roman" w:hAnsi="Times New Roman"/>
                <w:sz w:val="18"/>
                <w:szCs w:val="18"/>
                <w:color w:val="auto"/>
              </w:rPr>
              <w:t>(4.48) [18.80]</w:t>
            </w:r>
          </w:p>
        </w:tc>
        <w:tc>
          <w:tcPr>
            <w:tcW w:w="480" w:type="dxa"/>
            <w:vAlign w:val="bottom"/>
            <w:tcBorders>
              <w:bottom w:val="single" w:sz="8" w:color="AEABAB"/>
            </w:tcBorders>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540" w:type="dxa"/>
            <w:vAlign w:val="bottom"/>
            <w:tcBorders>
              <w:bottom w:val="single" w:sz="8" w:color="AEABAB"/>
            </w:tcBorders>
          </w:tcPr>
          <w:p>
            <w:pPr>
              <w:ind w:left="120"/>
              <w:spacing w:after="0"/>
              <w:rPr>
                <w:sz w:val="20"/>
                <w:szCs w:val="20"/>
                <w:color w:val="auto"/>
              </w:rPr>
            </w:pPr>
            <w:r>
              <w:rPr>
                <w:rFonts w:ascii="Times New Roman" w:cs="Times New Roman" w:eastAsia="Times New Roman" w:hAnsi="Times New Roman"/>
                <w:sz w:val="18"/>
                <w:szCs w:val="18"/>
                <w:color w:val="auto"/>
                <w:w w:val="98"/>
              </w:rPr>
              <w:t>19.65</w:t>
            </w:r>
          </w:p>
        </w:tc>
        <w:tc>
          <w:tcPr>
            <w:tcW w:w="1400" w:type="dxa"/>
            <w:vAlign w:val="bottom"/>
            <w:tcBorders>
              <w:bottom w:val="single" w:sz="8" w:color="AEABAB"/>
            </w:tcBorders>
          </w:tcPr>
          <w:p>
            <w:pPr>
              <w:ind w:left="20"/>
              <w:spacing w:after="0"/>
              <w:rPr>
                <w:sz w:val="20"/>
                <w:szCs w:val="20"/>
                <w:color w:val="auto"/>
              </w:rPr>
            </w:pPr>
            <w:r>
              <w:rPr>
                <w:rFonts w:ascii="Times New Roman" w:cs="Times New Roman" w:eastAsia="Times New Roman" w:hAnsi="Times New Roman"/>
                <w:sz w:val="18"/>
                <w:szCs w:val="18"/>
                <w:color w:val="auto"/>
              </w:rPr>
              <w:t>(3.60) [15.30]</w:t>
            </w:r>
          </w:p>
        </w:tc>
        <w:tc>
          <w:tcPr>
            <w:tcW w:w="0" w:type="dxa"/>
            <w:vAlign w:val="bottom"/>
          </w:tcPr>
          <w:p>
            <w:pPr>
              <w:spacing w:after="0"/>
              <w:rPr>
                <w:sz w:val="1"/>
                <w:szCs w:val="1"/>
                <w:color w:val="auto"/>
              </w:rPr>
            </w:pPr>
          </w:p>
        </w:tc>
      </w:tr>
      <w:tr>
        <w:trPr>
          <w:trHeight w:val="237"/>
        </w:trPr>
        <w:tc>
          <w:tcPr>
            <w:tcW w:w="23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Change from Baseline</w:t>
            </w:r>
          </w:p>
        </w:tc>
        <w:tc>
          <w:tcPr>
            <w:tcW w:w="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7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3.30 (1.38) [1.15]</w:t>
            </w:r>
          </w:p>
        </w:tc>
        <w:tc>
          <w:tcPr>
            <w:tcW w:w="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9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-8.74 (4.85) [-1.50]</w:t>
            </w:r>
          </w:p>
        </w:tc>
        <w:tc>
          <w:tcPr>
            <w:tcW w:w="0" w:type="dxa"/>
            <w:vAlign w:val="bottom"/>
          </w:tcPr>
          <w:p>
            <w:pPr>
              <w:spacing w:after="0"/>
              <w:rPr>
                <w:sz w:val="1"/>
                <w:szCs w:val="1"/>
                <w:color w:val="auto"/>
              </w:rPr>
            </w:pPr>
          </w:p>
        </w:tc>
      </w:tr>
      <w:tr>
        <w:trPr>
          <w:trHeight w:val="214"/>
        </w:trPr>
        <w:tc>
          <w:tcPr>
            <w:tcW w:w="2380" w:type="dxa"/>
            <w:vAlign w:val="bottom"/>
          </w:tcPr>
          <w:p>
            <w:pPr>
              <w:ind w:left="120"/>
              <w:spacing w:after="0" w:line="213" w:lineRule="exact"/>
              <w:rPr>
                <w:sz w:val="20"/>
                <w:szCs w:val="20"/>
                <w:color w:val="auto"/>
              </w:rPr>
            </w:pPr>
            <w:r>
              <w:rPr>
                <w:rFonts w:ascii="Times New Roman" w:cs="Times New Roman" w:eastAsia="Times New Roman" w:hAnsi="Times New Roman"/>
                <w:sz w:val="17"/>
                <w:szCs w:val="17"/>
                <w:color w:val="auto"/>
              </w:rPr>
              <w:t>LVMI (g/m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7"/>
                <w:szCs w:val="17"/>
                <w:color w:val="auto"/>
              </w:rPr>
              <w:t>)</w:t>
            </w:r>
          </w:p>
        </w:tc>
        <w:tc>
          <w:tcPr>
            <w:tcW w:w="1900" w:type="dxa"/>
            <w:vAlign w:val="bottom"/>
            <w:tcBorders>
              <w:bottom w:val="single" w:sz="8" w:color="AEABAB"/>
            </w:tcBorders>
          </w:tcPr>
          <w:p>
            <w:pPr>
              <w:ind w:left="120"/>
              <w:spacing w:after="0"/>
              <w:rPr>
                <w:sz w:val="20"/>
                <w:szCs w:val="20"/>
                <w:color w:val="auto"/>
              </w:rPr>
            </w:pPr>
            <w:r>
              <w:rPr>
                <w:rFonts w:ascii="Times New Roman" w:cs="Times New Roman" w:eastAsia="Times New Roman" w:hAnsi="Times New Roman"/>
                <w:sz w:val="18"/>
                <w:szCs w:val="18"/>
                <w:color w:val="auto"/>
              </w:rPr>
              <w:t>Baseline</w:t>
            </w:r>
          </w:p>
        </w:tc>
        <w:tc>
          <w:tcPr>
            <w:tcW w:w="480" w:type="dxa"/>
            <w:vAlign w:val="bottom"/>
            <w:tcBorders>
              <w:bottom w:val="single" w:sz="8" w:color="AEABAB"/>
            </w:tcBorders>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540" w:type="dxa"/>
            <w:vAlign w:val="bottom"/>
            <w:tcBorders>
              <w:bottom w:val="single" w:sz="8" w:color="AEABAB"/>
            </w:tcBorders>
          </w:tcPr>
          <w:p>
            <w:pPr>
              <w:ind w:left="100"/>
              <w:spacing w:after="0"/>
              <w:rPr>
                <w:sz w:val="20"/>
                <w:szCs w:val="20"/>
                <w:color w:val="auto"/>
              </w:rPr>
            </w:pPr>
            <w:r>
              <w:rPr>
                <w:rFonts w:ascii="Times New Roman" w:cs="Times New Roman" w:eastAsia="Times New Roman" w:hAnsi="Times New Roman"/>
                <w:sz w:val="18"/>
                <w:szCs w:val="18"/>
                <w:color w:val="auto"/>
              </w:rPr>
              <w:t>75.97</w:t>
            </w:r>
          </w:p>
        </w:tc>
        <w:tc>
          <w:tcPr>
            <w:tcW w:w="1200" w:type="dxa"/>
            <w:vAlign w:val="bottom"/>
            <w:tcBorders>
              <w:bottom w:val="single" w:sz="8" w:color="AEABAB"/>
            </w:tcBorders>
          </w:tcPr>
          <w:p>
            <w:pPr>
              <w:ind w:left="20"/>
              <w:spacing w:after="0"/>
              <w:rPr>
                <w:sz w:val="20"/>
                <w:szCs w:val="20"/>
                <w:color w:val="auto"/>
              </w:rPr>
            </w:pPr>
            <w:r>
              <w:rPr>
                <w:rFonts w:ascii="Times New Roman" w:cs="Times New Roman" w:eastAsia="Times New Roman" w:hAnsi="Times New Roman"/>
                <w:sz w:val="18"/>
                <w:szCs w:val="18"/>
                <w:color w:val="auto"/>
              </w:rPr>
              <w:t>(5.13)</w:t>
            </w:r>
          </w:p>
        </w:tc>
        <w:tc>
          <w:tcPr>
            <w:tcW w:w="480" w:type="dxa"/>
            <w:vAlign w:val="bottom"/>
            <w:tcBorders>
              <w:bottom w:val="single" w:sz="8" w:color="AEABAB"/>
            </w:tcBorders>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540" w:type="dxa"/>
            <w:vAlign w:val="bottom"/>
            <w:tcBorders>
              <w:bottom w:val="single" w:sz="8" w:color="AEABAB"/>
            </w:tcBorders>
          </w:tcPr>
          <w:p>
            <w:pPr>
              <w:ind w:left="120"/>
              <w:spacing w:after="0"/>
              <w:rPr>
                <w:sz w:val="20"/>
                <w:szCs w:val="20"/>
                <w:color w:val="auto"/>
              </w:rPr>
            </w:pPr>
            <w:r>
              <w:rPr>
                <w:rFonts w:ascii="Times New Roman" w:cs="Times New Roman" w:eastAsia="Times New Roman" w:hAnsi="Times New Roman"/>
                <w:sz w:val="18"/>
                <w:szCs w:val="18"/>
                <w:color w:val="auto"/>
                <w:w w:val="98"/>
              </w:rPr>
              <w:t>82.22</w:t>
            </w:r>
          </w:p>
        </w:tc>
        <w:tc>
          <w:tcPr>
            <w:tcW w:w="1400" w:type="dxa"/>
            <w:vAlign w:val="bottom"/>
            <w:tcBorders>
              <w:bottom w:val="single" w:sz="8" w:color="AEABAB"/>
            </w:tcBorders>
          </w:tcPr>
          <w:p>
            <w:pPr>
              <w:ind w:left="20"/>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32"/>
        </w:trPr>
        <w:tc>
          <w:tcPr>
            <w:tcW w:w="2380" w:type="dxa"/>
            <w:vAlign w:val="bottom"/>
          </w:tcPr>
          <w:p>
            <w:pPr>
              <w:spacing w:after="0"/>
              <w:rPr>
                <w:sz w:val="20"/>
                <w:szCs w:val="20"/>
                <w:color w:val="auto"/>
              </w:rPr>
            </w:pPr>
          </w:p>
        </w:tc>
        <w:tc>
          <w:tcPr>
            <w:tcW w:w="1900" w:type="dxa"/>
            <w:vAlign w:val="bottom"/>
            <w:tcBorders>
              <w:bottom w:val="single" w:sz="8" w:color="AEABAB"/>
            </w:tcBorders>
          </w:tcPr>
          <w:p>
            <w:pPr>
              <w:ind w:left="120"/>
              <w:spacing w:after="0"/>
              <w:rPr>
                <w:sz w:val="20"/>
                <w:szCs w:val="20"/>
                <w:color w:val="auto"/>
              </w:rPr>
            </w:pPr>
            <w:r>
              <w:rPr>
                <w:rFonts w:ascii="Times New Roman" w:cs="Times New Roman" w:eastAsia="Times New Roman" w:hAnsi="Times New Roman"/>
                <w:sz w:val="18"/>
                <w:szCs w:val="18"/>
                <w:color w:val="auto"/>
              </w:rPr>
              <w:t>Month 24</w:t>
            </w:r>
          </w:p>
        </w:tc>
        <w:tc>
          <w:tcPr>
            <w:tcW w:w="480" w:type="dxa"/>
            <w:vAlign w:val="bottom"/>
            <w:tcBorders>
              <w:bottom w:val="single" w:sz="8" w:color="AEABAB"/>
            </w:tcBorders>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540" w:type="dxa"/>
            <w:vAlign w:val="bottom"/>
            <w:tcBorders>
              <w:bottom w:val="single" w:sz="8" w:color="AEABAB"/>
            </w:tcBorders>
          </w:tcPr>
          <w:p>
            <w:pPr>
              <w:ind w:left="100"/>
              <w:spacing w:after="0"/>
              <w:rPr>
                <w:sz w:val="20"/>
                <w:szCs w:val="20"/>
                <w:color w:val="auto"/>
              </w:rPr>
            </w:pPr>
            <w:r>
              <w:rPr>
                <w:rFonts w:ascii="Times New Roman" w:cs="Times New Roman" w:eastAsia="Times New Roman" w:hAnsi="Times New Roman"/>
                <w:sz w:val="18"/>
                <w:szCs w:val="18"/>
                <w:color w:val="auto"/>
              </w:rPr>
              <w:t>71.56</w:t>
            </w:r>
          </w:p>
        </w:tc>
        <w:tc>
          <w:tcPr>
            <w:tcW w:w="1200" w:type="dxa"/>
            <w:vAlign w:val="bottom"/>
            <w:tcBorders>
              <w:bottom w:val="single" w:sz="8" w:color="AEABAB"/>
            </w:tcBorders>
          </w:tcPr>
          <w:p>
            <w:pPr>
              <w:ind w:left="20"/>
              <w:spacing w:after="0"/>
              <w:rPr>
                <w:sz w:val="20"/>
                <w:szCs w:val="20"/>
                <w:color w:val="auto"/>
              </w:rPr>
            </w:pPr>
            <w:r>
              <w:rPr>
                <w:rFonts w:ascii="Times New Roman" w:cs="Times New Roman" w:eastAsia="Times New Roman" w:hAnsi="Times New Roman"/>
                <w:sz w:val="18"/>
                <w:szCs w:val="18"/>
                <w:color w:val="auto"/>
              </w:rPr>
              <w:t>(5.20)</w:t>
            </w:r>
          </w:p>
        </w:tc>
        <w:tc>
          <w:tcPr>
            <w:tcW w:w="480" w:type="dxa"/>
            <w:vAlign w:val="bottom"/>
            <w:tcBorders>
              <w:bottom w:val="single" w:sz="8" w:color="AEABAB"/>
            </w:tcBorders>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540" w:type="dxa"/>
            <w:vAlign w:val="bottom"/>
            <w:tcBorders>
              <w:bottom w:val="single" w:sz="8" w:color="AEABAB"/>
            </w:tcBorders>
          </w:tcPr>
          <w:p>
            <w:pPr>
              <w:ind w:left="120"/>
              <w:spacing w:after="0"/>
              <w:rPr>
                <w:sz w:val="20"/>
                <w:szCs w:val="20"/>
                <w:color w:val="auto"/>
              </w:rPr>
            </w:pPr>
            <w:r>
              <w:rPr>
                <w:rFonts w:ascii="Times New Roman" w:cs="Times New Roman" w:eastAsia="Times New Roman" w:hAnsi="Times New Roman"/>
                <w:sz w:val="18"/>
                <w:szCs w:val="18"/>
                <w:color w:val="auto"/>
                <w:w w:val="98"/>
              </w:rPr>
              <w:t>82.43</w:t>
            </w:r>
          </w:p>
        </w:tc>
        <w:tc>
          <w:tcPr>
            <w:tcW w:w="1400" w:type="dxa"/>
            <w:vAlign w:val="bottom"/>
            <w:tcBorders>
              <w:bottom w:val="single" w:sz="8" w:color="AEABAB"/>
            </w:tcBorders>
          </w:tcPr>
          <w:p>
            <w:pPr>
              <w:ind w:left="20"/>
              <w:spacing w:after="0"/>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237"/>
        </w:trPr>
        <w:tc>
          <w:tcPr>
            <w:tcW w:w="23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Change from Baseline</w:t>
            </w:r>
          </w:p>
        </w:tc>
        <w:tc>
          <w:tcPr>
            <w:tcW w:w="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7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-0.64 (2.69)</w:t>
            </w:r>
          </w:p>
        </w:tc>
        <w:tc>
          <w:tcPr>
            <w:tcW w:w="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9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0.29 (3.73)</w:t>
            </w:r>
          </w:p>
        </w:tc>
        <w:tc>
          <w:tcPr>
            <w:tcW w:w="0" w:type="dxa"/>
            <w:vAlign w:val="bottom"/>
          </w:tcPr>
          <w:p>
            <w:pPr>
              <w:spacing w:after="0"/>
              <w:rPr>
                <w:sz w:val="1"/>
                <w:szCs w:val="1"/>
                <w:color w:val="auto"/>
              </w:rPr>
            </w:pPr>
          </w:p>
        </w:tc>
      </w:tr>
      <w:tr>
        <w:trPr>
          <w:trHeight w:val="214"/>
        </w:trPr>
        <w:tc>
          <w:tcPr>
            <w:tcW w:w="2380" w:type="dxa"/>
            <w:vAlign w:val="bottom"/>
          </w:tcPr>
          <w:p>
            <w:pPr>
              <w:ind w:left="120"/>
              <w:spacing w:after="0" w:line="213" w:lineRule="exact"/>
              <w:rPr>
                <w:sz w:val="20"/>
                <w:szCs w:val="20"/>
                <w:color w:val="auto"/>
              </w:rPr>
            </w:pPr>
            <w:r>
              <w:rPr>
                <w:rFonts w:ascii="Times New Roman" w:cs="Times New Roman" w:eastAsia="Times New Roman" w:hAnsi="Times New Roman"/>
                <w:sz w:val="17"/>
                <w:szCs w:val="17"/>
                <w:color w:val="auto"/>
              </w:rPr>
              <w:t>MSSI (overall score)</w:t>
            </w:r>
            <w:r>
              <w:rPr>
                <w:rFonts w:ascii="Times New Roman" w:cs="Times New Roman" w:eastAsia="Times New Roman" w:hAnsi="Times New Roman"/>
                <w:sz w:val="24"/>
                <w:szCs w:val="24"/>
                <w:color w:val="auto"/>
                <w:vertAlign w:val="superscript"/>
              </w:rPr>
              <w:t>a</w:t>
            </w:r>
          </w:p>
        </w:tc>
        <w:tc>
          <w:tcPr>
            <w:tcW w:w="1900" w:type="dxa"/>
            <w:vAlign w:val="bottom"/>
            <w:tcBorders>
              <w:bottom w:val="single" w:sz="8" w:color="AEABAB"/>
            </w:tcBorders>
          </w:tcPr>
          <w:p>
            <w:pPr>
              <w:ind w:left="120"/>
              <w:spacing w:after="0"/>
              <w:rPr>
                <w:sz w:val="20"/>
                <w:szCs w:val="20"/>
                <w:color w:val="auto"/>
              </w:rPr>
            </w:pPr>
            <w:r>
              <w:rPr>
                <w:rFonts w:ascii="Times New Roman" w:cs="Times New Roman" w:eastAsia="Times New Roman" w:hAnsi="Times New Roman"/>
                <w:sz w:val="18"/>
                <w:szCs w:val="18"/>
                <w:color w:val="auto"/>
              </w:rPr>
              <w:t>Baseline</w:t>
            </w:r>
          </w:p>
        </w:tc>
        <w:tc>
          <w:tcPr>
            <w:tcW w:w="480" w:type="dxa"/>
            <w:vAlign w:val="bottom"/>
            <w:tcBorders>
              <w:bottom w:val="single" w:sz="8" w:color="AEABAB"/>
            </w:tcBorders>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540" w:type="dxa"/>
            <w:vAlign w:val="bottom"/>
            <w:tcBorders>
              <w:bottom w:val="single" w:sz="8" w:color="AEABAB"/>
            </w:tcBorders>
          </w:tcPr>
          <w:p>
            <w:pPr>
              <w:ind w:left="100"/>
              <w:spacing w:after="0"/>
              <w:rPr>
                <w:sz w:val="20"/>
                <w:szCs w:val="20"/>
                <w:color w:val="auto"/>
              </w:rPr>
            </w:pPr>
            <w:r>
              <w:rPr>
                <w:rFonts w:ascii="Times New Roman" w:cs="Times New Roman" w:eastAsia="Times New Roman" w:hAnsi="Times New Roman"/>
                <w:sz w:val="18"/>
                <w:szCs w:val="18"/>
                <w:color w:val="auto"/>
              </w:rPr>
              <w:t>23.18</w:t>
            </w:r>
          </w:p>
        </w:tc>
        <w:tc>
          <w:tcPr>
            <w:tcW w:w="1200" w:type="dxa"/>
            <w:vAlign w:val="bottom"/>
            <w:tcBorders>
              <w:bottom w:val="single" w:sz="8" w:color="AEABAB"/>
            </w:tcBorders>
          </w:tcPr>
          <w:p>
            <w:pPr>
              <w:ind w:left="20"/>
              <w:spacing w:after="0"/>
              <w:rPr>
                <w:sz w:val="20"/>
                <w:szCs w:val="20"/>
                <w:color w:val="auto"/>
              </w:rPr>
            </w:pPr>
            <w:r>
              <w:rPr>
                <w:rFonts w:ascii="Times New Roman" w:cs="Times New Roman" w:eastAsia="Times New Roman" w:hAnsi="Times New Roman"/>
                <w:sz w:val="18"/>
                <w:szCs w:val="18"/>
                <w:color w:val="auto"/>
              </w:rPr>
              <w:t>(1.42)</w:t>
            </w:r>
          </w:p>
        </w:tc>
        <w:tc>
          <w:tcPr>
            <w:tcW w:w="480" w:type="dxa"/>
            <w:vAlign w:val="bottom"/>
            <w:tcBorders>
              <w:bottom w:val="single" w:sz="8" w:color="AEABAB"/>
            </w:tcBorders>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540" w:type="dxa"/>
            <w:vAlign w:val="bottom"/>
            <w:tcBorders>
              <w:bottom w:val="single" w:sz="8" w:color="AEABAB"/>
            </w:tcBorders>
          </w:tcPr>
          <w:p>
            <w:pPr>
              <w:ind w:left="120"/>
              <w:spacing w:after="0"/>
              <w:rPr>
                <w:sz w:val="20"/>
                <w:szCs w:val="20"/>
                <w:color w:val="auto"/>
              </w:rPr>
            </w:pPr>
            <w:r>
              <w:rPr>
                <w:rFonts w:ascii="Times New Roman" w:cs="Times New Roman" w:eastAsia="Times New Roman" w:hAnsi="Times New Roman"/>
                <w:sz w:val="18"/>
                <w:szCs w:val="18"/>
                <w:color w:val="auto"/>
                <w:w w:val="98"/>
              </w:rPr>
              <w:t>25.16</w:t>
            </w:r>
          </w:p>
        </w:tc>
        <w:tc>
          <w:tcPr>
            <w:tcW w:w="1400" w:type="dxa"/>
            <w:vAlign w:val="bottom"/>
            <w:tcBorders>
              <w:bottom w:val="single" w:sz="8" w:color="AEABAB"/>
            </w:tcBorders>
          </w:tcPr>
          <w:p>
            <w:pPr>
              <w:ind w:left="2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32"/>
        </w:trPr>
        <w:tc>
          <w:tcPr>
            <w:tcW w:w="2380" w:type="dxa"/>
            <w:vAlign w:val="bottom"/>
          </w:tcPr>
          <w:p>
            <w:pPr>
              <w:spacing w:after="0"/>
              <w:rPr>
                <w:sz w:val="20"/>
                <w:szCs w:val="20"/>
                <w:color w:val="auto"/>
              </w:rPr>
            </w:pPr>
          </w:p>
        </w:tc>
        <w:tc>
          <w:tcPr>
            <w:tcW w:w="1900" w:type="dxa"/>
            <w:vAlign w:val="bottom"/>
            <w:tcBorders>
              <w:bottom w:val="single" w:sz="8" w:color="AEABAB"/>
            </w:tcBorders>
          </w:tcPr>
          <w:p>
            <w:pPr>
              <w:ind w:left="120"/>
              <w:spacing w:after="0"/>
              <w:rPr>
                <w:sz w:val="20"/>
                <w:szCs w:val="20"/>
                <w:color w:val="auto"/>
              </w:rPr>
            </w:pPr>
            <w:r>
              <w:rPr>
                <w:rFonts w:ascii="Times New Roman" w:cs="Times New Roman" w:eastAsia="Times New Roman" w:hAnsi="Times New Roman"/>
                <w:sz w:val="18"/>
                <w:szCs w:val="18"/>
                <w:color w:val="auto"/>
              </w:rPr>
              <w:t>Month 24</w:t>
            </w:r>
          </w:p>
        </w:tc>
        <w:tc>
          <w:tcPr>
            <w:tcW w:w="480" w:type="dxa"/>
            <w:vAlign w:val="bottom"/>
            <w:tcBorders>
              <w:bottom w:val="single" w:sz="8" w:color="AEABAB"/>
            </w:tcBorders>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740" w:type="dxa"/>
            <w:vAlign w:val="bottom"/>
            <w:tcBorders>
              <w:bottom w:val="single" w:sz="8" w:color="AEABAB"/>
            </w:tcBorders>
            <w:gridSpan w:val="2"/>
          </w:tcPr>
          <w:p>
            <w:pPr>
              <w:ind w:left="100"/>
              <w:spacing w:after="0"/>
              <w:rPr>
                <w:sz w:val="20"/>
                <w:szCs w:val="20"/>
                <w:color w:val="auto"/>
              </w:rPr>
            </w:pPr>
            <w:r>
              <w:rPr>
                <w:rFonts w:ascii="Times New Roman" w:cs="Times New Roman" w:eastAsia="Times New Roman" w:hAnsi="Times New Roman"/>
                <w:sz w:val="18"/>
                <w:szCs w:val="18"/>
                <w:color w:val="auto"/>
              </w:rPr>
              <w:t>22.11 (1.80)</w:t>
            </w:r>
          </w:p>
        </w:tc>
        <w:tc>
          <w:tcPr>
            <w:tcW w:w="480" w:type="dxa"/>
            <w:vAlign w:val="bottom"/>
            <w:tcBorders>
              <w:bottom w:val="single" w:sz="8" w:color="AEABAB"/>
            </w:tcBorders>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540" w:type="dxa"/>
            <w:vAlign w:val="bottom"/>
            <w:tcBorders>
              <w:bottom w:val="single" w:sz="8" w:color="AEABAB"/>
            </w:tcBorders>
          </w:tcPr>
          <w:p>
            <w:pPr>
              <w:ind w:left="120"/>
              <w:spacing w:after="0"/>
              <w:rPr>
                <w:sz w:val="20"/>
                <w:szCs w:val="20"/>
                <w:color w:val="auto"/>
              </w:rPr>
            </w:pPr>
            <w:r>
              <w:rPr>
                <w:rFonts w:ascii="Times New Roman" w:cs="Times New Roman" w:eastAsia="Times New Roman" w:hAnsi="Times New Roman"/>
                <w:sz w:val="18"/>
                <w:szCs w:val="18"/>
                <w:color w:val="auto"/>
                <w:w w:val="98"/>
              </w:rPr>
              <w:t>27.09</w:t>
            </w:r>
          </w:p>
        </w:tc>
        <w:tc>
          <w:tcPr>
            <w:tcW w:w="1400" w:type="dxa"/>
            <w:vAlign w:val="bottom"/>
            <w:tcBorders>
              <w:bottom w:val="single" w:sz="8" w:color="AEABAB"/>
            </w:tcBorders>
          </w:tcPr>
          <w:p>
            <w:pPr>
              <w:ind w:left="2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37"/>
        </w:trPr>
        <w:tc>
          <w:tcPr>
            <w:tcW w:w="23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Change from Baseline</w:t>
            </w:r>
          </w:p>
        </w:tc>
        <w:tc>
          <w:tcPr>
            <w:tcW w:w="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7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-2.07 (0.77)</w:t>
            </w:r>
          </w:p>
        </w:tc>
        <w:tc>
          <w:tcPr>
            <w:tcW w:w="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9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2.04 (1.10)</w:t>
            </w:r>
          </w:p>
        </w:tc>
        <w:tc>
          <w:tcPr>
            <w:tcW w:w="0" w:type="dxa"/>
            <w:vAlign w:val="bottom"/>
          </w:tcPr>
          <w:p>
            <w:pPr>
              <w:spacing w:after="0"/>
              <w:rPr>
                <w:sz w:val="1"/>
                <w:szCs w:val="1"/>
                <w:color w:val="auto"/>
              </w:rPr>
            </w:pPr>
          </w:p>
        </w:tc>
      </w:tr>
      <w:tr>
        <w:trPr>
          <w:trHeight w:val="188"/>
        </w:trPr>
        <w:tc>
          <w:tcPr>
            <w:tcW w:w="2380" w:type="dxa"/>
            <w:vAlign w:val="bottom"/>
          </w:tcPr>
          <w:p>
            <w:pPr>
              <w:ind w:left="120"/>
              <w:spacing w:after="0" w:line="188" w:lineRule="exact"/>
              <w:rPr>
                <w:sz w:val="20"/>
                <w:szCs w:val="20"/>
                <w:color w:val="auto"/>
              </w:rPr>
            </w:pPr>
            <w:r>
              <w:rPr>
                <w:rFonts w:ascii="Times New Roman" w:cs="Times New Roman" w:eastAsia="Times New Roman" w:hAnsi="Times New Roman"/>
                <w:sz w:val="18"/>
                <w:szCs w:val="18"/>
                <w:color w:val="auto"/>
              </w:rPr>
              <w:t>BPI (score for pain at its</w:t>
            </w:r>
          </w:p>
        </w:tc>
        <w:tc>
          <w:tcPr>
            <w:tcW w:w="1900" w:type="dxa"/>
            <w:vAlign w:val="bottom"/>
          </w:tcPr>
          <w:p>
            <w:pPr>
              <w:ind w:left="120"/>
              <w:spacing w:after="0" w:line="188" w:lineRule="exact"/>
              <w:rPr>
                <w:sz w:val="20"/>
                <w:szCs w:val="20"/>
                <w:color w:val="auto"/>
              </w:rPr>
            </w:pPr>
            <w:r>
              <w:rPr>
                <w:rFonts w:ascii="Times New Roman" w:cs="Times New Roman" w:eastAsia="Times New Roman" w:hAnsi="Times New Roman"/>
                <w:sz w:val="18"/>
                <w:szCs w:val="18"/>
                <w:color w:val="auto"/>
              </w:rPr>
              <w:t>Baseline</w:t>
            </w:r>
          </w:p>
        </w:tc>
        <w:tc>
          <w:tcPr>
            <w:tcW w:w="48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color w:val="auto"/>
              </w:rPr>
              <w:t>52</w:t>
            </w:r>
          </w:p>
        </w:tc>
        <w:tc>
          <w:tcPr>
            <w:tcW w:w="1740" w:type="dxa"/>
            <w:vAlign w:val="bottom"/>
            <w:gridSpan w:val="2"/>
          </w:tcPr>
          <w:p>
            <w:pPr>
              <w:ind w:left="100"/>
              <w:spacing w:after="0" w:line="188" w:lineRule="exact"/>
              <w:rPr>
                <w:sz w:val="20"/>
                <w:szCs w:val="20"/>
                <w:color w:val="auto"/>
              </w:rPr>
            </w:pPr>
            <w:r>
              <w:rPr>
                <w:rFonts w:ascii="Times New Roman" w:cs="Times New Roman" w:eastAsia="Times New Roman" w:hAnsi="Times New Roman"/>
                <w:sz w:val="18"/>
                <w:szCs w:val="18"/>
                <w:color w:val="auto"/>
              </w:rPr>
              <w:t>3.5 (0.4)</w:t>
            </w:r>
          </w:p>
        </w:tc>
        <w:tc>
          <w:tcPr>
            <w:tcW w:w="48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color w:val="auto"/>
              </w:rPr>
              <w:t>25</w:t>
            </w:r>
          </w:p>
        </w:tc>
        <w:tc>
          <w:tcPr>
            <w:tcW w:w="1940" w:type="dxa"/>
            <w:vAlign w:val="bottom"/>
            <w:gridSpan w:val="2"/>
          </w:tcPr>
          <w:p>
            <w:pPr>
              <w:ind w:left="120"/>
              <w:spacing w:after="0" w:line="188" w:lineRule="exact"/>
              <w:rPr>
                <w:sz w:val="20"/>
                <w:szCs w:val="20"/>
                <w:color w:val="auto"/>
              </w:rPr>
            </w:pPr>
            <w:r>
              <w:rPr>
                <w:rFonts w:ascii="Times New Roman" w:cs="Times New Roman" w:eastAsia="Times New Roman" w:hAnsi="Times New Roman"/>
                <w:sz w:val="18"/>
                <w:szCs w:val="18"/>
                <w:color w:val="auto"/>
              </w:rPr>
              <w:t>2.6 (0.6)</w:t>
            </w:r>
          </w:p>
        </w:tc>
        <w:tc>
          <w:tcPr>
            <w:tcW w:w="0" w:type="dxa"/>
            <w:vAlign w:val="bottom"/>
          </w:tcPr>
          <w:p>
            <w:pPr>
              <w:spacing w:after="0"/>
              <w:rPr>
                <w:sz w:val="1"/>
                <w:szCs w:val="1"/>
                <w:color w:val="auto"/>
              </w:rPr>
            </w:pPr>
          </w:p>
        </w:tc>
      </w:tr>
      <w:tr>
        <w:trPr>
          <w:trHeight w:val="26"/>
        </w:trPr>
        <w:tc>
          <w:tcPr>
            <w:tcW w:w="2380" w:type="dxa"/>
            <w:vAlign w:val="bottom"/>
            <w:vMerge w:val="restart"/>
          </w:tcPr>
          <w:p>
            <w:pPr>
              <w:ind w:left="120"/>
              <w:spacing w:after="0" w:line="283" w:lineRule="exact"/>
              <w:rPr>
                <w:sz w:val="20"/>
                <w:szCs w:val="20"/>
                <w:color w:val="auto"/>
              </w:rPr>
            </w:pPr>
            <w:r>
              <w:rPr>
                <w:rFonts w:ascii="Times New Roman" w:cs="Times New Roman" w:eastAsia="Times New Roman" w:hAnsi="Times New Roman"/>
                <w:sz w:val="18"/>
                <w:szCs w:val="18"/>
                <w:color w:val="auto"/>
              </w:rPr>
              <w:t>worst)</w:t>
            </w:r>
            <w:r>
              <w:rPr>
                <w:rFonts w:ascii="Times New Roman" w:cs="Times New Roman" w:eastAsia="Times New Roman" w:hAnsi="Times New Roman"/>
                <w:sz w:val="26"/>
                <w:szCs w:val="26"/>
                <w:color w:val="auto"/>
                <w:vertAlign w:val="superscript"/>
              </w:rPr>
              <w:t>b</w:t>
            </w:r>
          </w:p>
        </w:tc>
        <w:tc>
          <w:tcPr>
            <w:tcW w:w="1900" w:type="dxa"/>
            <w:vAlign w:val="bottom"/>
            <w:tcBorders>
              <w:bottom w:val="single" w:sz="8" w:color="AEABAB"/>
            </w:tcBorders>
          </w:tcPr>
          <w:p>
            <w:pPr>
              <w:spacing w:after="0"/>
              <w:rPr>
                <w:sz w:val="2"/>
                <w:szCs w:val="2"/>
                <w:color w:val="auto"/>
              </w:rPr>
            </w:pPr>
          </w:p>
        </w:tc>
        <w:tc>
          <w:tcPr>
            <w:tcW w:w="480" w:type="dxa"/>
            <w:vAlign w:val="bottom"/>
            <w:tcBorders>
              <w:bottom w:val="single" w:sz="8" w:color="AEABAB"/>
            </w:tcBorders>
          </w:tcPr>
          <w:p>
            <w:pPr>
              <w:spacing w:after="0"/>
              <w:rPr>
                <w:sz w:val="2"/>
                <w:szCs w:val="2"/>
                <w:color w:val="auto"/>
              </w:rPr>
            </w:pPr>
          </w:p>
        </w:tc>
        <w:tc>
          <w:tcPr>
            <w:tcW w:w="1740" w:type="dxa"/>
            <w:vAlign w:val="bottom"/>
            <w:tcBorders>
              <w:bottom w:val="single" w:sz="8" w:color="AEABAB"/>
            </w:tcBorders>
            <w:gridSpan w:val="2"/>
          </w:tcPr>
          <w:p>
            <w:pPr>
              <w:spacing w:after="0"/>
              <w:rPr>
                <w:sz w:val="2"/>
                <w:szCs w:val="2"/>
                <w:color w:val="auto"/>
              </w:rPr>
            </w:pPr>
          </w:p>
        </w:tc>
        <w:tc>
          <w:tcPr>
            <w:tcW w:w="480" w:type="dxa"/>
            <w:vAlign w:val="bottom"/>
            <w:tcBorders>
              <w:bottom w:val="single" w:sz="8" w:color="AEABAB"/>
            </w:tcBorders>
          </w:tcPr>
          <w:p>
            <w:pPr>
              <w:spacing w:after="0"/>
              <w:rPr>
                <w:sz w:val="2"/>
                <w:szCs w:val="2"/>
                <w:color w:val="auto"/>
              </w:rPr>
            </w:pPr>
          </w:p>
        </w:tc>
        <w:tc>
          <w:tcPr>
            <w:tcW w:w="1940" w:type="dxa"/>
            <w:vAlign w:val="bottom"/>
            <w:tcBorders>
              <w:bottom w:val="single" w:sz="8" w:color="AEABAB"/>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80" w:type="dxa"/>
            <w:vAlign w:val="bottom"/>
            <w:vMerge w:val="continue"/>
          </w:tcPr>
          <w:p>
            <w:pPr>
              <w:spacing w:after="0"/>
              <w:rPr>
                <w:sz w:val="20"/>
                <w:szCs w:val="20"/>
                <w:color w:val="auto"/>
              </w:rPr>
            </w:pPr>
          </w:p>
        </w:tc>
        <w:tc>
          <w:tcPr>
            <w:tcW w:w="1900" w:type="dxa"/>
            <w:vAlign w:val="bottom"/>
            <w:tcBorders>
              <w:bottom w:val="single" w:sz="8" w:color="AEABAB"/>
            </w:tcBorders>
          </w:tcPr>
          <w:p>
            <w:pPr>
              <w:ind w:left="120"/>
              <w:spacing w:after="0"/>
              <w:rPr>
                <w:sz w:val="20"/>
                <w:szCs w:val="20"/>
                <w:color w:val="auto"/>
              </w:rPr>
            </w:pPr>
            <w:r>
              <w:rPr>
                <w:rFonts w:ascii="Times New Roman" w:cs="Times New Roman" w:eastAsia="Times New Roman" w:hAnsi="Times New Roman"/>
                <w:sz w:val="18"/>
                <w:szCs w:val="18"/>
                <w:color w:val="auto"/>
              </w:rPr>
              <w:t>Month 24</w:t>
            </w:r>
          </w:p>
        </w:tc>
        <w:tc>
          <w:tcPr>
            <w:tcW w:w="480" w:type="dxa"/>
            <w:vAlign w:val="bottom"/>
            <w:tcBorders>
              <w:bottom w:val="single" w:sz="8" w:color="AEABAB"/>
            </w:tcBorders>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740" w:type="dxa"/>
            <w:vAlign w:val="bottom"/>
            <w:tcBorders>
              <w:bottom w:val="single" w:sz="8" w:color="AEABAB"/>
            </w:tcBorders>
            <w:gridSpan w:val="2"/>
          </w:tcPr>
          <w:p>
            <w:pPr>
              <w:ind w:left="100"/>
              <w:spacing w:after="0"/>
              <w:rPr>
                <w:sz w:val="20"/>
                <w:szCs w:val="20"/>
                <w:color w:val="auto"/>
              </w:rPr>
            </w:pPr>
            <w:r>
              <w:rPr>
                <w:rFonts w:ascii="Times New Roman" w:cs="Times New Roman" w:eastAsia="Times New Roman" w:hAnsi="Times New Roman"/>
                <w:sz w:val="18"/>
                <w:szCs w:val="18"/>
                <w:color w:val="auto"/>
              </w:rPr>
              <w:t>3.3 (0.5)</w:t>
            </w:r>
          </w:p>
        </w:tc>
        <w:tc>
          <w:tcPr>
            <w:tcW w:w="480" w:type="dxa"/>
            <w:vAlign w:val="bottom"/>
            <w:tcBorders>
              <w:bottom w:val="single" w:sz="8" w:color="AEABAB"/>
            </w:tcBorders>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940" w:type="dxa"/>
            <w:vAlign w:val="bottom"/>
            <w:tcBorders>
              <w:bottom w:val="single" w:sz="8" w:color="AEABAB"/>
            </w:tcBorders>
            <w:gridSpan w:val="2"/>
          </w:tcPr>
          <w:p>
            <w:pPr>
              <w:ind w:left="120"/>
              <w:spacing w:after="0"/>
              <w:rPr>
                <w:sz w:val="20"/>
                <w:szCs w:val="20"/>
                <w:color w:val="auto"/>
              </w:rPr>
            </w:pPr>
            <w:r>
              <w:rPr>
                <w:rFonts w:ascii="Times New Roman" w:cs="Times New Roman" w:eastAsia="Times New Roman" w:hAnsi="Times New Roman"/>
                <w:sz w:val="18"/>
                <w:szCs w:val="18"/>
                <w:color w:val="auto"/>
              </w:rPr>
              <w:t>3.0 (0.7)</w:t>
            </w:r>
          </w:p>
        </w:tc>
        <w:tc>
          <w:tcPr>
            <w:tcW w:w="0" w:type="dxa"/>
            <w:vAlign w:val="bottom"/>
          </w:tcPr>
          <w:p>
            <w:pPr>
              <w:spacing w:after="0"/>
              <w:rPr>
                <w:sz w:val="1"/>
                <w:szCs w:val="1"/>
                <w:color w:val="auto"/>
              </w:rPr>
            </w:pPr>
          </w:p>
        </w:tc>
      </w:tr>
      <w:tr>
        <w:trPr>
          <w:trHeight w:val="228"/>
        </w:trPr>
        <w:tc>
          <w:tcPr>
            <w:tcW w:w="2380" w:type="dxa"/>
            <w:vAlign w:val="bottom"/>
          </w:tcPr>
          <w:p>
            <w:pPr>
              <w:spacing w:after="0"/>
              <w:rPr>
                <w:sz w:val="19"/>
                <w:szCs w:val="19"/>
                <w:color w:val="auto"/>
              </w:rPr>
            </w:pPr>
          </w:p>
        </w:tc>
        <w:tc>
          <w:tcPr>
            <w:tcW w:w="1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from Baseline</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-0.1 (0.5)</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0.6 (0.6)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-2059940</wp:posOffset>
            </wp:positionV>
            <wp:extent cx="5657850" cy="2074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657850" cy="2074545"/>
                    </a:xfrm>
                    <a:prstGeom prst="rect">
                      <a:avLst/>
                    </a:prstGeom>
                    <a:noFill/>
                  </pic:spPr>
                </pic:pic>
              </a:graphicData>
            </a:graphic>
          </wp:anchor>
        </w:drawing>
      </w:r>
    </w:p>
    <w:p>
      <w:pPr>
        <w:ind w:left="60" w:right="699"/>
        <w:spacing w:after="0" w:line="261" w:lineRule="auto"/>
        <w:rPr>
          <w:sz w:val="20"/>
          <w:szCs w:val="20"/>
          <w:color w:val="auto"/>
        </w:rPr>
      </w:pPr>
      <w:r>
        <w:rPr>
          <w:rFonts w:ascii="Times New Roman" w:cs="Times New Roman" w:eastAsia="Times New Roman" w:hAnsi="Times New Roman"/>
          <w:sz w:val="14"/>
          <w:szCs w:val="14"/>
          <w:color w:val="auto"/>
        </w:rPr>
        <w:t>BPI=brief pain inventory; eGFR=estimated glomerular filtration rate; lyso-Gb3=globotriaosylsphingosine; LVMI=Left Ventricular Mass Index; MSSI=Mainz Severity Score Index; UPCR=Urine Protein Creatinine Ratio.</w:t>
      </w:r>
    </w:p>
    <w:p>
      <w:pPr>
        <w:spacing w:after="0" w:line="131" w:lineRule="exact"/>
        <w:rPr>
          <w:sz w:val="20"/>
          <w:szCs w:val="20"/>
          <w:color w:val="auto"/>
        </w:rPr>
      </w:pPr>
    </w:p>
    <w:p>
      <w:pPr>
        <w:ind w:left="120" w:hanging="70"/>
        <w:spacing w:after="0"/>
        <w:tabs>
          <w:tab w:leader="none" w:pos="12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 xml:space="preserve">Wanner 2018; </w:t>
      </w:r>
      <w:r>
        <w:rPr>
          <w:rFonts w:ascii="Times New Roman" w:cs="Times New Roman" w:eastAsia="Times New Roman" w:hAnsi="Times New Roman"/>
          <w:sz w:val="21"/>
          <w:szCs w:val="21"/>
          <w:color w:val="auto"/>
          <w:vertAlign w:val="superscript"/>
        </w:rPr>
        <w:t>b</w:t>
      </w:r>
      <w:r>
        <w:rPr>
          <w:rFonts w:ascii="Times New Roman" w:cs="Times New Roman" w:eastAsia="Times New Roman" w:hAnsi="Times New Roman"/>
          <w:sz w:val="14"/>
          <w:szCs w:val="14"/>
          <w:color w:val="auto"/>
        </w:rPr>
        <w:t>Higher scores indicate higher symptom severity.</w:t>
      </w:r>
    </w:p>
    <w:p>
      <w:pPr>
        <w:spacing w:after="0" w:line="80" w:lineRule="exact"/>
        <w:rPr>
          <w:sz w:val="20"/>
          <w:szCs w:val="20"/>
          <w:color w:val="auto"/>
        </w:rPr>
      </w:pPr>
    </w:p>
    <w:p>
      <w:pPr>
        <w:jc w:val="both"/>
        <w:ind w:left="60" w:right="499"/>
        <w:spacing w:after="0" w:line="266" w:lineRule="auto"/>
        <w:rPr>
          <w:sz w:val="20"/>
          <w:szCs w:val="20"/>
          <w:color w:val="auto"/>
        </w:rPr>
      </w:pPr>
      <w:r>
        <w:rPr>
          <w:rFonts w:ascii="Times New Roman" w:cs="Times New Roman" w:eastAsia="Times New Roman" w:hAnsi="Times New Roman"/>
          <w:sz w:val="18"/>
          <w:szCs w:val="18"/>
          <w:color w:val="auto"/>
        </w:rPr>
        <w:t>Forty-seven (90.4%) patients in the PRX-102 arm experienced at least one treatment-emergent adverse event (TEAE) compared to 24 (96.0%) in the agalsidase beta arm. The number of events adjusted to 100 years of exposure is 572.36 events for the PRX-102 arm and 816.85 events for the agalsidase beta arm.</w:t>
      </w:r>
    </w:p>
    <w:p>
      <w:pPr>
        <w:spacing w:after="0" w:line="135"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Treatment-related adverse events were reported for 21 (40.4%) patients in the PRX-102 arm compared to 11 (44.0%) in the agalsidase beta arm. The number of treatment-related events adjusted to 100 years of exposure is 42.85 events for the PRX-102 arm and 152.91 events for the agalsidase beta arm.</w:t>
      </w:r>
    </w:p>
    <w:p>
      <w:pPr>
        <w:spacing w:after="0" w:line="14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Usage of infusion pre-medication was tapered down during the study, if possible, for all patients. At baseline, 21 (40.4%) patients in the PRX-102 arm used infusion premedication compared to 16 (64.0%) in the agalsidase beta arm. At the end of the study, only three out of 47 (6.4%) patients in the PRX-102 arm used infusion premedication compared to three out of 24 (12.5%) in the agalsidase beta arm. Even with this reduction in use of premedication, there were fewer reported infusion-related reactions with PRX-102: 11 (21.2%) patients in the PRX-102 arm experienced a total of 13 events compared to six (24.0%) patients experiencing a total of 51 events in the agalsidase beta arm. The number of infusion-related reactions adjusted to 100 infusions is 0.5 for the PRX-102 arm and 3.9 for agalsidase beta arm.</w:t>
      </w:r>
    </w:p>
    <w:p>
      <w:pPr>
        <w:spacing w:after="0" w:line="148"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Assessment of immunogenicity, that is, the existence and development of anti PRX-102 antibodies or anti-agalsidase beta antibodies, in the study indicated that for the PRX-102 arm, 18 (34.6%) patients were ADA positive at baseline, of which 17 (94.4%) had neutralizing antibody activity. For the agalsidase beta arm, eight (32.0%) patients were ADA positive at baseline, of which seven (87.5%) had neutralizing antibody activity. Only a small number of patients showed treatment-emergent ADA. At the end of the two-year study, 11 (23.4%) patients that received PRX-102 were ADA positive, of which seven (63.6%) had neutralizing antibody activity, while in the agalsidase beta arm six (26.1%) were ADA-positive and all six (100%) had neutralizing antibody activity. There was little change in the percentage of patients who were ADA positive, with a trend of reduction observed in the PRX-102 arm and stability in the agalsidase beta arm. The proportion of patients with neutralizing ADA decreased in the PRX-102 arm while it remained stable in the agalsidase beta arm.</w:t>
      </w:r>
    </w:p>
    <w:p>
      <w:pPr>
        <w:spacing w:after="0" w:line="148"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Out of the 78 randomized patients, six patients discontinued the study: out of the five (9.4%) from the PRX-102 arm, one patient withdrew consent prior to the first infusion, two discontinued due to personal reasons, and two due to adverse events (one due to an unrelated adverse event and one due to a treatment related adverse event); one (4%) patient from the agalsidase beta arm discontinued for personal reasons. There were no deaths in this study.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312" w:lineRule="auto"/>
        <w:rPr>
          <w:sz w:val="20"/>
          <w:szCs w:val="20"/>
          <w:color w:val="auto"/>
        </w:rPr>
      </w:pPr>
      <w:r>
        <w:rPr>
          <w:rFonts w:ascii="Times New Roman" w:cs="Times New Roman" w:eastAsia="Times New Roman" w:hAnsi="Times New Roman"/>
          <w:sz w:val="17"/>
          <w:szCs w:val="17"/>
          <w:color w:val="auto"/>
        </w:rPr>
        <w:t>Considering that in the trial, patients in the PRX-102 arm were exposed for the first time to the novel enzyme, tolerability data appear favorable for PRX-102 and in line with what was observed in the previous clinical studies of PRX-102.</w:t>
      </w:r>
    </w:p>
    <w:p>
      <w:pPr>
        <w:spacing w:after="0" w:line="113" w:lineRule="exact"/>
        <w:rPr>
          <w:sz w:val="20"/>
          <w:szCs w:val="20"/>
          <w:color w:val="auto"/>
        </w:rPr>
      </w:pPr>
    </w:p>
    <w:p>
      <w:pPr>
        <w:jc w:val="both"/>
        <w:ind w:left="60" w:right="119"/>
        <w:spacing w:after="0" w:line="266" w:lineRule="auto"/>
        <w:rPr>
          <w:sz w:val="20"/>
          <w:szCs w:val="20"/>
          <w:color w:val="auto"/>
        </w:rPr>
      </w:pPr>
      <w:r>
        <w:rPr>
          <w:rFonts w:ascii="Times New Roman" w:cs="Times New Roman" w:eastAsia="Times New Roman" w:hAnsi="Times New Roman"/>
          <w:sz w:val="18"/>
          <w:szCs w:val="18"/>
          <w:color w:val="auto"/>
        </w:rPr>
        <w:t>Of the patients that completed the trial from both the PRX-102 and agalsidase beta treatment arms, 69 have opted, with the advice of the treating physician, to receive PRX-102 1 mg/kg every two weeks in the long-term open-label extension study (PB-102-F60, NCT03566017).</w:t>
      </w:r>
    </w:p>
    <w:p>
      <w:pPr>
        <w:spacing w:after="0" w:line="135"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The results of the direct, blinded comparison of PRX-102 to agalsidase beta, for the primary efficacy renal endpoints (i.e., eGFR change, eGFR slope) and for the main secondary endpoints (e.g., urine protein to creatinine ratio [UPCR] LVMI, MSSI, BPI) strongly suggest comparability in treatment effects between the two treatments.</w:t>
      </w:r>
    </w:p>
    <w:p>
      <w:pPr>
        <w:spacing w:after="0" w:line="135" w:lineRule="exact"/>
        <w:rPr>
          <w:sz w:val="20"/>
          <w:szCs w:val="20"/>
          <w:color w:val="auto"/>
        </w:rPr>
      </w:pPr>
    </w:p>
    <w:p>
      <w:pPr>
        <w:jc w:val="both"/>
        <w:ind w:left="60" w:right="259"/>
        <w:spacing w:after="0" w:line="266" w:lineRule="auto"/>
        <w:rPr>
          <w:sz w:val="20"/>
          <w:szCs w:val="20"/>
          <w:color w:val="auto"/>
        </w:rPr>
      </w:pPr>
      <w:r>
        <w:rPr>
          <w:rFonts w:ascii="Times New Roman" w:cs="Times New Roman" w:eastAsia="Times New Roman" w:hAnsi="Times New Roman"/>
          <w:sz w:val="18"/>
          <w:szCs w:val="18"/>
          <w:color w:val="auto"/>
        </w:rPr>
        <w:t>At the same time a potentially favorable safety profile was identified based on lower rates of IRR, lower ADA positivity, and less premedication use in the PRX-102 arm compared to agalsidase beta. Overall, a positive benefit-risk balance was confirmed.</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Phase III BRIDGE Study</w:t>
      </w:r>
    </w:p>
    <w:p>
      <w:pPr>
        <w:spacing w:after="0" w:line="185"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was a 12-month open-label, single arm switch-over study evaluating the safety and efficacy of pegunigalsidase alfa, 1 mg/kg infused every two weeks, in up to 22 Fabry patients previously treated with agalsidase alfa for at least two years and on a stable dose for at least six months. The trial was completed in December 2019. Patients were screened and evaluated over three months while continuing agalsidase alfa treatment.</w:t>
      </w:r>
    </w:p>
    <w:p>
      <w:pPr>
        <w:spacing w:after="0" w:line="139" w:lineRule="exact"/>
        <w:rPr>
          <w:sz w:val="20"/>
          <w:szCs w:val="20"/>
          <w:color w:val="auto"/>
        </w:rPr>
      </w:pPr>
    </w:p>
    <w:p>
      <w:pPr>
        <w:ind w:left="60" w:right="159"/>
        <w:spacing w:after="0" w:line="267" w:lineRule="auto"/>
        <w:rPr>
          <w:sz w:val="20"/>
          <w:szCs w:val="20"/>
          <w:color w:val="auto"/>
        </w:rPr>
      </w:pPr>
      <w:r>
        <w:rPr>
          <w:rFonts w:ascii="Times New Roman" w:cs="Times New Roman" w:eastAsia="Times New Roman" w:hAnsi="Times New Roman"/>
          <w:sz w:val="17"/>
          <w:szCs w:val="17"/>
          <w:color w:val="auto"/>
        </w:rPr>
        <w:t xml:space="preserve">Final results of the data generated in the </w:t>
      </w:r>
      <w:r>
        <w:rPr>
          <w:rFonts w:ascii="Times New Roman" w:cs="Times New Roman" w:eastAsia="Times New Roman" w:hAnsi="Times New Roman"/>
          <w:sz w:val="17"/>
          <w:szCs w:val="17"/>
          <w:i w:val="1"/>
          <w:iCs w:val="1"/>
          <w:color w:val="auto"/>
        </w:rPr>
        <w:t>BRIDGE</w:t>
      </w:r>
      <w:r>
        <w:rPr>
          <w:rFonts w:ascii="Times New Roman" w:cs="Times New Roman" w:eastAsia="Times New Roman" w:hAnsi="Times New Roman"/>
          <w:sz w:val="17"/>
          <w:szCs w:val="17"/>
          <w:color w:val="auto"/>
        </w:rPr>
        <w:t xml:space="preserve"> study showed substantial improvement in renal function as measured by mean annualized eGFR slope in both male and female patients. Twenty of 22 patients completed the 12-month treatment duration. Eighteen of the patients who completed the study opted to roll over to a long-term extension study and continue to be treated with PRX-102. In the study, the mean annualized eGFR slope of the study participants improved from</w:t>
      </w:r>
    </w:p>
    <w:p>
      <w:pPr>
        <w:spacing w:after="0" w:line="2" w:lineRule="exact"/>
        <w:rPr>
          <w:sz w:val="20"/>
          <w:szCs w:val="20"/>
          <w:color w:val="auto"/>
        </w:rPr>
      </w:pPr>
    </w:p>
    <w:p>
      <w:pPr>
        <w:ind w:left="60" w:right="79"/>
        <w:spacing w:after="0" w:line="180" w:lineRule="auto"/>
        <w:rPr>
          <w:sz w:val="20"/>
          <w:szCs w:val="20"/>
          <w:color w:val="auto"/>
        </w:rPr>
      </w:pPr>
      <w:r>
        <w:rPr>
          <w:rFonts w:ascii="Times New Roman" w:cs="Times New Roman" w:eastAsia="Times New Roman" w:hAnsi="Times New Roman"/>
          <w:sz w:val="17"/>
          <w:szCs w:val="17"/>
          <w:color w:val="auto"/>
        </w:rPr>
        <w:t>-5.90 mL/min/1.73m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/year while on agalsidase alfa to -1.19 mL/min/1.73m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/year on PRX-102 in all patients. Male patients improved from -6.36 mL/min/1.73m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/year to -1.73mL/min/1.73m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/year and female patients improved from</w:t>
      </w:r>
    </w:p>
    <w:p>
      <w:pPr>
        <w:spacing w:after="0" w:line="1" w:lineRule="exact"/>
        <w:rPr>
          <w:sz w:val="20"/>
          <w:szCs w:val="20"/>
          <w:color w:val="auto"/>
        </w:rPr>
      </w:pPr>
    </w:p>
    <w:p>
      <w:pPr>
        <w:jc w:val="both"/>
        <w:ind w:left="60" w:right="619"/>
        <w:spacing w:after="0" w:line="233" w:lineRule="auto"/>
        <w:rPr>
          <w:sz w:val="20"/>
          <w:szCs w:val="20"/>
          <w:color w:val="auto"/>
        </w:rPr>
      </w:pPr>
      <w:r>
        <w:rPr>
          <w:rFonts w:ascii="Times New Roman" w:cs="Times New Roman" w:eastAsia="Times New Roman" w:hAnsi="Times New Roman"/>
          <w:sz w:val="17"/>
          <w:szCs w:val="17"/>
          <w:color w:val="auto"/>
        </w:rPr>
        <w:t>-5.03 mL/min/1.73m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/year to -0.21 mL/min/1.73m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/year. Following the switch to PRX-102, there was a decrease in patients with progressing or fast progressing kidney disease which is consistent with the therapeutic goals for Fabry disease, as identified by Christoph Wanner, et. al., in 2019, and most patients achieved a stable status post-switch.</w:t>
      </w:r>
    </w:p>
    <w:p>
      <w:pPr>
        <w:spacing w:after="0" w:line="170"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 xml:space="preserve">PRX-102 was well-tolerated in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with all adverse events being transient in nature without sequelae. Of the 22 patients enrolled in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the majority of TEAEs were mild or moderate in severity, with two patients (9.1%) withdrawing from the therapy due to hypersensitivity reaction that was resolved. The most common moderate TEAEs were nasopharyngitis, headache and dyspnea.</w:t>
      </w:r>
    </w:p>
    <w:p>
      <w:pPr>
        <w:spacing w:after="0" w:line="141"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An immunogenicity assessment indicated that four out of 20 patients (20%) developed persistent ADAs over the course of the study, of which two had neutralizing activity.</w:t>
      </w:r>
    </w:p>
    <w:p>
      <w:pPr>
        <w:spacing w:after="0" w:line="121" w:lineRule="exact"/>
        <w:rPr>
          <w:sz w:val="20"/>
          <w:szCs w:val="20"/>
          <w:color w:val="auto"/>
        </w:rPr>
      </w:pPr>
    </w:p>
    <w:p>
      <w:pPr>
        <w:ind w:left="60" w:right="199"/>
        <w:spacing w:after="0" w:line="208" w:lineRule="auto"/>
        <w:rPr>
          <w:sz w:val="20"/>
          <w:szCs w:val="20"/>
          <w:color w:val="auto"/>
        </w:rPr>
      </w:pPr>
      <w:r>
        <w:rPr>
          <w:rFonts w:ascii="Times New Roman" w:cs="Times New Roman" w:eastAsia="Times New Roman" w:hAnsi="Times New Roman"/>
          <w:sz w:val="18"/>
          <w:szCs w:val="18"/>
          <w:color w:val="auto"/>
        </w:rPr>
        <w:t>Baseline characteristics of the 20 patients that completed the study, ranging from ages 28 to 60 years, were as follows: mean eGFR 75.87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in males, and 86.14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in females and plasma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were 51.81 nM and 13.81 nM in males and females, respectively. While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levels remain slightly high, particularly within the male cohort, continuous reduction in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levels was observed of 19.55 nM (32.35%) in males and 4.57 nM (29.81%) in females.</w:t>
      </w:r>
    </w:p>
    <w:p>
      <w:pPr>
        <w:spacing w:after="0" w:line="173" w:lineRule="exact"/>
        <w:rPr>
          <w:sz w:val="20"/>
          <w:szCs w:val="20"/>
          <w:color w:val="auto"/>
        </w:rPr>
      </w:pPr>
    </w:p>
    <w:p>
      <w:pPr>
        <w:ind w:left="60" w:right="519"/>
        <w:spacing w:after="0" w:line="312" w:lineRule="auto"/>
        <w:rPr>
          <w:sz w:val="20"/>
          <w:szCs w:val="20"/>
          <w:color w:val="auto"/>
        </w:rPr>
      </w:pPr>
      <w:r>
        <w:rPr>
          <w:rFonts w:ascii="Times New Roman" w:cs="Times New Roman" w:eastAsia="Times New Roman" w:hAnsi="Times New Roman"/>
          <w:sz w:val="17"/>
          <w:szCs w:val="17"/>
          <w:color w:val="auto"/>
        </w:rPr>
        <w:t>Of the patients that completed the trial, 18 have opted, with the advice of the treating physician, to continue receiving PRX-102 1 mg/kg every two weeks in a long-term open-label extension study (PB-102-F60, NCT03566017).</w:t>
      </w:r>
    </w:p>
    <w:p>
      <w:pPr>
        <w:spacing w:after="0" w:line="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Phase III BRIGHT Study</w:t>
      </w:r>
    </w:p>
    <w:p>
      <w:pPr>
        <w:spacing w:after="0" w:line="185"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was a multicenter, multinational open-label, switch-over study designed to evaluate the safety, efficacy and pharmacokinetics of treatment with 2 mg/kg of PRX-102 administered every four weeks for 52 weeks (a total of 14 infusions). The trial, which was completed in June 2020, enrolled 30 adult patients (24 males and 6 females) with mean (SD) age of 40.5 (11.3) years, ranging from 19 to 58 years previously treated with a commercially available</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43" w:lineRule="auto"/>
        <w:rPr>
          <w:sz w:val="20"/>
          <w:szCs w:val="20"/>
          <w:color w:val="auto"/>
        </w:rPr>
      </w:pPr>
      <w:r>
        <w:rPr>
          <w:rFonts w:ascii="Times New Roman" w:cs="Times New Roman" w:eastAsia="Times New Roman" w:hAnsi="Times New Roman"/>
          <w:sz w:val="18"/>
          <w:szCs w:val="18"/>
          <w:color w:val="auto"/>
        </w:rPr>
        <w:t>ERT (agalsidase beta or agalsidase alfa), for at least three years and on a stable dose administered every two weeks. To determine eligibility for participation in the study, candidates were screened to identify and select Fabry patients with clinically stable kidney disease. The most common Fabry disease symptoms at baseline were acroparesthesia, heat intolerance, angiokeratomas and hypohydrosis. Patients who matched the criteria were enrolled in the study and switched from their current treatment of IV infusions every two weeks to 2 mg/kg of PRX-102 every four weeks for 12 months. Patients participating in the study were evaluated, among other disease parameters, to determine if their kidney disease had not further deteriorated while being treated with the four-week dosing regimen as measured by eGFR and for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levels as a Fabry biomarker, as well as other parameters. In addition, participating patients were evaluated to assess the safety and tolerability of PRX-102.</w:t>
      </w:r>
    </w:p>
    <w:p>
      <w:pPr>
        <w:spacing w:after="0" w:line="165" w:lineRule="exact"/>
        <w:rPr>
          <w:sz w:val="20"/>
          <w:szCs w:val="20"/>
          <w:color w:val="auto"/>
        </w:rPr>
      </w:pPr>
    </w:p>
    <w:p>
      <w:pPr>
        <w:ind w:left="60" w:right="199"/>
        <w:spacing w:after="0" w:line="234" w:lineRule="auto"/>
        <w:rPr>
          <w:sz w:val="20"/>
          <w:szCs w:val="20"/>
          <w:color w:val="auto"/>
        </w:rPr>
      </w:pPr>
      <w:r>
        <w:rPr>
          <w:rFonts w:ascii="Times New Roman" w:cs="Times New Roman" w:eastAsia="Times New Roman" w:hAnsi="Times New Roman"/>
          <w:sz w:val="18"/>
          <w:szCs w:val="18"/>
          <w:color w:val="auto"/>
        </w:rPr>
        <w:t xml:space="preserve">We announced final results from 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in March 2022. The results indicate that 2 mg/kg of PRX-102 administered by intravenous infusion every four weeks was well tolerated, and Fabry disease assessed by eGFR slope and plasma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was stable throughout PRX-102 treatment in adult Fabry patients. None of the patients without ADAs at screening developed treatment-induced ADAs following the switch to PRX-102 treatment.</w:t>
      </w:r>
    </w:p>
    <w:p>
      <w:pPr>
        <w:spacing w:after="0" w:line="158" w:lineRule="exact"/>
        <w:rPr>
          <w:sz w:val="20"/>
          <w:szCs w:val="20"/>
          <w:color w:val="auto"/>
        </w:rPr>
      </w:pPr>
    </w:p>
    <w:p>
      <w:pPr>
        <w:jc w:val="both"/>
        <w:ind w:left="60" w:right="139"/>
        <w:spacing w:after="0" w:line="261" w:lineRule="auto"/>
        <w:rPr>
          <w:sz w:val="20"/>
          <w:szCs w:val="20"/>
          <w:color w:val="auto"/>
        </w:rPr>
      </w:pPr>
      <w:r>
        <w:rPr>
          <w:rFonts w:ascii="Times New Roman" w:cs="Times New Roman" w:eastAsia="Times New Roman" w:hAnsi="Times New Roman"/>
          <w:sz w:val="18"/>
          <w:szCs w:val="18"/>
          <w:color w:val="auto"/>
        </w:rPr>
        <w:t>All 30 patients received at least one dose of PRX-102, and 29 patients completed the one-year study. Of these 29 patients, 28 received the intended regimen of 2 mg/kg every four weeks throughout the entire study, while one patient was switched to 1 mg/kg PRX-102 every two weeks per protocol at the 11th infusion. One patient withdrew from the study after the first infusion due to a traffic accident.</w:t>
      </w:r>
    </w:p>
    <w:p>
      <w:pPr>
        <w:spacing w:after="0" w:line="139"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First infusions of PRX-102 were administered under controlled conditions at the investigation site. Based on the protocol-specified criteria, patients were able to receive their PRX-102 infusions at a home care setup once the applicable Investigator and Sponsor Medical Monitor agreed that it was safe to do so. Safety and efficacy exploratory endpoints were assessed throughout the 52-week study.</w:t>
      </w:r>
    </w:p>
    <w:p>
      <w:pPr>
        <w:spacing w:after="0" w:line="153"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Overall, 33 of 183 total TEAEs reported in nine (30.0%) of the patients were considered treatment related; all were mild or moderate in severity and the majority were resolved at the end of the study. There were no serious or severe treatment-related TEAEs and no TEAEs led to death or study withdrawal. Of the treatment-related TEAEs, 27 were infusion-related reactions (IRRs) and the remainder were single events of diarrhea, erythema, fatigue, influenza-like illness, increases urine protein/creatinine ratio, and urine positive for white blood cells. The 27 IRRs were reported in five (16.7%) patients, all male. All IRRs occurred during the infusion or within two hours post-infusion; no events were recorded between two and 24 hours post-infusion.</w:t>
      </w:r>
    </w:p>
    <w:p>
      <w:pPr>
        <w:spacing w:after="0" w:line="54" w:lineRule="exact"/>
        <w:rPr>
          <w:sz w:val="20"/>
          <w:szCs w:val="20"/>
          <w:color w:val="auto"/>
        </w:rPr>
      </w:pPr>
    </w:p>
    <w:p>
      <w:pPr>
        <w:jc w:val="both"/>
        <w:ind w:left="60" w:right="159"/>
        <w:spacing w:after="0" w:line="253" w:lineRule="auto"/>
        <w:rPr>
          <w:sz w:val="20"/>
          <w:szCs w:val="20"/>
          <w:color w:val="auto"/>
        </w:rPr>
      </w:pPr>
      <w:r>
        <w:rPr>
          <w:rFonts w:ascii="Times New Roman" w:cs="Times New Roman" w:eastAsia="Times New Roman" w:hAnsi="Times New Roman"/>
          <w:sz w:val="17"/>
          <w:szCs w:val="17"/>
          <w:color w:val="auto"/>
        </w:rPr>
        <w:t>Study outcome measures show that plasma lyso-Gb</w:t>
      </w:r>
      <w:r>
        <w:rPr>
          <w:rFonts w:ascii="Times New Roman" w:cs="Times New Roman" w:eastAsia="Times New Roman" w:hAnsi="Times New Roman"/>
          <w:sz w:val="25"/>
          <w:szCs w:val="25"/>
          <w:color w:val="auto"/>
          <w:vertAlign w:val="subscript"/>
        </w:rPr>
        <w:t>3</w:t>
      </w:r>
      <w:r>
        <w:rPr>
          <w:rFonts w:ascii="Times New Roman" w:cs="Times New Roman" w:eastAsia="Times New Roman" w:hAnsi="Times New Roman"/>
          <w:sz w:val="17"/>
          <w:szCs w:val="17"/>
          <w:color w:val="auto"/>
        </w:rPr>
        <w:t xml:space="preserve"> concentrations remained stable during the study with a mean change (±SE) of 3.01 nM (0.94) from baseline (19.36 nM ±3.35) to Week 52 (22.23 ±3.60 nM). Mean absolute eGFR values were stable during the 52-week treatment period, with a mean change from baseline of -1.27 mL/min/1.73m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(1.39). Mean (SE) eGFR slope, at the end of the study, for the overall population, was -2.92 (1.05) mL/min/1.73m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/year indicating stability.</w:t>
      </w:r>
    </w:p>
    <w:p>
      <w:pPr>
        <w:spacing w:after="0" w:line="32" w:lineRule="exact"/>
        <w:rPr>
          <w:sz w:val="20"/>
          <w:szCs w:val="20"/>
          <w:color w:val="auto"/>
        </w:rPr>
      </w:pPr>
    </w:p>
    <w:p>
      <w:pPr>
        <w:jc w:val="both"/>
        <w:ind w:left="60" w:right="139"/>
        <w:spacing w:after="0" w:line="261" w:lineRule="auto"/>
        <w:rPr>
          <w:sz w:val="20"/>
          <w:szCs w:val="20"/>
          <w:color w:val="auto"/>
        </w:rPr>
      </w:pPr>
      <w:r>
        <w:rPr>
          <w:rFonts w:ascii="Times New Roman" w:cs="Times New Roman" w:eastAsia="Times New Roman" w:hAnsi="Times New Roman"/>
          <w:sz w:val="18"/>
          <w:szCs w:val="18"/>
          <w:color w:val="auto"/>
        </w:rPr>
        <w:t>The study suggests that Fabry patients who are currently receiving ERT every two weeks may be successfully transitioned to PRX-102 2 mg/kg every four weeks as an effective and tolerable alternative treatment option. Additional long term data is being collected as part of the ongoing long term extension study (PB-102-F51, NCT03614234) of the 2 mg/kg PRX-102 every four weeks dose.</w:t>
      </w:r>
    </w:p>
    <w:p>
      <w:pPr>
        <w:spacing w:after="0" w:line="153" w:lineRule="exact"/>
        <w:rPr>
          <w:sz w:val="20"/>
          <w:szCs w:val="20"/>
          <w:color w:val="auto"/>
        </w:rPr>
      </w:pPr>
    </w:p>
    <w:p>
      <w:pPr>
        <w:ind w:left="60" w:right="239"/>
        <w:spacing w:after="0" w:line="255" w:lineRule="auto"/>
        <w:rPr>
          <w:sz w:val="20"/>
          <w:szCs w:val="20"/>
          <w:color w:val="auto"/>
        </w:rPr>
      </w:pPr>
      <w:r>
        <w:rPr>
          <w:rFonts w:ascii="Times New Roman" w:cs="Times New Roman" w:eastAsia="Times New Roman" w:hAnsi="Times New Roman"/>
          <w:sz w:val="18"/>
          <w:szCs w:val="18"/>
          <w:color w:val="auto"/>
        </w:rPr>
        <w:t>Following a survey of participants using the Quality of Life EQ-5D-5L questionnaire, responses indicate that patient perception of their own health remained high and stable throughout the 52-week study duration, with overall health mean (SE) scores of 78.3 (3.1) and 82.1 (2.9) at baseline and Week 52, respectively, in a 0 to 100 scale. Using the short-form Brief Pain Inventory, or, questionnaire, approximately 75% of study participants had an improvement or no change in average pain severity at Week 52 (compared to baseline). The short-form BPI interference items also remained stable during the study. Pain-related results indicate that there was no increase and/or relapse in pain. No Fabry clinical events were reported during the study.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i w:val="1"/>
          <w:iCs w:val="1"/>
          <w:color w:val="auto"/>
        </w:rPr>
        <w:t>COVID-19 Impact on PRX-102 Clinical Trials</w:t>
      </w:r>
    </w:p>
    <w:p>
      <w:pPr>
        <w:spacing w:after="0" w:line="202" w:lineRule="exact"/>
        <w:rPr>
          <w:sz w:val="20"/>
          <w:szCs w:val="20"/>
          <w:color w:val="auto"/>
        </w:rPr>
      </w:pPr>
    </w:p>
    <w:p>
      <w:pPr>
        <w:ind w:left="60" w:right="99"/>
        <w:spacing w:after="0" w:line="281" w:lineRule="auto"/>
        <w:rPr>
          <w:sz w:val="20"/>
          <w:szCs w:val="20"/>
          <w:color w:val="auto"/>
        </w:rPr>
      </w:pPr>
      <w:r>
        <w:rPr>
          <w:rFonts w:ascii="Times New Roman" w:cs="Times New Roman" w:eastAsia="Times New Roman" w:hAnsi="Times New Roman"/>
          <w:sz w:val="17"/>
          <w:szCs w:val="17"/>
          <w:color w:val="auto"/>
        </w:rPr>
        <w:t>To date, the COVID-19 pandemic has had a minimal effect on the performance of the PRX-102 phase III clinical trials as many of the patients were already treated in home care settings. We were able to complete all three studies. In a minimal amount of cases, patients who completed a trial were not able to be transferred into an extension study due to the pandemic restrictions, and, accordingly, the main trial was prolonged for the patients to permit the continuation of treatment.</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Phase I/II Study</w:t>
      </w:r>
    </w:p>
    <w:p>
      <w:pPr>
        <w:spacing w:after="0" w:line="187" w:lineRule="exact"/>
        <w:rPr>
          <w:sz w:val="20"/>
          <w:szCs w:val="20"/>
          <w:color w:val="auto"/>
        </w:rPr>
      </w:pPr>
    </w:p>
    <w:p>
      <w:pPr>
        <w:ind w:left="60" w:right="139"/>
        <w:spacing w:after="0" w:line="273" w:lineRule="auto"/>
        <w:rPr>
          <w:sz w:val="20"/>
          <w:szCs w:val="20"/>
          <w:color w:val="auto"/>
        </w:rPr>
      </w:pPr>
      <w:r>
        <w:rPr>
          <w:rFonts w:ascii="Times New Roman" w:cs="Times New Roman" w:eastAsia="Times New Roman" w:hAnsi="Times New Roman"/>
          <w:sz w:val="17"/>
          <w:szCs w:val="17"/>
          <w:color w:val="auto"/>
        </w:rPr>
        <w:t xml:space="preserve">Our phase I/II clinical trial of PRX-102, which we completed in 2015, was a worldwide, multi-center, open-label, dose ranging study designed to evaluate the safety, tolerability, pharmacokinetics, immunogenicity and efficacy parameters of PRX-102 in adult patients with Fabry disease. Sixteen adult, naïve Fabry patients (9 male and 7 female) completed the trial, each in one of three dosing groups, 0.2 mg/kg, 1 mg/kg and 2 mg/kg. Each patient received IV infusions of PRX-102 every two weeks for 12 weeks, with efficacy follow-up after six-month and twelve-month periods. A majority of the patients who completed the trial opted to continue receiving PRX-102 in an open-label, 60-month extension study under which all patients were switched to receive 1 mg/kg of the drug, the selected dose for our </w:t>
      </w:r>
      <w:r>
        <w:rPr>
          <w:rFonts w:ascii="Times New Roman" w:cs="Times New Roman" w:eastAsia="Times New Roman" w:hAnsi="Times New Roman"/>
          <w:sz w:val="17"/>
          <w:szCs w:val="17"/>
          <w:i w:val="1"/>
          <w:iCs w:val="1"/>
          <w:color w:val="auto"/>
        </w:rPr>
        <w:t>BALANCE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BRIDGE</w:t>
      </w:r>
      <w:r>
        <w:rPr>
          <w:rFonts w:ascii="Times New Roman" w:cs="Times New Roman" w:eastAsia="Times New Roman" w:hAnsi="Times New Roman"/>
          <w:sz w:val="17"/>
          <w:szCs w:val="17"/>
          <w:color w:val="auto"/>
        </w:rPr>
        <w:t xml:space="preserve"> studies.</w:t>
      </w:r>
    </w:p>
    <w:p>
      <w:pPr>
        <w:spacing w:after="0" w:line="51" w:lineRule="exact"/>
        <w:rPr>
          <w:sz w:val="20"/>
          <w:szCs w:val="20"/>
          <w:color w:val="auto"/>
        </w:rPr>
      </w:pPr>
    </w:p>
    <w:p>
      <w:pPr>
        <w:ind w:left="60" w:right="79"/>
        <w:spacing w:after="0" w:line="206" w:lineRule="auto"/>
        <w:rPr>
          <w:sz w:val="20"/>
          <w:szCs w:val="20"/>
          <w:color w:val="auto"/>
        </w:rPr>
      </w:pPr>
      <w:r>
        <w:rPr>
          <w:rFonts w:ascii="Times New Roman" w:cs="Times New Roman" w:eastAsia="Times New Roman" w:hAnsi="Times New Roman"/>
          <w:sz w:val="18"/>
          <w:szCs w:val="18"/>
          <w:color w:val="auto"/>
        </w:rPr>
        <w:t>The adult symptomatic, ERT-naïve Fabry disease patients enrolled in the phase I/II study were evaluated for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levels in kidney biopsies and for plasma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concentration by the quantitative BLISS methodology. Biopsies were available from 14 patients. The outcome of ≥ 50% reduction in the average number of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inclusions per kidney PTC from baseline to Month 6 was demonstrated in 11 of 14 (78.6%) of the patients treated with PRX-102. The overall results demonstrate that PRX-102 reaches the affected tissue and reduces kidney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inclusions burden and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in the circulation. A high correlation was found between the two Fabry disease biomarkers, reduction of kidney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inclusions and the reduction of plasma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over six months of treatment.</w:t>
      </w:r>
    </w:p>
    <w:p>
      <w:pPr>
        <w:spacing w:after="0" w:line="14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Data was recorded at 24 months from 11 patients who completed 12 months of the long-term open-label extension trial that succeeded the phase I/II study. Patients who did not continue in the extension trial included: female patients who became or planned to become pregnant and therefore were unable to continue in accordance with the study protocol; and patients who relocated to a location where treatment was not available under the clinical study.</w:t>
      </w:r>
    </w:p>
    <w:p>
      <w:pPr>
        <w:spacing w:after="0" w:line="45"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Results show that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levels decreased approximately 90% from baseline. Renal function remained stable with mean eGFR levels of 108.02 and 107.20 at baseline and 24 months, respectively, with a modest annual eGFR slope of -2.1. An improvement across all the gastrointestinal symptoms evaluated, including severity and frequency of abdominal pain and frequency of diarrhea, was noted. Cardiac parameters, including LVM, LVMI and EF, remained stable with no cardiac fibrosis development detected. In conclusion, an improvement of over 40% in disease severity was shown as measured by the Mainz Severity Score Index, or MSSI, a score compiling the different elements of the disease severity including neurological, renal and cardiovascular parameters. In addition, an improvement was noted in each of the individual parameters of the MSSI.</w:t>
      </w:r>
    </w:p>
    <w:p>
      <w:pPr>
        <w:spacing w:after="0" w:line="160"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majority of adverse events were mild-to-moderate in severity, and transient in nature. During the first 12 months of treatment, only three of 16 patients (less than 19%) formed ADAs of which two of these patients (less than 13%) had neutralizing antibodies. Importantly, however, the ADAs turned negative for all three of these patients following 12 months of treatment. The ADA positivity effect had no observed impact on the safety, efficacy or continuous biomarker reduction of PRX-102.</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PRX-115</w:t>
      </w:r>
    </w:p>
    <w:p>
      <w:pPr>
        <w:spacing w:after="0" w:line="189"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PRX-115 is our plant cell-expressed recombinant PEGylated uricase (urate oxidase) – a chemically modified enzyme under development for the potential treatment of severe gout. Gout is the most common inflammatory arthritis in the United States, affecting an estimated 9.2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55" w:lineRule="auto"/>
        <w:rPr>
          <w:sz w:val="20"/>
          <w:szCs w:val="20"/>
          <w:color w:val="auto"/>
        </w:rPr>
      </w:pPr>
      <w:r>
        <w:rPr>
          <w:rFonts w:ascii="Times New Roman" w:cs="Times New Roman" w:eastAsia="Times New Roman" w:hAnsi="Times New Roman"/>
          <w:sz w:val="18"/>
          <w:szCs w:val="18"/>
          <w:color w:val="auto"/>
        </w:rPr>
        <w:t>adults. Gout is caused by factors that elevate serum uric acid, or sUA, levels, which may include diet or genetic predisposition and environmental factors leading to hyperuricemia and tissue deposition of monosodium urate crystals, tophi, in joints and soft tissues, causing acute and chronic inflammation, and is characterized by recurrent flares. Gout flares lead to substantial morbidity by causing severe pain, reduced quality of life, decreased physical function, increased healthcare costs, and lost economic productivity. Furthermore, gout is strongly associated with metabolic syndrome, and may contribute to myocardial infarction, type 2 diabetes mellitus, chronic kidney disease, or CKD, and premature mortality.</w:t>
      </w:r>
    </w:p>
    <w:p>
      <w:pPr>
        <w:spacing w:after="0" w:line="162"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Severe gout is generally described as a state of gout in which there is a presence of monosodium urate crystals with any of the following: frequent recurrent gout flares, chronic gouty arthritis, subcutaneous tophi or disease elements of gout seen via imaging. It is estimated that approximately 2% of the gout patient population is considered to have chronic refractory disease, and we believe the incidence of severe gout is higher.</w:t>
      </w:r>
    </w:p>
    <w:p>
      <w:pPr>
        <w:spacing w:after="0" w:line="139" w:lineRule="exact"/>
        <w:rPr>
          <w:sz w:val="20"/>
          <w:szCs w:val="20"/>
          <w:color w:val="auto"/>
        </w:rPr>
      </w:pPr>
    </w:p>
    <w:p>
      <w:pPr>
        <w:ind w:left="60" w:right="79"/>
        <w:spacing w:after="0" w:line="249" w:lineRule="auto"/>
        <w:rPr>
          <w:sz w:val="20"/>
          <w:szCs w:val="20"/>
          <w:color w:val="auto"/>
        </w:rPr>
      </w:pPr>
      <w:r>
        <w:rPr>
          <w:rFonts w:ascii="Times New Roman" w:cs="Times New Roman" w:eastAsia="Times New Roman" w:hAnsi="Times New Roman"/>
          <w:sz w:val="17"/>
          <w:szCs w:val="17"/>
          <w:color w:val="auto"/>
        </w:rPr>
        <w:t>Currently available urate-lowering therapies, or ULTs, can be effective in treating gout. However, we believe that new effective, safe therapies are needed to treat severe gout and chronic refractory gout regardless of treatment history. One treatment option may be a therapeutic use of the uricase enzyme which converts uric acid to allantoin, which is easily eliminated through urine. The uricase enzyme does not exist naturally in humans. To date, two variants of recombinant uricases are approved for marketing: (i) Krystexxa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(pegloticase) for treatment of chronic gout refractory to conventional therapy (gout patients that have contraindication/failure of other lowering uric acid treatments) and (ii) Elitek</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indicated for the treatment of tumor lysis syndrome but not gout. Both have a black box warning for anaphylaxis and other major side-effects. In particular, 89% of patients treated with Krystexxa developed an immunogenic response associated with a failure to maintain normalization of serum uric acid levels over a 6-month therapy cycle. In addition, a recent phase IV study demonstrates that co-treatment with Krystexxa and methotrexate prolongs efficacy and increases tolerability in patients with uncontrolled gout. Krystexxa is no longer marketed in the European Union. The European Commission withdrew the marketing authorization for Krystexxa in 2016 at the request of the marketing authorization holder which notified the European Commission of its decision not to market the product in the European Union for commercial reasons.</w:t>
      </w:r>
    </w:p>
    <w:p>
      <w:pPr>
        <w:spacing w:after="0" w:line="156"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We use ProCellEx to express an optimized recombinant uricase enzyme under development for the potential treatment of severe gout which we are designing to lower uric acid levels while having low immunogenicity and increased half-life in the circulation. Pre-clinical data demonstrates stable PK profile and long half-life, low immunogenic risk and high specific activity which supports the potential of PRX-115 to be a safe and effective treatment for severe gout. Preliminary results of the first stage of one-month multiple dosing toxicity studies of PRX-115 in two species show no indication of safety concerns and our current development plan goal is to initiate a phase I clinical trial during the first quarter of 2023.</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PRX-119</w:t>
      </w:r>
    </w:p>
    <w:p>
      <w:pPr>
        <w:spacing w:after="0" w:line="189" w:lineRule="exact"/>
        <w:rPr>
          <w:sz w:val="20"/>
          <w:szCs w:val="20"/>
          <w:color w:val="auto"/>
        </w:rPr>
      </w:pPr>
    </w:p>
    <w:p>
      <w:pPr>
        <w:ind w:left="60" w:right="119"/>
        <w:spacing w:after="0" w:line="272" w:lineRule="auto"/>
        <w:rPr>
          <w:sz w:val="20"/>
          <w:szCs w:val="20"/>
          <w:color w:val="auto"/>
        </w:rPr>
      </w:pPr>
      <w:r>
        <w:rPr>
          <w:rFonts w:ascii="Times New Roman" w:cs="Times New Roman" w:eastAsia="Times New Roman" w:hAnsi="Times New Roman"/>
          <w:sz w:val="17"/>
          <w:szCs w:val="17"/>
          <w:color w:val="auto"/>
        </w:rPr>
        <w:t>PRX-119 is our plant cell-expressed PEGylated recombinant human DNase I product candidate being designed to elongate half-life in the circulation for NETs-related diseases. NETs, Neutrophil extracellular traps, are web-like structures, released by activated neutrophils that trap and kill a variety of microorganisms. NETs are composed of DNA, histones, antimicrobial and pro-inflammatory proteins. Excessive formation or ineffective clearance of NETs can cause different pathological effects. NETs formation has been observed in various autoimmune, inflammatory and fibrotic conditions, diverse forms of thrombosis, cancer and metastasis. According to scientific literature, animal studies have demonstrated that DNase treatment reduces NETs toxicity. Our proprietary modified DNase I design for long and customized systemically circulating in the bloodstream, may potentially enable effective treatment of acute and chronic conditions.</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89"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We have a robust patent portfolio, which is a key element of our overall strategy. We work to continually enhance, strengthen, and protect our intellectual property and now hold a broad portfolio of more than 80 patents globally, including in Europe, the United States, Israel and additional countries worldwide. Our patents are designed to protect our proprietary technology, proprietary products and product candidates, and their methods of use. Additionally, we have more than 30 pending patent applications.</w:t>
      </w:r>
    </w:p>
    <w:p>
      <w:pPr>
        <w:spacing w:after="0" w:line="156"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During 2022, we received a patent in Brazil for the patent family named “Stabilized Alpha-galactosidase and uses thereof,” adding to the 15 previously granted patents in such family. In addition, we received a patent in each of the United States, Australia and Mexico for the patent family named “Modified DNase and uses thereof.” Finally, we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received a patent in South Africa for the patent family named “Therapeutic Regimen for the Treatment of Fabry Using Stabilized Alpha-Galactosidase.”</w:t>
      </w:r>
    </w:p>
    <w:p>
      <w:pPr>
        <w:spacing w:after="0" w:line="135"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Our competitive position and future success depend, in part, on our ability, and that of our licensees, to obtain and leverage the intellectual property rights covering our product candidates, know-how, methods, processes and other technologies, to protect our trade secrets, to prevent others from using our intellectual property and to operate without infringing on the intellectual property rights of third parties. We seek to protect our competitive position by filing United States, European Union, Israeli and other foreign patent applications covering our technology, including both new technology and improvements to existing technology. Our patent strategy includes obtaining patents on methods of production, compositions of matter and methods of use. We also rely on know-how, continuing technological innovation, licensing and partnership opportunities to develop and maintain our competitive position.</w:t>
      </w:r>
    </w:p>
    <w:p>
      <w:pPr>
        <w:spacing w:after="0" w:line="151"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Our outstanding 7.50% Senior Secured Convertible Notes due 2024, or the 2024 Notes, are guaranteed by our subsidiaries and secured by perfected liens on all of our material assets, primarily consisting of our intellectual property assets, including a stock pledge of our foreign subsidiaries in favor of the holders of outstanding 2024 Notes.</w:t>
      </w:r>
    </w:p>
    <w:p>
      <w:pPr>
        <w:spacing w:after="0" w:line="135" w:lineRule="exact"/>
        <w:rPr>
          <w:sz w:val="20"/>
          <w:szCs w:val="20"/>
          <w:color w:val="auto"/>
        </w:rPr>
      </w:pPr>
    </w:p>
    <w:p>
      <w:pPr>
        <w:ind w:left="60" w:right="299"/>
        <w:spacing w:after="0" w:line="312" w:lineRule="auto"/>
        <w:rPr>
          <w:sz w:val="20"/>
          <w:szCs w:val="20"/>
          <w:color w:val="auto"/>
        </w:rPr>
      </w:pPr>
      <w:r>
        <w:rPr>
          <w:rFonts w:ascii="Times New Roman" w:cs="Times New Roman" w:eastAsia="Times New Roman" w:hAnsi="Times New Roman"/>
          <w:sz w:val="17"/>
          <w:szCs w:val="17"/>
          <w:color w:val="auto"/>
        </w:rPr>
        <w:t>As of December 31, 2022, our patent portfolio consisted of several patent families (consisting of patents and/or patent applications) covering our technology, protein expression methodologies and system and product candidates, as follows:</w:t>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760" w:type="dxa"/>
            <w:vAlign w:val="bottom"/>
            <w:gridSpan w:val="3"/>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Patent Name/Int. App. No.</w:t>
            </w:r>
          </w:p>
        </w:tc>
        <w:tc>
          <w:tcPr>
            <w:tcW w:w="600" w:type="dxa"/>
            <w:vAlign w:val="bottom"/>
          </w:tcPr>
          <w:p>
            <w:pPr>
              <w:spacing w:after="0"/>
              <w:rPr>
                <w:sz w:val="17"/>
                <w:szCs w:val="17"/>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Global Pending</w:t>
            </w: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6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Granted Jurisdictions</w:t>
            </w:r>
          </w:p>
        </w:tc>
        <w:tc>
          <w:tcPr>
            <w:tcW w:w="120" w:type="dxa"/>
            <w:vAlign w:val="bottom"/>
          </w:tcPr>
          <w:p>
            <w:pPr>
              <w:spacing w:after="0"/>
              <w:rPr>
                <w:sz w:val="17"/>
                <w:szCs w:val="17"/>
                <w:color w:val="auto"/>
              </w:rPr>
            </w:pPr>
          </w:p>
        </w:tc>
        <w:tc>
          <w:tcPr>
            <w:tcW w:w="7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Nominal</w:t>
            </w:r>
          </w:p>
        </w:tc>
        <w:tc>
          <w:tcPr>
            <w:tcW w:w="0" w:type="dxa"/>
            <w:vAlign w:val="bottom"/>
          </w:tcPr>
          <w:p>
            <w:pPr>
              <w:spacing w:after="0"/>
              <w:rPr>
                <w:sz w:val="1"/>
                <w:szCs w:val="1"/>
                <w:color w:val="auto"/>
              </w:rPr>
            </w:pPr>
          </w:p>
        </w:tc>
      </w:tr>
      <w:tr>
        <w:trPr>
          <w:trHeight w:val="196"/>
        </w:trPr>
        <w:tc>
          <w:tcPr>
            <w:tcW w:w="2760" w:type="dxa"/>
            <w:vAlign w:val="bottom"/>
            <w:gridSpan w:val="3"/>
            <w:vMerge w:val="continue"/>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Jurisdictions</w:t>
            </w: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gridSpan w:val="2"/>
          </w:tcPr>
          <w:p>
            <w:pPr>
              <w:jc w:val="center"/>
              <w:ind w:right="60"/>
              <w:spacing w:after="0" w:line="196" w:lineRule="exact"/>
              <w:rPr>
                <w:sz w:val="20"/>
                <w:szCs w:val="20"/>
                <w:color w:val="auto"/>
              </w:rPr>
            </w:pPr>
            <w:r>
              <w:rPr>
                <w:rFonts w:ascii="Times New Roman" w:cs="Times New Roman" w:eastAsia="Times New Roman" w:hAnsi="Times New Roman"/>
                <w:sz w:val="18"/>
                <w:szCs w:val="18"/>
                <w:b w:val="1"/>
                <w:bCs w:val="1"/>
                <w:color w:val="auto"/>
              </w:rPr>
              <w:t>Expiry</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8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760" w:type="dxa"/>
            <w:vAlign w:val="bottom"/>
            <w:gridSpan w:val="3"/>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Production of High Mannose</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gridSpan w:val="3"/>
            <w:shd w:val="clear" w:color="auto" w:fill="CCEEFF"/>
          </w:tcPr>
          <w:p>
            <w:pPr>
              <w:jc w:val="center"/>
              <w:ind w:right="700"/>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2840" w:type="dxa"/>
            <w:vAlign w:val="bottom"/>
            <w:gridSpan w:val="3"/>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Japan, Israel, Canada, Russian</w:t>
            </w:r>
          </w:p>
        </w:tc>
        <w:tc>
          <w:tcPr>
            <w:tcW w:w="780" w:type="dxa"/>
            <w:vAlign w:val="bottom"/>
            <w:gridSpan w:val="4"/>
            <w:shd w:val="clear" w:color="auto" w:fill="CCEEFF"/>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w w:val="98"/>
              </w:rPr>
              <w:t>2024(1)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Proteins in Plant Culture/PCT/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Federation, Mexico, India,</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Il2004 000181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Australia, South Africa, Republic of</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Korea, Singapore, Europe, Hong</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Kong, Ukraine, China, USA, Brazil</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6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Cell/Tissue Culturing Device,</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3"/>
          </w:tcPr>
          <w:p>
            <w:pPr>
              <w:jc w:val="center"/>
              <w:ind w:right="700"/>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580" w:type="dxa"/>
            <w:vAlign w:val="bottom"/>
          </w:tcPr>
          <w:p>
            <w:pPr>
              <w:spacing w:after="0"/>
              <w:rPr>
                <w:sz w:val="17"/>
                <w:szCs w:val="17"/>
                <w:color w:val="auto"/>
              </w:rPr>
            </w:pPr>
          </w:p>
        </w:tc>
        <w:tc>
          <w:tcPr>
            <w:tcW w:w="2260" w:type="dxa"/>
            <w:vAlign w:val="bottom"/>
            <w:gridSpan w:val="2"/>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w w:val="99"/>
              </w:rPr>
              <w:t>Israel</w:t>
            </w:r>
          </w:p>
        </w:tc>
        <w:tc>
          <w:tcPr>
            <w:tcW w:w="720" w:type="dxa"/>
            <w:vAlign w:val="bottom"/>
            <w:gridSpan w:val="3"/>
          </w:tcPr>
          <w:p>
            <w:pPr>
              <w:jc w:val="center"/>
              <w:ind w:left="110"/>
              <w:spacing w:after="0" w:line="198" w:lineRule="exact"/>
              <w:rPr>
                <w:sz w:val="20"/>
                <w:szCs w:val="20"/>
                <w:color w:val="auto"/>
              </w:rPr>
            </w:pPr>
            <w:r>
              <w:rPr>
                <w:rFonts w:ascii="Times New Roman" w:cs="Times New Roman" w:eastAsia="Times New Roman" w:hAnsi="Times New Roman"/>
                <w:sz w:val="18"/>
                <w:szCs w:val="18"/>
                <w:color w:val="auto"/>
                <w:w w:val="99"/>
              </w:rPr>
              <w:t>2025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System and Method/PCT/Il2005/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000228</w:t>
            </w: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60" w:type="dxa"/>
            <w:vAlign w:val="bottom"/>
            <w:gridSpan w:val="3"/>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Large Scale Disposable</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gridSpan w:val="3"/>
            <w:shd w:val="clear" w:color="auto" w:fill="CCEEFF"/>
          </w:tcPr>
          <w:p>
            <w:pPr>
              <w:jc w:val="center"/>
              <w:ind w:right="700"/>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2840" w:type="dxa"/>
            <w:vAlign w:val="bottom"/>
            <w:gridSpan w:val="3"/>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Australia, Canada, China, Europe,</w:t>
            </w:r>
          </w:p>
        </w:tc>
        <w:tc>
          <w:tcPr>
            <w:tcW w:w="780" w:type="dxa"/>
            <w:vAlign w:val="bottom"/>
            <w:gridSpan w:val="4"/>
            <w:shd w:val="clear" w:color="auto" w:fill="CCEEFF"/>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w w:val="98"/>
              </w:rPr>
              <w:t>2028(2)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Bioreactor/PCT/Il2008/000614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Hong Kong, India, Israel, Republic</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of Korea, Russian Federation,</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Singapore, South Africa, USA,</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60" w:type="dxa"/>
            <w:vAlign w:val="bottom"/>
            <w:gridSpan w:val="2"/>
            <w:shd w:val="clear" w:color="auto" w:fill="CCEEFF"/>
          </w:tcPr>
          <w:p>
            <w:pPr>
              <w:jc w:val="center"/>
              <w:ind w:right="580"/>
              <w:spacing w:after="0"/>
              <w:rPr>
                <w:sz w:val="20"/>
                <w:szCs w:val="20"/>
                <w:color w:val="auto"/>
              </w:rPr>
            </w:pPr>
            <w:r>
              <w:rPr>
                <w:rFonts w:ascii="Times New Roman" w:cs="Times New Roman" w:eastAsia="Times New Roman" w:hAnsi="Times New Roman"/>
                <w:sz w:val="18"/>
                <w:szCs w:val="18"/>
                <w:color w:val="auto"/>
                <w:w w:val="99"/>
              </w:rPr>
              <w:t>Brazil</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6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Stabilized Alpha-galactosidase and</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3"/>
          </w:tcPr>
          <w:p>
            <w:pPr>
              <w:jc w:val="center"/>
              <w:ind w:right="700"/>
              <w:spacing w:after="0" w:line="198" w:lineRule="exact"/>
              <w:rPr>
                <w:sz w:val="20"/>
                <w:szCs w:val="20"/>
                <w:color w:val="auto"/>
              </w:rPr>
            </w:pPr>
            <w:r>
              <w:rPr>
                <w:rFonts w:ascii="Times New Roman" w:cs="Times New Roman" w:eastAsia="Times New Roman" w:hAnsi="Times New Roman"/>
                <w:sz w:val="18"/>
                <w:szCs w:val="18"/>
                <w:color w:val="auto"/>
                <w:w w:val="99"/>
              </w:rPr>
              <w:t>Brazil</w:t>
            </w:r>
          </w:p>
        </w:tc>
        <w:tc>
          <w:tcPr>
            <w:tcW w:w="2840" w:type="dxa"/>
            <w:vAlign w:val="bottom"/>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Canada, South Africa, Russian</w:t>
            </w:r>
          </w:p>
        </w:tc>
        <w:tc>
          <w:tcPr>
            <w:tcW w:w="720" w:type="dxa"/>
            <w:vAlign w:val="bottom"/>
            <w:gridSpan w:val="3"/>
          </w:tcPr>
          <w:p>
            <w:pPr>
              <w:jc w:val="center"/>
              <w:ind w:left="110"/>
              <w:spacing w:after="0" w:line="198" w:lineRule="exact"/>
              <w:rPr>
                <w:sz w:val="20"/>
                <w:szCs w:val="20"/>
                <w:color w:val="auto"/>
              </w:rPr>
            </w:pPr>
            <w:r>
              <w:rPr>
                <w:rFonts w:ascii="Times New Roman" w:cs="Times New Roman" w:eastAsia="Times New Roman" w:hAnsi="Times New Roman"/>
                <w:sz w:val="18"/>
                <w:szCs w:val="18"/>
                <w:color w:val="auto"/>
                <w:w w:val="99"/>
              </w:rPr>
              <w:t>2031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uses thereof/PCT/Il2011/ 000209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Federation, Singapore, Israel, India,</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New Zealand,</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Republic of Korea, Australia,</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China, Japan, USA, Europe,</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Hong Kong, India, Brazil</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60" w:type="dxa"/>
            <w:vAlign w:val="bottom"/>
            <w:gridSpan w:val="3"/>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Nucleic Acid Construct for</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gridSpan w:val="3"/>
            <w:shd w:val="clear" w:color="auto" w:fill="CCEEFF"/>
          </w:tcPr>
          <w:p>
            <w:pPr>
              <w:jc w:val="center"/>
              <w:ind w:right="700"/>
              <w:spacing w:after="0" w:line="198" w:lineRule="exact"/>
              <w:rPr>
                <w:sz w:val="20"/>
                <w:szCs w:val="20"/>
                <w:color w:val="auto"/>
              </w:rPr>
            </w:pPr>
            <w:r>
              <w:rPr>
                <w:rFonts w:ascii="Times New Roman" w:cs="Times New Roman" w:eastAsia="Times New Roman" w:hAnsi="Times New Roman"/>
                <w:sz w:val="18"/>
                <w:szCs w:val="18"/>
                <w:color w:val="auto"/>
                <w:w w:val="99"/>
              </w:rPr>
              <w:t>Brazil</w:t>
            </w:r>
          </w:p>
        </w:tc>
        <w:tc>
          <w:tcPr>
            <w:tcW w:w="2840" w:type="dxa"/>
            <w:vAlign w:val="bottom"/>
            <w:gridSpan w:val="3"/>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India, China, Republic of Korea,</w:t>
            </w:r>
          </w:p>
        </w:tc>
        <w:tc>
          <w:tcPr>
            <w:tcW w:w="780" w:type="dxa"/>
            <w:vAlign w:val="bottom"/>
            <w:gridSpan w:val="4"/>
            <w:shd w:val="clear" w:color="auto" w:fill="CCEEFF"/>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w w:val="98"/>
              </w:rPr>
              <w:t>2024(2)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Expression of Alpha-galactosidase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Japan, Israel, Europe, Hong Kong,</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 Plants and Plant Cells/PCT/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580"/>
              <w:spacing w:after="0"/>
              <w:rPr>
                <w:sz w:val="20"/>
                <w:szCs w:val="20"/>
                <w:color w:val="auto"/>
              </w:rPr>
            </w:pPr>
            <w:r>
              <w:rPr>
                <w:rFonts w:ascii="Times New Roman" w:cs="Times New Roman" w:eastAsia="Times New Roman" w:hAnsi="Times New Roman"/>
                <w:sz w:val="18"/>
                <w:szCs w:val="18"/>
                <w:color w:val="auto"/>
                <w:w w:val="99"/>
              </w:rPr>
              <w:t>USA</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Il2011/000719</w:t>
            </w: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6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6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Therapeutic Regimen For The</w:t>
            </w:r>
          </w:p>
        </w:tc>
        <w:tc>
          <w:tcPr>
            <w:tcW w:w="2400" w:type="dxa"/>
            <w:vAlign w:val="bottom"/>
            <w:gridSpan w:val="5"/>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USA, Europe, Brazil, Japan,</w:t>
            </w:r>
          </w:p>
        </w:tc>
        <w:tc>
          <w:tcPr>
            <w:tcW w:w="580" w:type="dxa"/>
            <w:vAlign w:val="bottom"/>
          </w:tcPr>
          <w:p>
            <w:pPr>
              <w:spacing w:after="0"/>
              <w:rPr>
                <w:sz w:val="17"/>
                <w:szCs w:val="17"/>
                <w:color w:val="auto"/>
              </w:rPr>
            </w:pPr>
          </w:p>
        </w:tc>
        <w:tc>
          <w:tcPr>
            <w:tcW w:w="2260" w:type="dxa"/>
            <w:vAlign w:val="bottom"/>
            <w:gridSpan w:val="2"/>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w w:val="99"/>
              </w:rPr>
              <w:t>South Africa</w:t>
            </w:r>
          </w:p>
        </w:tc>
        <w:tc>
          <w:tcPr>
            <w:tcW w:w="720" w:type="dxa"/>
            <w:vAlign w:val="bottom"/>
            <w:gridSpan w:val="3"/>
          </w:tcPr>
          <w:p>
            <w:pPr>
              <w:jc w:val="center"/>
              <w:ind w:left="110"/>
              <w:spacing w:after="0" w:line="198" w:lineRule="exact"/>
              <w:rPr>
                <w:sz w:val="20"/>
                <w:szCs w:val="20"/>
                <w:color w:val="auto"/>
              </w:rPr>
            </w:pPr>
            <w:r>
              <w:rPr>
                <w:rFonts w:ascii="Times New Roman" w:cs="Times New Roman" w:eastAsia="Times New Roman" w:hAnsi="Times New Roman"/>
                <w:sz w:val="18"/>
                <w:szCs w:val="18"/>
                <w:color w:val="auto"/>
                <w:w w:val="99"/>
              </w:rPr>
              <w:t>2038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Treatment of Fabry Using</w:t>
            </w:r>
          </w:p>
        </w:tc>
        <w:tc>
          <w:tcPr>
            <w:tcW w:w="24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Canada, Australia, Chile,</w:t>
            </w:r>
          </w:p>
        </w:tc>
        <w:tc>
          <w:tcPr>
            <w:tcW w:w="5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Stabilized Alpha-galactosidase/</w:t>
            </w:r>
          </w:p>
        </w:tc>
        <w:tc>
          <w:tcPr>
            <w:tcW w:w="24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Israel, Republic of Korea,</w:t>
            </w:r>
          </w:p>
        </w:tc>
        <w:tc>
          <w:tcPr>
            <w:tcW w:w="5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PCT/Il2018/050018</w:t>
            </w:r>
          </w:p>
        </w:tc>
        <w:tc>
          <w:tcPr>
            <w:tcW w:w="24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China, New Zealand, Russian</w:t>
            </w:r>
          </w:p>
        </w:tc>
        <w:tc>
          <w:tcPr>
            <w:tcW w:w="5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auto"/>
                <w:w w:val="99"/>
              </w:rPr>
              <w:t>Federation, Mexico, Hong</w:t>
            </w:r>
          </w:p>
        </w:tc>
        <w:tc>
          <w:tcPr>
            <w:tcW w:w="5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3"/>
          </w:tcPr>
          <w:p>
            <w:pPr>
              <w:jc w:val="center"/>
              <w:ind w:right="700"/>
              <w:spacing w:after="0"/>
              <w:rPr>
                <w:sz w:val="20"/>
                <w:szCs w:val="20"/>
                <w:color w:val="auto"/>
              </w:rPr>
            </w:pPr>
            <w:r>
              <w:rPr>
                <w:rFonts w:ascii="Times New Roman" w:cs="Times New Roman" w:eastAsia="Times New Roman" w:hAnsi="Times New Roman"/>
                <w:sz w:val="18"/>
                <w:szCs w:val="18"/>
                <w:color w:val="auto"/>
                <w:w w:val="99"/>
              </w:rPr>
              <w:t>Kong</w:t>
            </w:r>
          </w:p>
        </w:tc>
        <w:tc>
          <w:tcPr>
            <w:tcW w:w="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Dry Powder Formulations of</w:t>
            </w:r>
          </w:p>
        </w:tc>
        <w:tc>
          <w:tcPr>
            <w:tcW w:w="260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rPr>
              <w:t>N/A</w:t>
            </w: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Israel, USA</w:t>
            </w:r>
          </w:p>
        </w:tc>
        <w:tc>
          <w:tcPr>
            <w:tcW w:w="104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2033</w:t>
            </w:r>
          </w:p>
        </w:tc>
      </w:tr>
      <w:tr>
        <w:trPr>
          <w:trHeight w:val="234"/>
        </w:trPr>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DNase 1/PCT/Il2013/050094</w:t>
            </w:r>
          </w:p>
        </w:tc>
        <w:tc>
          <w:tcPr>
            <w:tcW w:w="26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175"/>
        </w:trPr>
        <w:tc>
          <w:tcPr>
            <w:tcW w:w="2760" w:type="dxa"/>
            <w:vAlign w:val="bottom"/>
            <w:shd w:val="clear" w:color="auto" w:fill="CCEEFF"/>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98"/>
        </w:trPr>
        <w:tc>
          <w:tcPr>
            <w:tcW w:w="27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DNase I Polypeptides,</w:t>
            </w:r>
          </w:p>
        </w:tc>
        <w:tc>
          <w:tcPr>
            <w:tcW w:w="2600" w:type="dxa"/>
            <w:vAlign w:val="bottom"/>
          </w:tcPr>
          <w:p>
            <w:pPr>
              <w:jc w:val="center"/>
              <w:ind w:right="110"/>
              <w:spacing w:after="0" w:line="198" w:lineRule="exact"/>
              <w:rPr>
                <w:sz w:val="20"/>
                <w:szCs w:val="20"/>
                <w:color w:val="auto"/>
              </w:rPr>
            </w:pPr>
            <w:r>
              <w:rPr>
                <w:rFonts w:ascii="Times New Roman" w:cs="Times New Roman" w:eastAsia="Times New Roman" w:hAnsi="Times New Roman"/>
                <w:sz w:val="18"/>
                <w:szCs w:val="18"/>
                <w:color w:val="auto"/>
                <w:w w:val="99"/>
              </w:rPr>
              <w:t>Brazil</w:t>
            </w:r>
          </w:p>
        </w:tc>
        <w:tc>
          <w:tcPr>
            <w:tcW w:w="25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Europe, Israel</w:t>
            </w:r>
          </w:p>
        </w:tc>
        <w:tc>
          <w:tcPr>
            <w:tcW w:w="1040" w:type="dxa"/>
            <w:vAlign w:val="bottom"/>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w w:val="99"/>
              </w:rPr>
              <w:t>2033</w:t>
            </w:r>
          </w:p>
        </w:tc>
      </w:tr>
      <w:tr>
        <w:trPr>
          <w:trHeight w:val="216"/>
        </w:trPr>
        <w:tc>
          <w:tcPr>
            <w:tcW w:w="2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Polynucleotides Encoding Same,</w:t>
            </w:r>
          </w:p>
        </w:tc>
        <w:tc>
          <w:tcPr>
            <w:tcW w:w="26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Methods of Producing DNase I</w:t>
            </w:r>
          </w:p>
        </w:tc>
        <w:tc>
          <w:tcPr>
            <w:tcW w:w="26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uses thereof in Therapy/PCT/</w:t>
            </w:r>
          </w:p>
        </w:tc>
        <w:tc>
          <w:tcPr>
            <w:tcW w:w="26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2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Il2013/050097</w:t>
            </w:r>
          </w:p>
        </w:tc>
        <w:tc>
          <w:tcPr>
            <w:tcW w:w="26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176"/>
        </w:trPr>
        <w:tc>
          <w:tcPr>
            <w:tcW w:w="27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98"/>
        </w:trPr>
        <w:tc>
          <w:tcPr>
            <w:tcW w:w="276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Inhalable Liquid Formulations of</w:t>
            </w:r>
          </w:p>
        </w:tc>
        <w:tc>
          <w:tcPr>
            <w:tcW w:w="2600" w:type="dxa"/>
            <w:vAlign w:val="bottom"/>
            <w:shd w:val="clear" w:color="auto" w:fill="CCEEFF"/>
          </w:tcPr>
          <w:p>
            <w:pPr>
              <w:jc w:val="center"/>
              <w:ind w:right="110"/>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25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Israel, USA</w:t>
            </w:r>
          </w:p>
        </w:tc>
        <w:tc>
          <w:tcPr>
            <w:tcW w:w="1040" w:type="dxa"/>
            <w:vAlign w:val="bottom"/>
            <w:shd w:val="clear" w:color="auto" w:fill="CCEEFF"/>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w w:val="99"/>
              </w:rPr>
              <w:t>2033</w:t>
            </w:r>
          </w:p>
        </w:tc>
      </w:tr>
      <w:tr>
        <w:trPr>
          <w:trHeight w:val="234"/>
        </w:trPr>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DNase I/PCT/Il2013/050096</w:t>
            </w:r>
          </w:p>
        </w:tc>
        <w:tc>
          <w:tcPr>
            <w:tcW w:w="26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176"/>
        </w:trPr>
        <w:tc>
          <w:tcPr>
            <w:tcW w:w="2760" w:type="dxa"/>
            <w:vAlign w:val="bottom"/>
            <w:shd w:val="clear" w:color="auto" w:fill="CCEEFF"/>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98"/>
        </w:trPr>
        <w:tc>
          <w:tcPr>
            <w:tcW w:w="27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Modified DNase and uses thereof/</w:t>
            </w:r>
          </w:p>
        </w:tc>
        <w:tc>
          <w:tcPr>
            <w:tcW w:w="2600" w:type="dxa"/>
            <w:vAlign w:val="bottom"/>
          </w:tcPr>
          <w:p>
            <w:pPr>
              <w:jc w:val="center"/>
              <w:ind w:right="110"/>
              <w:spacing w:after="0" w:line="198" w:lineRule="exact"/>
              <w:rPr>
                <w:sz w:val="20"/>
                <w:szCs w:val="20"/>
                <w:color w:val="auto"/>
              </w:rPr>
            </w:pPr>
            <w:r>
              <w:rPr>
                <w:rFonts w:ascii="Times New Roman" w:cs="Times New Roman" w:eastAsia="Times New Roman" w:hAnsi="Times New Roman"/>
                <w:sz w:val="18"/>
                <w:szCs w:val="18"/>
                <w:color w:val="auto"/>
                <w:w w:val="99"/>
              </w:rPr>
              <w:t>Europe, Canada, China, New</w:t>
            </w:r>
          </w:p>
        </w:tc>
        <w:tc>
          <w:tcPr>
            <w:tcW w:w="25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USA, Australia, Mexico</w:t>
            </w:r>
          </w:p>
        </w:tc>
        <w:tc>
          <w:tcPr>
            <w:tcW w:w="1040" w:type="dxa"/>
            <w:vAlign w:val="bottom"/>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w w:val="99"/>
              </w:rPr>
              <w:t>2036</w:t>
            </w:r>
          </w:p>
        </w:tc>
      </w:tr>
      <w:tr>
        <w:trPr>
          <w:trHeight w:val="216"/>
        </w:trPr>
        <w:tc>
          <w:tcPr>
            <w:tcW w:w="2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PCT/Il2016/050003</w:t>
            </w:r>
          </w:p>
        </w:tc>
        <w:tc>
          <w:tcPr>
            <w:tcW w:w="26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Zealand, Israel,</w:t>
            </w:r>
          </w:p>
        </w:tc>
        <w:tc>
          <w:tcPr>
            <w:tcW w:w="25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2760" w:type="dxa"/>
            <w:vAlign w:val="bottom"/>
          </w:tcPr>
          <w:p>
            <w:pPr>
              <w:spacing w:after="0"/>
              <w:rPr>
                <w:sz w:val="20"/>
                <w:szCs w:val="20"/>
                <w:color w:val="auto"/>
              </w:rPr>
            </w:pPr>
          </w:p>
        </w:tc>
        <w:tc>
          <w:tcPr>
            <w:tcW w:w="26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Hong Kong, South Africa</w:t>
            </w:r>
          </w:p>
        </w:tc>
        <w:tc>
          <w:tcPr>
            <w:tcW w:w="25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176"/>
        </w:trPr>
        <w:tc>
          <w:tcPr>
            <w:tcW w:w="27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98"/>
        </w:trPr>
        <w:tc>
          <w:tcPr>
            <w:tcW w:w="276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Use of Plant Cells Expressing a</w:t>
            </w:r>
          </w:p>
        </w:tc>
        <w:tc>
          <w:tcPr>
            <w:tcW w:w="2600" w:type="dxa"/>
            <w:vAlign w:val="bottom"/>
            <w:shd w:val="clear" w:color="auto" w:fill="CCEEFF"/>
          </w:tcPr>
          <w:p>
            <w:pPr>
              <w:jc w:val="center"/>
              <w:ind w:right="110"/>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25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Israel</w:t>
            </w:r>
          </w:p>
        </w:tc>
        <w:tc>
          <w:tcPr>
            <w:tcW w:w="1040" w:type="dxa"/>
            <w:vAlign w:val="bottom"/>
            <w:shd w:val="clear" w:color="auto" w:fill="CCEEFF"/>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w w:val="99"/>
              </w:rPr>
              <w:t>2034</w:t>
            </w:r>
          </w:p>
        </w:tc>
      </w:tr>
      <w:tr>
        <w:trPr>
          <w:trHeight w:val="216"/>
        </w:trPr>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TNF Alpha Polypeptide Inhibitor</w:t>
            </w:r>
          </w:p>
        </w:tc>
        <w:tc>
          <w:tcPr>
            <w:tcW w:w="26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4"/>
        </w:trPr>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 Therapy/PCT/IL2014/050231</w:t>
            </w:r>
          </w:p>
        </w:tc>
        <w:tc>
          <w:tcPr>
            <w:tcW w:w="26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175"/>
        </w:trPr>
        <w:tc>
          <w:tcPr>
            <w:tcW w:w="2760" w:type="dxa"/>
            <w:vAlign w:val="bottom"/>
            <w:shd w:val="clear" w:color="auto" w:fill="CCEEFF"/>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98"/>
        </w:trPr>
        <w:tc>
          <w:tcPr>
            <w:tcW w:w="27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Removal of Constructs from</w:t>
            </w:r>
          </w:p>
        </w:tc>
        <w:tc>
          <w:tcPr>
            <w:tcW w:w="2600" w:type="dxa"/>
            <w:vAlign w:val="bottom"/>
          </w:tcPr>
          <w:p>
            <w:pPr>
              <w:jc w:val="center"/>
              <w:ind w:right="110"/>
              <w:spacing w:after="0" w:line="198" w:lineRule="exact"/>
              <w:rPr>
                <w:sz w:val="20"/>
                <w:szCs w:val="20"/>
                <w:color w:val="auto"/>
              </w:rPr>
            </w:pPr>
            <w:r>
              <w:rPr>
                <w:rFonts w:ascii="Times New Roman" w:cs="Times New Roman" w:eastAsia="Times New Roman" w:hAnsi="Times New Roman"/>
                <w:sz w:val="18"/>
                <w:szCs w:val="18"/>
                <w:color w:val="auto"/>
                <w:w w:val="98"/>
              </w:rPr>
              <w:t>USA, Israel, Japan, New</w:t>
            </w:r>
          </w:p>
        </w:tc>
        <w:tc>
          <w:tcPr>
            <w:tcW w:w="25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c>
          <w:tcPr>
            <w:tcW w:w="1040" w:type="dxa"/>
            <w:vAlign w:val="bottom"/>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w w:val="96"/>
              </w:rPr>
              <w:t>N/A</w:t>
            </w:r>
          </w:p>
        </w:tc>
      </w:tr>
      <w:tr>
        <w:trPr>
          <w:trHeight w:val="216"/>
        </w:trPr>
        <w:tc>
          <w:tcPr>
            <w:tcW w:w="2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Transformed Cells/PCT/IL2019/</w:t>
            </w:r>
          </w:p>
        </w:tc>
        <w:tc>
          <w:tcPr>
            <w:tcW w:w="26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Zealand, Australia</w:t>
            </w:r>
          </w:p>
        </w:tc>
        <w:tc>
          <w:tcPr>
            <w:tcW w:w="25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2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051266</w:t>
            </w:r>
          </w:p>
        </w:tc>
        <w:tc>
          <w:tcPr>
            <w:tcW w:w="26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175"/>
        </w:trPr>
        <w:tc>
          <w:tcPr>
            <w:tcW w:w="27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98"/>
        </w:trPr>
        <w:tc>
          <w:tcPr>
            <w:tcW w:w="276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Long-Acting</w:t>
            </w:r>
          </w:p>
        </w:tc>
        <w:tc>
          <w:tcPr>
            <w:tcW w:w="2600" w:type="dxa"/>
            <w:vAlign w:val="bottom"/>
            <w:shd w:val="clear" w:color="auto" w:fill="CCEEFF"/>
          </w:tcPr>
          <w:p>
            <w:pPr>
              <w:jc w:val="center"/>
              <w:ind w:right="110"/>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25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c>
          <w:tcPr>
            <w:tcW w:w="1040" w:type="dxa"/>
            <w:vAlign w:val="bottom"/>
            <w:shd w:val="clear" w:color="auto" w:fill="CCEEFF"/>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w w:val="96"/>
              </w:rPr>
              <w:t>N/A</w:t>
            </w:r>
          </w:p>
        </w:tc>
      </w:tr>
      <w:tr>
        <w:trPr>
          <w:trHeight w:val="234"/>
        </w:trPr>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DNase/PCT/IL2021/051207</w:t>
            </w:r>
          </w:p>
        </w:tc>
        <w:tc>
          <w:tcPr>
            <w:tcW w:w="26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175"/>
        </w:trPr>
        <w:tc>
          <w:tcPr>
            <w:tcW w:w="2760" w:type="dxa"/>
            <w:vAlign w:val="bottom"/>
            <w:shd w:val="clear" w:color="auto" w:fill="CCEEFF"/>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98"/>
        </w:trPr>
        <w:tc>
          <w:tcPr>
            <w:tcW w:w="27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Dicer-Like Knock-Out Plant Cells/</w:t>
            </w:r>
          </w:p>
        </w:tc>
        <w:tc>
          <w:tcPr>
            <w:tcW w:w="2600" w:type="dxa"/>
            <w:vAlign w:val="bottom"/>
          </w:tcPr>
          <w:p>
            <w:pPr>
              <w:jc w:val="center"/>
              <w:ind w:right="110"/>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25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c>
          <w:tcPr>
            <w:tcW w:w="1040" w:type="dxa"/>
            <w:vAlign w:val="bottom"/>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w w:val="96"/>
              </w:rPr>
              <w:t>N/A</w:t>
            </w:r>
          </w:p>
        </w:tc>
      </w:tr>
      <w:tr>
        <w:trPr>
          <w:trHeight w:val="234"/>
        </w:trPr>
        <w:tc>
          <w:tcPr>
            <w:tcW w:w="2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PCT/IL2021/051194</w:t>
            </w:r>
          </w:p>
        </w:tc>
        <w:tc>
          <w:tcPr>
            <w:tcW w:w="26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175"/>
        </w:trPr>
        <w:tc>
          <w:tcPr>
            <w:tcW w:w="27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98"/>
        </w:trPr>
        <w:tc>
          <w:tcPr>
            <w:tcW w:w="276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Modified Uricase and Uses</w:t>
            </w:r>
          </w:p>
        </w:tc>
        <w:tc>
          <w:tcPr>
            <w:tcW w:w="2600" w:type="dxa"/>
            <w:vAlign w:val="bottom"/>
            <w:shd w:val="clear" w:color="auto" w:fill="CCEEFF"/>
          </w:tcPr>
          <w:p>
            <w:pPr>
              <w:jc w:val="center"/>
              <w:ind w:right="110"/>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25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c>
          <w:tcPr>
            <w:tcW w:w="1040" w:type="dxa"/>
            <w:vAlign w:val="bottom"/>
            <w:shd w:val="clear" w:color="auto" w:fill="CCEEFF"/>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w w:val="96"/>
              </w:rPr>
              <w:t>N/A</w:t>
            </w:r>
          </w:p>
        </w:tc>
      </w:tr>
      <w:tr>
        <w:trPr>
          <w:trHeight w:val="234"/>
        </w:trPr>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Thereof/PCT/IL2021/051305</w:t>
            </w:r>
          </w:p>
        </w:tc>
        <w:tc>
          <w:tcPr>
            <w:tcW w:w="26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175"/>
        </w:trPr>
        <w:tc>
          <w:tcPr>
            <w:tcW w:w="2760" w:type="dxa"/>
            <w:vAlign w:val="bottom"/>
            <w:shd w:val="clear" w:color="auto" w:fill="CCEEFF"/>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bl>
    <w:p>
      <w:pPr>
        <w:ind w:left="360" w:hanging="310"/>
        <w:spacing w:after="0"/>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granted in Australia expires in 2029.</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granted in the United States expires in 2032.</w:t>
      </w:r>
    </w:p>
    <w:p>
      <w:pPr>
        <w:spacing w:after="0" w:line="180" w:lineRule="exact"/>
        <w:rPr>
          <w:sz w:val="20"/>
          <w:szCs w:val="20"/>
          <w:color w:val="auto"/>
        </w:rPr>
      </w:pPr>
    </w:p>
    <w:p>
      <w:pPr>
        <w:ind w:left="60" w:right="159"/>
        <w:spacing w:after="0" w:line="277" w:lineRule="auto"/>
        <w:rPr>
          <w:sz w:val="20"/>
          <w:szCs w:val="20"/>
          <w:color w:val="auto"/>
        </w:rPr>
      </w:pPr>
      <w:r>
        <w:rPr>
          <w:rFonts w:ascii="Times New Roman" w:cs="Times New Roman" w:eastAsia="Times New Roman" w:hAnsi="Times New Roman"/>
          <w:sz w:val="17"/>
          <w:szCs w:val="17"/>
          <w:color w:val="auto"/>
        </w:rPr>
        <w:t>We are aware of U.S. patents, and corresponding international counterparts of such patents, owned by third parties that contain claims covering methods of producing glucocerebrosidase. We do not believe that, if any claim of infringement were to be asserted against us based upon such patents, taliglucerase alfa would be found to infringe any valid claim under such patents. However, there can be no assurance that a court would find in our favor or that, if we choose or are required to seek a license to any one or more of such patents, a license would be available to us on acceptable terms or at all.</w:t>
      </w:r>
    </w:p>
    <w:p>
      <w:pPr>
        <w:spacing w:after="0" w:line="127" w:lineRule="exact"/>
        <w:rPr>
          <w:sz w:val="20"/>
          <w:szCs w:val="20"/>
          <w:color w:val="auto"/>
        </w:rPr>
      </w:pPr>
    </w:p>
    <w:p>
      <w:pPr>
        <w:ind w:left="60" w:right="279"/>
        <w:spacing w:after="0" w:line="255" w:lineRule="auto"/>
        <w:rPr>
          <w:sz w:val="20"/>
          <w:szCs w:val="20"/>
          <w:color w:val="auto"/>
        </w:rPr>
      </w:pPr>
      <w:r>
        <w:rPr>
          <w:rFonts w:ascii="Times New Roman" w:cs="Times New Roman" w:eastAsia="Times New Roman" w:hAnsi="Times New Roman"/>
          <w:sz w:val="18"/>
          <w:szCs w:val="18"/>
          <w:color w:val="auto"/>
        </w:rPr>
        <w:t>In April 2005, Protalix Ltd. entered into a license agreement with Icon Genetics AG, or Icon, pursuant to which we received an exclusive worldwide license to develop, test, use and commercialize Icon’s technology to express certain proteins in our ProCellEx protein expression system. We are also entitled to a non-exclusive worldwide license to make and have made other proteins expressed by using Icon’s technology. As consideration for the license, we are obligated to make royalty payments equal to varying low, single-digit percentages of net sales of products by us, our affiliates, or any sublicensees under the agreement. In addition, we are obligated to make milestone payments equal to $350,000, in the aggregate, for each product developed under the license, upon the achievement of certain milestones.</w:t>
      </w:r>
    </w:p>
    <w:p>
      <w:pPr>
        <w:spacing w:after="0" w:line="148"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Our license agreement with Icon remains in effect until the earlier of the expiration of the last patent under the agreement or, if all of the patents under the agreement expire, 20 years after the first commercial sale of any product under the agreement. Icon may terminate the agreement upon written notice to us that we are in material breach of our obligations under the agreement and we are unable to remedy such material breach within 30 days after we receive such notice. Further, Icon may terminate the agreement in connection with certain events relating to a wind up or bankruptcy,</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if we make a general assignment for the benefit of our creditors, or if we cease to conduct operations for a certain period. Icon may also terminate the exclusivity granted to us by written notice if we fail to reach certain milestones within a designated period of time. Notwithstanding the termination date of the agreement, our obligation to pay royalties to Icon under the agreement may expire prior to the termination of the agreement, subject to certain conditions.</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9"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evolving technology and significant competition. Competition from numerous existing companies and others entering the fields in which we operate is intense and expected to increase. Most of these companies have substantially greater research and development, manufacturing, marketing, financial, technological personnel and managerial resources than we do. In addition, many specialized biotechnology companies have formed collaborations with large, established companies to support research, development and commercialization of products that may be competitive with our current and future product candidates and technologies. Acquisitions of competing companies by large pharmaceutical or biotechnology companies could further enhance such competitors’ financial, marketing and other resources. Academic institutions, governmental agencies and other public and private research organizations are also conducting research activities and seeking patent protection and may commercialize competitive products or technologies on their own through collaborations with pharmaceutical and biotechnology companies.</w:t>
      </w:r>
    </w:p>
    <w:p>
      <w:pPr>
        <w:spacing w:after="0" w:line="151" w:lineRule="exact"/>
        <w:rPr>
          <w:sz w:val="20"/>
          <w:szCs w:val="20"/>
          <w:color w:val="auto"/>
        </w:rPr>
      </w:pPr>
    </w:p>
    <w:p>
      <w:pPr>
        <w:ind w:left="60" w:right="119"/>
        <w:spacing w:after="0" w:line="233" w:lineRule="auto"/>
        <w:rPr>
          <w:sz w:val="20"/>
          <w:szCs w:val="20"/>
          <w:color w:val="auto"/>
        </w:rPr>
      </w:pPr>
      <w:r>
        <w:rPr>
          <w:rFonts w:ascii="Times New Roman" w:cs="Times New Roman" w:eastAsia="Times New Roman" w:hAnsi="Times New Roman"/>
          <w:sz w:val="18"/>
          <w:szCs w:val="18"/>
          <w:color w:val="auto"/>
        </w:rPr>
        <w:t>With respect to Gaucher disease, we face competition from two ERTs, Sanofi Genzyme’s Cerezyme and Takeda’s (Shire) Vpriv. In addition, Actelion markets a small molecule drug for the treatment of mild to moderate Type 1 Gaucher disease (Zavesca or miglustat), an oral treatment approved by the FDA only for patients for whom ERT is not a therapeutic option. In addition, Sanofi Genzyme markets a small molecule oral drug, Cerdelga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approved for Gaucher patients with certain CYP2D6 metabolizer status.</w:t>
      </w:r>
    </w:p>
    <w:p>
      <w:pPr>
        <w:spacing w:after="0" w:line="175" w:lineRule="exact"/>
        <w:rPr>
          <w:sz w:val="20"/>
          <w:szCs w:val="20"/>
          <w:color w:val="auto"/>
        </w:rPr>
      </w:pPr>
    </w:p>
    <w:p>
      <w:pPr>
        <w:ind w:left="60" w:right="99"/>
        <w:spacing w:after="0" w:line="230" w:lineRule="auto"/>
        <w:rPr>
          <w:sz w:val="20"/>
          <w:szCs w:val="20"/>
          <w:color w:val="auto"/>
        </w:rPr>
      </w:pPr>
      <w:r>
        <w:rPr>
          <w:rFonts w:ascii="Times New Roman" w:cs="Times New Roman" w:eastAsia="Times New Roman" w:hAnsi="Times New Roman"/>
          <w:sz w:val="18"/>
          <w:szCs w:val="18"/>
          <w:color w:val="auto"/>
        </w:rPr>
        <w:t>With respect to Fabry disease, we face competition from Sanofi Genzyme (Fabrazyme), Takeda (Replagal) and Amicus (Galafold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In addition, we are aware of other late clinical stage, early clinical stage and experimental drugs that are being developed by other companies for the treatment of Fabry disease. For example, eleva GmbH (formerly, Greenovation Biotech GmbH) is developing an ERT for Fabry disease which has completed a phase I clinical trial.</w:t>
      </w:r>
    </w:p>
    <w:p>
      <w:pPr>
        <w:spacing w:after="0" w:line="158"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With respect to severe gout, we face competition from Horizon Therapeutics Public Limited Company (Krsytexxa), which is indicated for treatment of chronic gout in adult patients refractory to conventional therapy. In addition, we are aware of other clinical stage, early clinical stage and experimental refractory or chronic gout treatments. For example, we are aware of a product candidate that is the subject of a phase III clinical trial for chronic refractory gout and another product candidate that is the subject of a phase II clinical trial for hyperuricemia in gout patients with advanced CKD.</w:t>
      </w:r>
    </w:p>
    <w:p>
      <w:pPr>
        <w:spacing w:after="0" w:line="143"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We also face potential competition to our ProCellEx system from companies that are developing other platforms for the expression of recombinant therapeutic pharmaceuticals. We are aware of companies that are developing alternative technologies to develop and produce therapeutic proteins in anticipation of the expiration of certain patent claims covering marketed proteins. A number of companies have developed or are developing alternative expression technologies. Examples include Crucell N.V.’s (acquired by Johnson &amp; Johnson) expression system based on human-cell technology, Dyadic International Inc.’s expression system based on a fungus, Pfenex Inc.’s (acquired by Ligand Pharmaceuticals Incorporated) bacteria-based expression system, and others. Companies developing alternate plant-based technologies include iBio, Inc., Medicago, Inc., and eleva. Unlike ProCellEx, these alternate technologies are not cell-based. These companies base their product development on transgenic plants or whole plants.</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Agreements and Partnerships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Elelyso – Pfizer</w:t>
      </w:r>
    </w:p>
    <w:p>
      <w:pPr>
        <w:spacing w:after="0" w:line="187"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We have licensed to Pfizer the global rights to Elelyso in all markets, excluding Brazil, pursuant to an Amended and Restated Exclusive License and Supply Agreement, or the Amended Pfizer Agreement, which we entered into with Pfizer in October 2015 to amend and restate our initial Exclusive License and Supply Agreement with Pfizer, or the Pfizer Agreement. Pursuant to the Amended Pfizer Agreement, Pfizer retains 100% of revenue and reimburses 100% of direct costs. For the first 10-year period after the execution of the Amended Pfizer Agreement, we have agreed to sell</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55" w:lineRule="auto"/>
        <w:rPr>
          <w:sz w:val="20"/>
          <w:szCs w:val="20"/>
          <w:color w:val="auto"/>
        </w:rPr>
      </w:pPr>
      <w:r>
        <w:rPr>
          <w:rFonts w:ascii="Times New Roman" w:cs="Times New Roman" w:eastAsia="Times New Roman" w:hAnsi="Times New Roman"/>
          <w:sz w:val="18"/>
          <w:szCs w:val="18"/>
          <w:color w:val="auto"/>
        </w:rPr>
        <w:t>drug substance to Pfizer for the production of Elelyso, subject to certain terms and conditions, and Pfizer maintains the right to extend the supply period for up to two additional 30-month periods, subject to certain terms and conditions. In a subsequent amendment, we agreed that after the completion of the first 10-year supply period, the supply term would automatically extend for a five-year period. Any failure to comply with our supply commitments may subject us to substantial financial penalties. The Amended Pfizer Agreement includes customary provisions regarding cooperation for regulatory matters, patent enforcement, termination, indemnification and insurance requirements. We retain distribution rights to taliglucerase alfa in Brazil.</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Elelyso – Fundação Oswaldo Cruz (Fiocruz)</w:t>
      </w:r>
    </w:p>
    <w:p>
      <w:pPr>
        <w:spacing w:after="0" w:line="187"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Elelyso, marketed as BioManguinhos alfataliglicerase in Brazil, is commercialized in Brazil through the Brazil Agreement with Fiocruz, which became effective in January 2014. Gaucher patients in Brazil are entitled to receive ERT paid for by the Brazilian MoH. The Brazilian MoH clinical treatment guidelines state that BioManguinhos alfataliglicerase is the therapy of choice for newly diagnosed patients. BioManguinhos alfataliglicerase is currently estimated to be used by approximately 25% of Gaucher patients in Brazil.</w:t>
      </w:r>
    </w:p>
    <w:p>
      <w:pPr>
        <w:spacing w:after="0" w:line="143"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The Brazil Agreement provides for a staged technology transfer which is intended to transfer to Fiocruz the capacity and skills required for the Brazilian government to construct its own manufacturing facility, at its sole expense, and to produce a sustainable, high-quality, and cost-effective supply of BioManguinhos alfataliglicerase. Fiocruz has not satisfied certain purchase commitments under the Brazil Agreement. Accordingly, we and Fiocruz discuss on a continuous basis, potential steps to maximize sales of BioManguinhos alfataliglicerase sales to the Brazilian MoH.</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PRX-102 – Chiesi Farmaceutici</w:t>
      </w:r>
    </w:p>
    <w:p>
      <w:pPr>
        <w:spacing w:after="0" w:line="187"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We have entered into two exclusive global licensing and supply agreements for PRX-102 for the treatment of Fabry disease with Chiesi. The agreements have significant revenue potential for Protalix. Under the agreements, Protalix Ltd. has received $50.0 million in upfront payments and development cost reimbursements of $45 million, and is entitled to more than $1.0 billion in potential milestone payments and tiered royalties of 15% - 35% (ex-US) and 15% - 40% (US).</w:t>
      </w:r>
    </w:p>
    <w:p>
      <w:pPr>
        <w:spacing w:after="0" w:line="13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On October 19, 2017, Protalix Ltd. and Chiesi entered into the Chiesi Ex-US Agreement pursuant to which Chiesi was granted an exclusive license for all markets outside of the United States to commercialize PRX-102. Under the Chiesi Ex-US Agreement, Chiesi made an upfront payment to Protalix Ltd. of $25.0 million in connection with the execution of the agreement, and Protalix Ltd. was entitled to additional payments of up to $25.0 million in development costs in the aggregate, capped at $10.0 million per year. Protalix Ltd. is also eligible to receive additional payments of up to a maximum of $320.0 million in regulatory and commercial milestone payments. Protalix Ltd. agreed to manufacture all of the PRX-102 needed for all purposes under the agreement, subject to certain exceptions, and Chiesi will purchase PRX-102 from Protalix Ltd., subject to certain terms and conditions. Chiesi is required to make tiered payments of 15% to 35% of its net sales, depending on the amount of annual sales, as consideration for the supply of PRX-102.</w:t>
      </w:r>
    </w:p>
    <w:p>
      <w:pPr>
        <w:spacing w:after="0" w:line="161" w:lineRule="exact"/>
        <w:rPr>
          <w:sz w:val="20"/>
          <w:szCs w:val="20"/>
          <w:color w:val="auto"/>
        </w:rPr>
      </w:pPr>
    </w:p>
    <w:p>
      <w:pPr>
        <w:ind w:left="60" w:right="299"/>
        <w:spacing w:after="0" w:line="273" w:lineRule="auto"/>
        <w:rPr>
          <w:sz w:val="20"/>
          <w:szCs w:val="20"/>
          <w:color w:val="auto"/>
        </w:rPr>
      </w:pPr>
      <w:r>
        <w:rPr>
          <w:rFonts w:ascii="Times New Roman" w:cs="Times New Roman" w:eastAsia="Times New Roman" w:hAnsi="Times New Roman"/>
          <w:sz w:val="17"/>
          <w:szCs w:val="17"/>
          <w:color w:val="auto"/>
        </w:rPr>
        <w:t>On July 23, 2018, Protalix Ltd. entered into the Chiesi US Agreement with respect to the development and commercialization of PRX-102 in the United States. Protalix Ltd. received an upfront, non-refundable, non-creditable payment of $25.0 million from Chiesi and was entitled to additional payments of up to a maximum of $20.0 million to cover development costs for PRX-102, capped at $7.5 million per year. Protalix Ltd. is also eligible to receive additional payments of up to a maximum of $760.0 million, in the aggregate, in regulatory and commercial milestone payments. Chiesi agreed to make tiered payments of 15% to 40% of its net sales under the Chiesi US Agreement to Protalix Ltd., depending on the amount of annual sales, subject to certain terms and conditions, as consideration for product supply.</w:t>
      </w:r>
    </w:p>
    <w:p>
      <w:pPr>
        <w:spacing w:after="0" w:line="131"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On May 13, 2021, we signed a binding term sheet with Chiesi amending the Chiesi Agreements in order to provide our company with near-term capital. Chiesi agreed to make a $10.0 million payment to us before the end of the second quarter of 2021 in exchange for a $25.0 million reduction in a longer term regulatory milestone payment provided in the Chiesi EX-US Agreement. All other regulatory and commercial milestone payments remain unchanged. We received the payment in June 2021. We also agreed to negotiate certain manufacturing related matters.</w:t>
      </w:r>
    </w:p>
    <w:p>
      <w:pPr>
        <w:spacing w:after="0" w:line="143"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On August 29, 2022, we entered into the F/F Agreement and the Letter Agreement. Under the F/F Agreement, we agreed to supply Chiesi with drug substance for PRX-102 and, following relevant technology and technical information transfer</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activities, Chiesi has agreed, among other things, to provide us with commercial fill/finish services for PRX-102, including to support the anticipated global launch of PRX-102. The F/F Agreement will expite December 31, 2025, unless terminated earlier in accordance with its terms and may be extended by mutual agreement in writing for an additional period of seven years. The Letter Agreement changed the obligations of both us and Chiesi under the License Agreements with respect to, among other things, the evaluation, selection and establishment of an initial alternate source of commercial fill/finish services for PRX-102. In addition, the Letter Agreement amended certain provisions of the License Agreements to reflect the appointment of Chiesi as a supplier to our company of commercial fill/finish services and the potential establishment of an initial alternate source of commercial fill/finish services.</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89" w:lineRule="exact"/>
        <w:rPr>
          <w:sz w:val="20"/>
          <w:szCs w:val="20"/>
          <w:color w:val="auto"/>
        </w:rPr>
      </w:pPr>
    </w:p>
    <w:p>
      <w:pPr>
        <w:ind w:left="60" w:right="259"/>
        <w:spacing w:after="0" w:line="271" w:lineRule="auto"/>
        <w:rPr>
          <w:sz w:val="20"/>
          <w:szCs w:val="20"/>
          <w:color w:val="auto"/>
        </w:rPr>
      </w:pPr>
      <w:r>
        <w:rPr>
          <w:rFonts w:ascii="Times New Roman" w:cs="Times New Roman" w:eastAsia="Times New Roman" w:hAnsi="Times New Roman"/>
          <w:sz w:val="17"/>
          <w:szCs w:val="17"/>
          <w:color w:val="auto"/>
        </w:rPr>
        <w:t>We use our current manufacturing facility in Carmiel, Israel, which has approximately 14,700 sq/ft of clean rooms built according to industry standards, to manufacture drug substance for Elelyso, pegunigalsidase alfa and other recombinant proteins for commercial use and phase III clinical trials. We maintain an approximately 3,400 sq/ft pilot plant for protein development and to manufacture supplies for clinical trials (phase I and phase II). Elelyso, pegunigalsidase alfa and our other drug product candidates must be manufactured in a sterile environment and in compliance with cGMPs set by the FDA and other relevant foreign regulatory authorities. We are currently producing PRX-102 drug substance for our phase III and other clinical trials, as well as the manufacturing of the Elelyso we need in the near future, including the Elelyso to be purchased by Pfizer under the Amended Pfizer Agreement. In addition, we intend to use our manufacturing space to produce all of the drug substance needed in connection with the clinical trials for our other product candidates.</w:t>
      </w:r>
    </w:p>
    <w:p>
      <w:pPr>
        <w:spacing w:after="0" w:line="133"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In 2017, the FDA approved the supplemental New Drug Application, sNDA, we submitted to allow us to convert our manufacturing facility from a single dedicated product facility to a multi-product facility. This conversion allows us to realize potentially significant operational savings. Our facility’s current capacity can serve all of our current and expected commercial and clinical needs, and we believe it will be sufficient to serve our production needs for the anticipated commercialization of PRX-102.</w:t>
      </w:r>
    </w:p>
    <w:p>
      <w:pPr>
        <w:spacing w:after="0" w:line="156"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Our manufacturing facilities are subject to inspections by various regulatory authorities from time to time. We have undergone successful inspections by the FDA, the Irish Medicines Board (under the EMA’s centralized marketing authorization procedure), the Brazilian National Health Surveillance Agency (ANVISA), the Israeli Ministry of Health, the Turkish Ministry of Health, the Australian Therapeutic Goods Administration (TGA) and Health Canada.</w:t>
      </w:r>
    </w:p>
    <w:p>
      <w:pPr>
        <w:spacing w:after="0" w:line="13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Our current facility in Israel was granted “Approved Enterprise” status, and we have elected to participate in the alternative benefits program. Our facility is located in a top priority location, or “Zone A,” location, and, therefore, our income from the Approved Enterprise will be tax exempt in Israel for a 10-year period, commencing with the year in which we first generate taxable income from the relevant Approved Enterprise and after we use our net operating loss carryforwards, or NOLs. We expect to be entitled to similar tax benefits for a number of years thereafter. To remain eligible for these tax benefits, we must continue to meet certain conditions, and if we increase our activities outside of Israel, for example, by future acquisitions, such increased activities generally may not be eligible for inclusion in Israeli tax benefit programs. In addition, our technology is subject to certain restrictions with respect to the transfer of technology and manufacturing rights.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Raw Materials and Suppliers</w:t>
      </w:r>
    </w:p>
    <w:p>
      <w:pPr>
        <w:spacing w:after="0" w:line="202"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We believe that the raw materials that we require throughout the manufacturing process of Elelyso and our other current and potential drug product candidates are widely available from numerous suppliers and are generally considered to be generic industrial biological supplies. We rely on a single, approved supplier for certain materials relating to the current expression of our proprietary biotherapeutic proteins through ProCellEx. We have identified additional suppliers for most of the materials required for the production of our product candidates.</w:t>
      </w:r>
    </w:p>
    <w:p>
      <w:pPr>
        <w:spacing w:after="0" w:line="143"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Development and regulatory approval of our pharmaceutical products are dependent upon our ability to procure active ingredients and certain packaging materials from sources approved by the FDA and other regulatory authorities. The FDA and other regulatory approval processes require manufacturers to specify their proposed suppliers of active ingredients and certain packaging materials in their applications. From time to time, we intend to continue to identify alternative approved suppliers to ensure the uninterrupted supply of necessary raw materials.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20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U.S. Drug Development Process</w:t>
      </w:r>
    </w:p>
    <w:p>
      <w:pPr>
        <w:spacing w:after="0" w:line="187"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The FDA regulates drugs under the FFDCA and its implementing regulations. Drugs are also subject to other federal, state and local statutes and regulations. Biologics are subject to regulation by the FDA under the FDCA, the Public Health Service Act, and related regulations and other federal, state and local laws and regulations. Biological products include a wide variety of products including vaccines, blood and blood components, gene therapies, tissue and proteins. Unlike most prescription products made through chemical processes, biological products generally are made from human and/or animal materials. To be lawfully marketed in interstate commerce, a biologic product must be the subject of a BLA issued by the FDA on the basis of a demonstration that the product is safe, pure and potent, and that the facility in which the product is manufactured meets standards to assure that the product continues to be safe, pure and potent. The FDA has developed, and is continuously updating, the requirements with respect to cell and gene therapy products and has issued documents concerning the regulation of cellular and tissue-based products. Manufacturers of cell and tissue-based products must comply with the FDA’s current good tissue practices, or cGTP, which are FDA regulations that govern the methods used in, and the facilities and controls used for, the manufacture of such products. The primary intent of the cGTP requirements is to ensure that cell and tissue-based products are manufactured in a manner designed to prevent the introduction, transmission and spread of communicable disease.</w:t>
      </w:r>
    </w:p>
    <w:p>
      <w:pPr>
        <w:spacing w:after="0" w:line="157" w:lineRule="exact"/>
        <w:rPr>
          <w:sz w:val="20"/>
          <w:szCs w:val="20"/>
          <w:color w:val="auto"/>
        </w:rPr>
      </w:pPr>
    </w:p>
    <w:p>
      <w:pPr>
        <w:ind w:left="60" w:right="259"/>
        <w:spacing w:after="0" w:line="254" w:lineRule="auto"/>
        <w:rPr>
          <w:sz w:val="20"/>
          <w:szCs w:val="20"/>
          <w:color w:val="auto"/>
        </w:rPr>
      </w:pPr>
      <w:r>
        <w:rPr>
          <w:rFonts w:ascii="Times New Roman" w:cs="Times New Roman" w:eastAsia="Times New Roman" w:hAnsi="Times New Roman"/>
          <w:sz w:val="18"/>
          <w:szCs w:val="18"/>
          <w:color w:val="auto"/>
        </w:rPr>
        <w:t>The process of obtaining regulatory approvals and ensuring compliance with appropriate federal, state and local statutes and regulations in the United States, and foreign statutes and regulations, requires the expenditure of substantial time and financial resources. Failure to comply with the applicable U.S. requirements at any time during the product development process, approval process, or after approval, may subject an applicant to administrative or judicial sanctions. These sanctions could include the FDA’s refusal to approve pending applications, withdrawal of an approval, a clinical hold, warning letters, product recalls, product seizures, product detention, total or partial suspension of production or distribution, injunctions, fines, refusals of government contracts, restitution, disgorgement or civil or criminal penalties. The process required by the FDA before a biological product or drug may be marketed in the United States generally involves the following:</w:t>
      </w:r>
    </w:p>
    <w:p>
      <w:pPr>
        <w:spacing w:after="0" w:line="161" w:lineRule="exact"/>
        <w:rPr>
          <w:sz w:val="20"/>
          <w:szCs w:val="20"/>
          <w:color w:val="auto"/>
        </w:rPr>
      </w:pPr>
    </w:p>
    <w:p>
      <w:pPr>
        <w:ind w:left="720" w:right="19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according to Good Laboratory Practices or other regulations;</w:t>
      </w:r>
    </w:p>
    <w:p>
      <w:pPr>
        <w:spacing w:after="0" w:line="121"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or IND, which must become effective before human clinical trials may begin;</w:t>
      </w:r>
    </w:p>
    <w:p>
      <w:pPr>
        <w:spacing w:after="0" w:line="121"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clinical trials according to Good Clinical Practices, or GCP, to establish the safety and efficacy of the proposed biological product or drug for its intended use;</w:t>
      </w:r>
    </w:p>
    <w:p>
      <w:pPr>
        <w:spacing w:after="0" w:line="134" w:lineRule="exact"/>
        <w:rPr>
          <w:rFonts w:ascii="Times New Roman" w:cs="Times New Roman" w:eastAsia="Times New Roman" w:hAnsi="Times New Roman"/>
          <w:sz w:val="18"/>
          <w:szCs w:val="18"/>
          <w:color w:val="auto"/>
        </w:rPr>
      </w:pPr>
    </w:p>
    <w:p>
      <w:pPr>
        <w:ind w:left="720" w:right="45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BLA for a new biological product or a new drug application, or NDA, for a new drug;</w:t>
      </w:r>
    </w:p>
    <w:p>
      <w:pPr>
        <w:spacing w:after="0" w:line="121" w:lineRule="exact"/>
        <w:rPr>
          <w:rFonts w:ascii="Times New Roman" w:cs="Times New Roman" w:eastAsia="Times New Roman" w:hAnsi="Times New Roman"/>
          <w:sz w:val="18"/>
          <w:szCs w:val="18"/>
          <w:color w:val="auto"/>
        </w:rPr>
      </w:pPr>
    </w:p>
    <w:p>
      <w:pPr>
        <w:jc w:val="both"/>
        <w:ind w:left="720" w:right="519" w:hanging="319"/>
        <w:spacing w:after="0" w:line="266"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drug is produced to assess compliance with cGMP to assure that the facilities, methods and controls are adequate to preserve the drug’s or biologic’s identity, strength, quality and purity; and</w:t>
      </w:r>
    </w:p>
    <w:p>
      <w:pPr>
        <w:spacing w:after="0" w:line="13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 or NDA.</w:t>
      </w:r>
    </w:p>
    <w:p>
      <w:pPr>
        <w:spacing w:after="0" w:line="198" w:lineRule="exact"/>
        <w:rPr>
          <w:sz w:val="20"/>
          <w:szCs w:val="20"/>
          <w:color w:val="auto"/>
        </w:rPr>
      </w:pPr>
    </w:p>
    <w:p>
      <w:pPr>
        <w:ind w:left="60" w:right="219"/>
        <w:spacing w:after="0" w:line="255" w:lineRule="auto"/>
        <w:rPr>
          <w:sz w:val="20"/>
          <w:szCs w:val="20"/>
          <w:color w:val="auto"/>
        </w:rPr>
      </w:pPr>
      <w:r>
        <w:rPr>
          <w:rFonts w:ascii="Times New Roman" w:cs="Times New Roman" w:eastAsia="Times New Roman" w:hAnsi="Times New Roman"/>
          <w:sz w:val="18"/>
          <w:szCs w:val="18"/>
          <w:color w:val="auto"/>
        </w:rPr>
        <w:t>All clinical trials must be conducted under the supervision of one or more qualified investigators in accordance with GCP regulations. These regulations include the requirement that all subjects participating in the clinical trial provide their informed consent regarding the trial. Further, an institutional review board, or IRB, must review and approve the plan for any clinical trial before it commences at any institution. An IRB considers, among other things, whether the risks to individuals participating in the trials are minimized and are reasonable in relation to anticipated benefits. The IRB also approves the information regarding the clinical trial and the consent form that must be provided to each clinical trial subject, or his or her legal representative, and must monitor the clinical trial until completed. Once an IND is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effect, each new clinical protocol and any amendments to the protocol must be submitted to the FDA for review, and to the IRBs for approval.</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83" w:lineRule="exact"/>
        <w:rPr>
          <w:sz w:val="20"/>
          <w:szCs w:val="20"/>
          <w:color w:val="auto"/>
        </w:rPr>
      </w:pPr>
    </w:p>
    <w:p>
      <w:pPr>
        <w:ind w:left="720" w:right="319" w:hanging="319"/>
        <w:spacing w:after="0" w:line="261"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I. </w:t>
      </w:r>
      <w:r>
        <w:rPr>
          <w:rFonts w:ascii="Times New Roman" w:cs="Times New Roman" w:eastAsia="Times New Roman" w:hAnsi="Times New Roman"/>
          <w:sz w:val="18"/>
          <w:szCs w:val="18"/>
          <w:color w:val="auto"/>
        </w:rPr>
        <w:t>The product is initially introduced into healthy human subjects and tested for safety, dosage tolerance,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absorption, metabolism, distribution and excretion. In the case of some products for severe or life-threatening diseases, especially when the product may be too inherently toxic to ethically administer to healthy volunteers, the initial human testing may be conducted in patients having the specific disease.</w:t>
      </w:r>
    </w:p>
    <w:p>
      <w:pPr>
        <w:spacing w:after="0" w:line="139" w:lineRule="exact"/>
        <w:rPr>
          <w:rFonts w:ascii="Times New Roman" w:cs="Times New Roman" w:eastAsia="Times New Roman" w:hAnsi="Times New Roman"/>
          <w:sz w:val="18"/>
          <w:szCs w:val="18"/>
          <w:color w:val="auto"/>
        </w:rPr>
      </w:pPr>
    </w:p>
    <w:p>
      <w:pPr>
        <w:ind w:left="720" w:right="179" w:hanging="319"/>
        <w:spacing w:after="0" w:line="267"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II. </w:t>
      </w:r>
      <w:r>
        <w:rPr>
          <w:rFonts w:ascii="Times New Roman" w:cs="Times New Roman" w:eastAsia="Times New Roman" w:hAnsi="Times New Roman"/>
          <w:sz w:val="18"/>
          <w:szCs w:val="18"/>
          <w:color w:val="auto"/>
        </w:rPr>
        <w:t>Phase II clinical trials involve investigations in a limited patient population to identify possible adverse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effects and safety risks, to preliminarily evaluate the efficacy of the product for specific targeted diseases and to determine dosage tolerance and the optimal dosage and schedule.</w:t>
      </w:r>
    </w:p>
    <w:p>
      <w:pPr>
        <w:spacing w:after="0" w:line="146" w:lineRule="exact"/>
        <w:rPr>
          <w:rFonts w:ascii="Times New Roman" w:cs="Times New Roman" w:eastAsia="Times New Roman" w:hAnsi="Times New Roman"/>
          <w:sz w:val="18"/>
          <w:szCs w:val="18"/>
          <w:color w:val="auto"/>
        </w:rPr>
      </w:pPr>
    </w:p>
    <w:p>
      <w:pPr>
        <w:ind w:left="720" w:right="259" w:hanging="319"/>
        <w:spacing w:after="0" w:line="261"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III. </w:t>
      </w:r>
      <w:r>
        <w:rPr>
          <w:rFonts w:ascii="Times New Roman" w:cs="Times New Roman" w:eastAsia="Times New Roman" w:hAnsi="Times New Roman"/>
          <w:sz w:val="18"/>
          <w:szCs w:val="18"/>
          <w:color w:val="auto"/>
        </w:rPr>
        <w:t>Phase III clinical trials are undertaken to further evaluate dosage, clinical efficacy and safety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expanded patient population at geographically dispersed clinical trial sites. These trials are intended to establish the overall risk/benefit ratio of the product and provide an adequate basis for regulatory approval and product labeling.</w:t>
      </w:r>
    </w:p>
    <w:p>
      <w:pPr>
        <w:spacing w:after="0" w:line="141" w:lineRule="exact"/>
        <w:rPr>
          <w:sz w:val="20"/>
          <w:szCs w:val="20"/>
          <w:color w:val="auto"/>
        </w:rPr>
      </w:pPr>
    </w:p>
    <w:p>
      <w:pPr>
        <w:ind w:left="60" w:right="379"/>
        <w:spacing w:after="0" w:line="266" w:lineRule="auto"/>
        <w:rPr>
          <w:sz w:val="20"/>
          <w:szCs w:val="20"/>
          <w:color w:val="auto"/>
        </w:rPr>
      </w:pPr>
      <w:r>
        <w:rPr>
          <w:rFonts w:ascii="Times New Roman" w:cs="Times New Roman" w:eastAsia="Times New Roman" w:hAnsi="Times New Roman"/>
          <w:sz w:val="18"/>
          <w:szCs w:val="18"/>
          <w:color w:val="auto"/>
        </w:rPr>
        <w:t>Post-approval studies, also called Phase IV trials, may be conducted after initial marketing approvals. These studies are used to obtain additional experience from the treatment of patients in the intended therapeutic indication and may be required by the FDA as part of the approval process.</w:t>
      </w:r>
    </w:p>
    <w:p>
      <w:pPr>
        <w:spacing w:after="0" w:line="135"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Progress reports detailing the results of the clinical trials must be submitted at least annually to the FDA and safety reports must be submitted to the FDA and the investigators for serious and unexpected side effects. Phase I, Phase II and Phase III testing may not be completed successfully within any specified period, if at all. The FDA or the trial sponsor may suspend or terminate a clinical trial at any time on various grounds, including a finding that the study subjects or patients are being exposed to an unacceptable health risk. Similarly, an IRB can suspend or terminate approval of a clinical trial at its institution if the clinical trial is not being conducted in accordance with the IRB’s requirements or if the product candidate has been associated with unexpected serious harm to patients.</w:t>
      </w:r>
    </w:p>
    <w:p>
      <w:pPr>
        <w:spacing w:after="0" w:line="162"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product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product. Additionally, appropriate packaging must be selected and tested and stability studies must be conducted to demonstrate that the applicable product candidate does not undergo unacceptable deterioration over its shelf life.</w:t>
      </w:r>
    </w:p>
    <w:p>
      <w:pPr>
        <w:spacing w:after="0" w:line="148"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The results of product development, preclinical studies and clinical trials, along with descriptions of the manufacturing process, analytical tests conducted on the product candidate, proposed labeling and other relevant information, are submitted to the FDA as part of an NDA or BLA, requesting approval to market the product. The submission of an NDA or BLA is subject to the payment of substantial user fees which may be waived under certain limited circumstances.</w:t>
      </w:r>
    </w:p>
    <w:p>
      <w:pPr>
        <w:spacing w:after="0" w:line="139"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testing and approval processes require substantial time and effort, and may not result in an approval on a timely basis, if at all. The FDA may refuse to approve a BLA or NDA if the applicable regulatory criteria are not satisfied or may require additional clinical data or other data and information. Generally, it takes one to three years to obtain approval. If questions arise during the FDA review process, approval may take a significantly longer period of time.</w:t>
      </w:r>
    </w:p>
    <w:p>
      <w:pPr>
        <w:spacing w:after="0" w:line="153"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In addition, the FDA may require Phase IV testing which involves clinical trials designed to further assess a drug’s or biologic’s safety and effectiveness after BLA or NDA approval and may require testing and surveillance programs to monitor the safety of approved products that have been commercialized.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Orphan Drug Designation</w:t>
      </w:r>
    </w:p>
    <w:p>
      <w:pPr>
        <w:spacing w:after="0" w:line="200"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Under the Orphan Drug Act of 1983, the FDA may grant orphan drug designation to drugs and biological products intended to treat a rare disease or condition, which is generally a disease or condition that affects fewer than 200,000 individuals in the United States or that affects more than 200,000 persons in the United States but that sales in the United States are not expected to recover the costs of developing and marketing a treatment drug. Orphan product designation does not convey any advantage in, or shorten the duration of, the regulatory review and approval process. Among the benefits of orphan drug designation are possible funding and tax savings to support clinical trials, other financial incentives and a waiver of the marketing application user fee.</w:t>
      </w:r>
    </w:p>
    <w:p>
      <w:pPr>
        <w:spacing w:after="0" w:line="148"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treatment for the same indication for seven years, except in limited circumstances, such as (i) the drug’s orphan designation is revoked; (ii) its marketing approval is withdrawn; (iii) the orphan exclusivity holder consents to the approval of another applicant’s product; (iv) the orphan exclusivity holder is unable to assure the availability of a sufficient quantity of drug; or (v) a showing of clinical superiority to the product with orphan exclusivity by a competitor product. Competitors, however, may receive approval of different products for the indication for which the orphan product has exclusivity or obtain approval for the same product but for a different indication for which the orphan product has exclusivity. Orphan drug status in the European Union has similar but not identical benefits in the European Union.</w:t>
      </w:r>
    </w:p>
    <w:p>
      <w:pPr>
        <w:spacing w:after="0" w:line="154"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In December 2017, the European Commission granted Orphan Drug Designation to PRX-102 for the treatment of Fabry disease.</w:t>
      </w:r>
    </w:p>
    <w:p>
      <w:pPr>
        <w:spacing w:after="0" w:line="13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Patent Term Restoration and Marketing Exclusivity</w:t>
      </w:r>
    </w:p>
    <w:p>
      <w:pPr>
        <w:spacing w:after="0" w:line="187" w:lineRule="exact"/>
        <w:rPr>
          <w:sz w:val="20"/>
          <w:szCs w:val="20"/>
          <w:color w:val="auto"/>
        </w:rPr>
      </w:pPr>
    </w:p>
    <w:p>
      <w:pPr>
        <w:ind w:left="60" w:right="79"/>
        <w:spacing w:after="0" w:line="269" w:lineRule="auto"/>
        <w:rPr>
          <w:sz w:val="20"/>
          <w:szCs w:val="20"/>
          <w:color w:val="auto"/>
        </w:rPr>
      </w:pPr>
      <w:r>
        <w:rPr>
          <w:rFonts w:ascii="Times New Roman" w:cs="Times New Roman" w:eastAsia="Times New Roman" w:hAnsi="Times New Roman"/>
          <w:sz w:val="17"/>
          <w:szCs w:val="17"/>
          <w:color w:val="auto"/>
        </w:rPr>
        <w:t>Depending upon the timing, duration and specifics of FDA marketing approval of our product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(a) the effective date of an IND and the submission date of a BLA or an NDA plus (b) the time between the submission date of a BLA or an NDA and the approval of that application. Only one patent applicable to an approved drug is eligible for the extension and the extension must be requested prior to expiration of the patent. The U.S. Patent and Trademark Office, or USPTO, in consultation with the FDA, reviews and approves the application for any patent term extension or restoration. We anticipate that we will apply for restorations of the patent term for certain of patents covering our product candidates.</w:t>
      </w:r>
    </w:p>
    <w:p>
      <w:pPr>
        <w:spacing w:after="0" w:line="13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Fast Track Designation</w:t>
      </w:r>
    </w:p>
    <w:p>
      <w:pPr>
        <w:spacing w:after="0" w:line="200" w:lineRule="exact"/>
        <w:rPr>
          <w:sz w:val="20"/>
          <w:szCs w:val="20"/>
          <w:color w:val="auto"/>
        </w:rPr>
      </w:pPr>
    </w:p>
    <w:p>
      <w:pPr>
        <w:ind w:left="60" w:right="119"/>
        <w:spacing w:after="0" w:line="270" w:lineRule="auto"/>
        <w:rPr>
          <w:sz w:val="20"/>
          <w:szCs w:val="20"/>
          <w:color w:val="auto"/>
        </w:rPr>
      </w:pPr>
      <w:r>
        <w:rPr>
          <w:rFonts w:ascii="Times New Roman" w:cs="Times New Roman" w:eastAsia="Times New Roman" w:hAnsi="Times New Roman"/>
          <w:sz w:val="17"/>
          <w:szCs w:val="17"/>
          <w:color w:val="auto"/>
        </w:rPr>
        <w:t>The FDA has a fast track program that is designed to facilitate the development and expedite the review of drugs to treat serious conditions and fill an unmet medical need, the purpose being to make important new drugs available to patients earlier. A drug candidate that receives Fast Track designation from the FDA is eligible for some or all of the following: more frequent meetings with the FDA to discuss the drug’s development plan and ensure collection of appropriate data needed to support drug approval; more frequent written communication from the FDA about such things as the design of the proposed clinical trials; eligibility for the FDA’s Accelerated Approval and Priority Review, if relevant criteria are met; and eligibility for Rolling Review, which allows a drug company to submit completed sections of its BLA or NDA for review by the FDA, rather than waiting until every section of the BLA or NDA is completed before the entire application can be reviewed. BLA or NDA review usually does not begin until the drug company has submitted the entire application to the FDA. We used the Rolling Review option for our taliglucerase alfa NDA, which we completed in April 2010.</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January 2018, the FDA granted Fast Track designation to PRX-102.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Accelerated Approval</w:t>
      </w:r>
    </w:p>
    <w:p>
      <w:pPr>
        <w:spacing w:after="0" w:line="200"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Section 901 of the U.S. Food and Drug Administration Safety Innovations Act amends the FFDCA to allow the FDA to base Accelerated Approval for drugs for serious conditions that fill an unmet medical need on whether the drug has an effect on a surrogate or an intermediate clinical endpoint. A surrogate endpoint used for Accelerated Approval is a marker; that is, a laboratory measurement, radiographic image, physical sign or other measure, that is thought to predict clinical benefit, but is not itself a measure of clinical benefit. An intermediate clinical endpoint is a measure of a therapeutic effect that is considered reasonably likely to predict the clinical benefit of a drug, such as an effect on irreversible morbidity and mortality. The FDA bases its decision on whether to accept the proposed surrogate or intermediate clinical endpoint on the scientific support for that endpoint. Studies that demonstrate a drug’s effect on a surrogate or intermediate clinical endpoint must be “adequate and well controlled” as required by the FFDCA.</w:t>
      </w:r>
    </w:p>
    <w:p>
      <w:pPr>
        <w:spacing w:after="0" w:line="148"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Accelerated Approval pathway is most often used in settings in which the course of a disease is long and an extended period of time is required to measure the intended clinical benefit of a drug, even if the effect on the surrogate or intermediate clinical endpoint occurs rapidly. Under subpart H of the Accelerated Approval pathway, the FDA may grant marketing approval for a new drug product on the basis of adequate and well-controlled clinical trials establishing that the drug product has an effect on a surrogate endpoint that is reasonably likely, based on epidemiologic, therapeutic, pathophysiologic, or other evidence, to predict clinical benefit or on the basis of an effect on a clinical endpoint other than survival or irreversible morbidity. The Accelerated Approval pathway is usually contingent on a sponsor’s agreement to conduct, in a diligent manner, additional post-approval confirmatory studies to verify and describe the drug’s clinical benefit. As a result, a drug candidate approved on this basis is subject to rigorous post-marketing compliance requirements, including the completion of Phase IV or post-approval clinical trials to confirm the effect on the clinical endpoint. Failure to conduct required post-approval studies, or confirm a clinical benefit during post-marketing studies, would allow the FDA to withdraw the drug from the market on an expedited basis. All promotional materials for drug candidates approved under accelerated regulations are subject to prior review by the FDA.</w:t>
      </w:r>
    </w:p>
    <w:p>
      <w:pPr>
        <w:spacing w:after="0" w:line="14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200"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Any drugs for which we receive FDA approval are subject to continuing regulation by the FDA, including, among other things, record-keeping requirements, reporting of adverse effects with the product, reporting of changes in distributed products which would require field alert reports (FARs), drugs and biological product deviation reports (BPDRs) providing the FDA with updated safety and efficacy information, product sampling and distribution requirements, complying with certain electronic records and signature requirements and complying with FDA promotion and advertising requirements. In September 2007, the Food and Drug Administration Amendments Act of 2007 was enacted, giving the FDA enhanced post-marketing authority, including the authority to require post marketing studies and clinical trials (PMRs and PMCs), labeling changes based on new safety information, and compliance with risk evaluations and mitigation strategies (REMS), approved by the FDA. The FDA strictly regulates labeling, advertising, promotion and other types of information on products that are placed on the market. Drugs and biologics may be promoted only for the approved indications and in accordance with the provisions of the approved label. Further, manufacturers of drugs and biologics must continue to comply with cGMP requirements, which are extensive and require considerable time, resources and ongoing investment to ensure compliance. In addition, changes to the manufacturing process generally require prior FDA approval before being implemented and other types of changes to the approved product, such as adding new indications and additional labeling claims, are also subject to further FDA review and approval.</w:t>
      </w:r>
    </w:p>
    <w:p>
      <w:pPr>
        <w:spacing w:after="0" w:line="155"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Drug and biologic manufacturers and other entities involved in the manufacturing and distribution of approved drugs and biologics are required to register their establishments with the FDA and certain state agencies, and are subject to periodic unannounced inspections by the FDA and certain state agencies for compliance with cGMP, GTP applicable to biologics, and other laws. The cGMP requirements apply to all stages of the manufacturing process, including the production, processing, sterilization, packaging, labeling, storage and shipment of the drug. Manufacturers must establish validated systems to ensure that products meet specifications and regulatory standards, and test each product batch or lot prior to its release.</w:t>
      </w:r>
    </w:p>
    <w:p>
      <w:pPr>
        <w:spacing w:after="0" w:line="148" w:lineRule="exact"/>
        <w:rPr>
          <w:sz w:val="20"/>
          <w:szCs w:val="20"/>
          <w:color w:val="auto"/>
        </w:rPr>
      </w:pPr>
    </w:p>
    <w:p>
      <w:pPr>
        <w:jc w:val="both"/>
        <w:ind w:left="60" w:right="119"/>
        <w:spacing w:after="0" w:line="266" w:lineRule="auto"/>
        <w:rPr>
          <w:sz w:val="20"/>
          <w:szCs w:val="20"/>
          <w:color w:val="auto"/>
        </w:rPr>
      </w:pPr>
      <w:r>
        <w:rPr>
          <w:rFonts w:ascii="Times New Roman" w:cs="Times New Roman" w:eastAsia="Times New Roman" w:hAnsi="Times New Roman"/>
          <w:sz w:val="18"/>
          <w:szCs w:val="18"/>
          <w:color w:val="auto"/>
        </w:rPr>
        <w:t>The FDA may withdraw a product approval if compliance with regulatory standards is not maintained or if problems occur after the product reaches the market. Discovery of previously unknown problems with a product subsequent to its approval may result in restrictions on the product or even complete withdrawal of the product from the market. Further,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failure to maintain compliance with regulatory requirements may result in administrative or judicial actions, such as fines, warning letters, holds on clinical trials, product recalls or seizures, product detention or refusal to permit the import or export of products, refusal to approve pending applications or supplements, restrictions on marketing or manufacturing, injunctions or civil or criminal penalties.</w:t>
      </w:r>
    </w:p>
    <w:p>
      <w:pPr>
        <w:spacing w:after="0" w:line="153"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From time to time, legislation is drafted, introduced and passed in Congress that could significantly change the statutory provisions governing the approval, manufacturing and marketing of products regulated by the FDA. In addition to new legislation, the FDA regulations and policies are often revised or reinterpreted by the agency in ways that may significantly affect our business and our development efforts. It is impossible to predict whether further legislative or FDA regulation or policy changes will be enacted or implemented and what the impact of such changes, if any, may be.</w:t>
      </w:r>
    </w:p>
    <w:p>
      <w:pPr>
        <w:spacing w:after="0" w:line="1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Foreign Regulation</w:t>
      </w:r>
    </w:p>
    <w:p>
      <w:pPr>
        <w:spacing w:after="0" w:line="187" w:lineRule="exact"/>
        <w:rPr>
          <w:sz w:val="20"/>
          <w:szCs w:val="20"/>
          <w:color w:val="auto"/>
        </w:rPr>
      </w:pPr>
    </w:p>
    <w:p>
      <w:pPr>
        <w:ind w:left="60" w:right="319"/>
        <w:spacing w:after="0" w:line="258" w:lineRule="auto"/>
        <w:rPr>
          <w:sz w:val="20"/>
          <w:szCs w:val="20"/>
          <w:color w:val="auto"/>
        </w:rPr>
      </w:pPr>
      <w:r>
        <w:rPr>
          <w:rFonts w:ascii="Times New Roman" w:cs="Times New Roman" w:eastAsia="Times New Roman" w:hAnsi="Times New Roman"/>
          <w:sz w:val="18"/>
          <w:szCs w:val="18"/>
          <w:color w:val="auto"/>
        </w:rPr>
        <w:t>We are subject to regulations and product registration requirements in many foreign countries in which we may sell our products, including in the areas of product standards, packaging requirements, labeling requirements, import and export restrictions and tariff regulations, duties and tax requirements. The time required to obtain clearance required by foreign countries may be longer or shorter than that required for FDA clearance, and requirements for licensing a product in a foreign country may differ significantly from FDA requirements.</w:t>
      </w:r>
    </w:p>
    <w:p>
      <w:pPr>
        <w:spacing w:after="0" w:line="156"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Pharmaceutical products may not be imported into, or manufactured or marketed in, the State of Israel absent drug registration. The three basic criteria for the registration of pharmaceuticals in Israel is quality, safety and efficacy of the pharmaceutical product and the Israeli Ministry of Health requires pharmaceutical companies to conform to international developments and standards. Regulatory requirements are constantly changing in accordance with scientific advances as well as social and ethical values.</w:t>
      </w:r>
    </w:p>
    <w:p>
      <w:pPr>
        <w:spacing w:after="0" w:line="143"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The relevant legislation of the European Union requires that medicinal products, including generic versions of previously approved products, and new strengths, dosage forms and formulations, of previously approved products, shall have a marketing authorization before they are placed on the market in the European Union. Authorizations are granted after the assessment of quality, safety and efficacy by the respective health authorities. In order to obtain an authorization, an application must be made to the competent authority of the member state concerned or in a centralized procedure to the EMA. Besides various formal requirements, the application must contain the results of pharmaceutical (physico-chemical, biological or microbiological) tests, of preclinical (toxicological and pharmacological) tests as well as of clinical trials. All of these tests must have been conducted in accordance with relevant EU regulations and must allow the reviewer to evaluate the quality, safety and efficacy of the medicinal product. Orphan drug designation in the European Union is granted to medicinal products intended for the diagnosis, prevention and treatment of life-threatening diseases and very serious conditions that affect not more than five in 10,000 people in the European Union. Orphan drug designation is generally given to medicinal products that treat conditions for which no current therapy exists or are expected to bring a significant benefit to patients over existing therapies.</w:t>
      </w:r>
    </w:p>
    <w:p>
      <w:pPr>
        <w:spacing w:after="0" w:line="14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Third Party Payor Coverage and Reimbursement</w:t>
      </w:r>
    </w:p>
    <w:p>
      <w:pPr>
        <w:spacing w:after="0" w:line="200"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Coverage and reimbursement status of any approved therapy carries uncertainty and risk. In both the United States and foreign markets, our ability to commercialize our product and product candidates successfully, and to attract commercialization partners, depends in significant part on the availability of adequate financial coverage and reimbursement from third party payors, including, in the United States, governmental payors such as Medicare, Medicaid and the Veterans Affairs Health programs, and private health insurers. Medicare is a federally funded program managed by the Centers for Medicare and Medicaid Services, or CMS, through local fiscal intermediaries and carriers that administer coverage and reimbursement for certain healthcare items and services furnished to the elderly and disabled. Medicaid is an insurance program for certain categories of patients whose income and assets fall below state defined levels and who are otherwise uninsured that is both federally and state funded and managed by each state. The federal government sets general guidelines for Medicaid and each state creates specific regulations that govern its individual program. Each payor has its own process and standards for determining whether it will cover and reimburse a procedure or particular product. Private payors often rely on the lead of the governmental payors in rendering coverage and reimbursement determinations. Therefore, achieving favorable CMS coverage and reimbursement is usually a significant gating issue for successful introduction of a new product. The competitive position of some of our products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19"/>
        <w:spacing w:after="0" w:line="266" w:lineRule="auto"/>
        <w:rPr>
          <w:sz w:val="20"/>
          <w:szCs w:val="20"/>
          <w:color w:val="auto"/>
        </w:rPr>
      </w:pPr>
      <w:r>
        <w:rPr>
          <w:rFonts w:ascii="Times New Roman" w:cs="Times New Roman" w:eastAsia="Times New Roman" w:hAnsi="Times New Roman"/>
          <w:sz w:val="18"/>
          <w:szCs w:val="18"/>
          <w:color w:val="auto"/>
        </w:rPr>
        <w:t>will depend, in part, upon the extent of coverage and adequate reimbursement for such products and for the procedures in which such products are used. Prices at which we or our customers seek reimbursement for our product candidates can be subject to challenge, reduction or denial by the government and other payors.</w:t>
      </w:r>
    </w:p>
    <w:p>
      <w:pPr>
        <w:spacing w:after="0" w:line="149"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Possible legislation at the federal and state levels in the United States focused on cost containment and price transparency may impact our ability to sell our product and product candidates for maximum profitably. It appears likely that the pressure on pharmaceutical pricing will continue, especially under the Medicare program, which may also increase our regulatory burdens and operating costs. Moreover, additional changes could be made to governmental healthcare programs that could significantly impact the success of our product and product candidates.</w:t>
      </w:r>
    </w:p>
    <w:p>
      <w:pPr>
        <w:spacing w:after="0" w:line="143"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Some third party payors also require pre-approval of coverage for new or innovative devices, biologics or drug therapies before they will reimburse healthcare providers that use such therapies. While we cannot predict whether any proposed cost-containment measures will be adopted or otherwise implemented in the future, the announcement or adoption of these proposals could have a material adverse effect on our ability to obtain adequate prices for our product candidates and operate profitably.</w:t>
      </w:r>
    </w:p>
    <w:p>
      <w:pPr>
        <w:spacing w:after="0" w:line="143"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Different pricing and reimbursement schemes exist in other countries. In the European Union,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 care costs in general, particularly prescription drugs and biologics,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6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Other Healthcare Laws and Compliance Requirements</w:t>
      </w:r>
    </w:p>
    <w:p>
      <w:pPr>
        <w:spacing w:after="0" w:line="187" w:lineRule="exact"/>
        <w:rPr>
          <w:sz w:val="20"/>
          <w:szCs w:val="20"/>
          <w:color w:val="auto"/>
        </w:rPr>
      </w:pPr>
    </w:p>
    <w:p>
      <w:pPr>
        <w:ind w:left="60" w:right="159"/>
        <w:spacing w:after="0" w:line="257" w:lineRule="auto"/>
        <w:rPr>
          <w:sz w:val="20"/>
          <w:szCs w:val="20"/>
          <w:color w:val="auto"/>
        </w:rPr>
      </w:pPr>
      <w:r>
        <w:rPr>
          <w:rFonts w:ascii="Times New Roman" w:cs="Times New Roman" w:eastAsia="Times New Roman" w:hAnsi="Times New Roman"/>
          <w:sz w:val="18"/>
          <w:szCs w:val="18"/>
          <w:color w:val="auto"/>
        </w:rPr>
        <w:t>In the United States, our activities are potentially subject to regulation by various federal, state and local authorities in addition to the FDA, including the Centers for Medicare and Medicaid Services, other divisions of the U.S. Department of Health and Human Services (e.g., the Office of Inspector General), the U.S. Department of Justice and individual</w:t>
      </w:r>
    </w:p>
    <w:p>
      <w:pPr>
        <w:spacing w:after="0" w:line="1" w:lineRule="exact"/>
        <w:rPr>
          <w:sz w:val="20"/>
          <w:szCs w:val="20"/>
          <w:color w:val="auto"/>
        </w:rPr>
      </w:pPr>
    </w:p>
    <w:p>
      <w:pPr>
        <w:ind w:left="60" w:right="679"/>
        <w:spacing w:after="0" w:line="260" w:lineRule="auto"/>
        <w:rPr>
          <w:sz w:val="20"/>
          <w:szCs w:val="20"/>
          <w:color w:val="auto"/>
        </w:rPr>
      </w:pPr>
      <w:r>
        <w:rPr>
          <w:rFonts w:ascii="Times New Roman" w:cs="Times New Roman" w:eastAsia="Times New Roman" w:hAnsi="Times New Roman"/>
          <w:sz w:val="18"/>
          <w:szCs w:val="18"/>
          <w:color w:val="auto"/>
        </w:rPr>
        <w:t>U.S. Attorney General offices within the Department of Justice, and state and local governments. These regulations include:</w:t>
      </w:r>
    </w:p>
    <w:p>
      <w:pPr>
        <w:spacing w:after="0" w:line="141" w:lineRule="exact"/>
        <w:rPr>
          <w:sz w:val="20"/>
          <w:szCs w:val="20"/>
          <w:color w:val="auto"/>
        </w:rPr>
      </w:pPr>
    </w:p>
    <w:p>
      <w:pPr>
        <w:ind w:left="1040" w:right="199" w:hanging="315"/>
        <w:spacing w:after="0" w:line="261"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healthcare program anti-kickback law, which prohibits, among other things, persons from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w:t>
      </w:r>
    </w:p>
    <w:p>
      <w:pPr>
        <w:spacing w:after="0" w:line="152" w:lineRule="exact"/>
        <w:rPr>
          <w:rFonts w:ascii="Times New Roman" w:cs="Times New Roman" w:eastAsia="Times New Roman" w:hAnsi="Times New Roman"/>
          <w:sz w:val="18"/>
          <w:szCs w:val="18"/>
          <w:color w:val="auto"/>
        </w:rPr>
      </w:pPr>
    </w:p>
    <w:p>
      <w:pPr>
        <w:ind w:left="1040" w:right="319" w:hanging="315"/>
        <w:spacing w:after="0" w:line="266"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false claims laws which prohibit, among other things, individuals or entities from knowingly presenting, or causing to be presented, claims for payment from Medicare, Medicaid, or other government reimbursement programs that are false or fraudulent;</w:t>
      </w:r>
    </w:p>
    <w:p>
      <w:pPr>
        <w:spacing w:after="0" w:line="135" w:lineRule="exact"/>
        <w:rPr>
          <w:rFonts w:ascii="Times New Roman" w:cs="Times New Roman" w:eastAsia="Times New Roman" w:hAnsi="Times New Roman"/>
          <w:sz w:val="18"/>
          <w:szCs w:val="18"/>
          <w:color w:val="auto"/>
        </w:rPr>
      </w:pPr>
    </w:p>
    <w:p>
      <w:pPr>
        <w:jc w:val="both"/>
        <w:ind w:left="1040" w:right="739" w:hanging="315"/>
        <w:spacing w:after="0" w:line="261"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prohibits executing a scheme to defraud any healthcare benefit program or making false statements relating to healthcare matters and which also imposes certain requirements relating to the privacy, security and transmission of individually identifiable health information;</w:t>
      </w:r>
    </w:p>
    <w:p>
      <w:pPr>
        <w:spacing w:after="0" w:line="139" w:lineRule="exact"/>
        <w:rPr>
          <w:rFonts w:ascii="Times New Roman" w:cs="Times New Roman" w:eastAsia="Times New Roman" w:hAnsi="Times New Roman"/>
          <w:sz w:val="18"/>
          <w:szCs w:val="18"/>
          <w:color w:val="auto"/>
        </w:rPr>
      </w:pPr>
    </w:p>
    <w:p>
      <w:pPr>
        <w:ind w:left="1040" w:right="279" w:hanging="315"/>
        <w:spacing w:after="0" w:line="261"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Health Care Reform Law requires manufacturers of drugs, devices, biologics, and medical supplies to report to the Department of Health and Human Services information related to physician payments and other transfers of value and physician ownership and investment interests;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39" w:hanging="315"/>
        <w:spacing w:after="0" w:line="266"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FDCA, which among other things, strictly regulates drug and biologic product marketing, prohibits manufacturers from marketing drug products for off-label use and regulates the distribution of drug samples; and</w:t>
      </w:r>
    </w:p>
    <w:p>
      <w:pPr>
        <w:spacing w:after="0" w:line="148" w:lineRule="exact"/>
        <w:rPr>
          <w:rFonts w:ascii="Times New Roman" w:cs="Times New Roman" w:eastAsia="Times New Roman" w:hAnsi="Times New Roman"/>
          <w:sz w:val="18"/>
          <w:szCs w:val="18"/>
          <w:color w:val="auto"/>
        </w:rPr>
      </w:pPr>
    </w:p>
    <w:p>
      <w:pPr>
        <w:ind w:left="1040" w:right="119" w:hanging="315"/>
        <w:spacing w:after="0" w:line="258"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which may apply to items or services reimbursed by any third-party payor, including commercial insurers, and state laws governing the privacy and security of health information in certain circumstances, many of which differ from each other in significant ways and often are not preempted by federal laws, thus complicating compliance efforts.</w:t>
      </w:r>
    </w:p>
    <w:p>
      <w:pPr>
        <w:spacing w:after="0" w:line="1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Compliance with Environmental, Health and Safety Laws</w:t>
      </w:r>
    </w:p>
    <w:p>
      <w:pPr>
        <w:spacing w:after="0" w:line="187"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In addition to FDA regulations, we are also subject to evolving federal, state and local environmental, health and safety laws and regulations. In the past, compliance with environmental, health and safety laws and regulations has not had a material effect on our capital expenditures. Compliance with environmental, health and safety laws and regulations in the future may require additional capital expenditures.</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Israeli Government Programs</w:t>
      </w:r>
    </w:p>
    <w:p>
      <w:pPr>
        <w:spacing w:after="0" w:line="189"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The following is a brief summary of the current principal Israeli tax laws applicable to us and Protalix Ltd., and of the Israeli Government programs from which Protalix Ltd. benefits. Some parts of this discussion are based on new tax legislation that has not been subject to judicial or administrative interpretation. Therefore, the views expressed in the discussion may not be accepted by the tax authorities in question. This summary is based on laws and regulations in effect as of the date hereof, and should not be construed as legal or professional tax advice and does not cover all possible tax considerations.</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Corporate Tax Structure in Israel</w:t>
      </w:r>
    </w:p>
    <w:p>
      <w:pPr>
        <w:spacing w:after="0" w:line="202"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income of Protalix Ltd., other than income from “Approved Enterprises,” is taxed in Israel at regular rates. Pursuant to the Economic Efficiency Law (Legislative Amendments for Implementing the Economic Policy for the 2017 and 2018 Budget Year), 2016, the corporate tax rate in 2018 and thereafter is 23%. Capital gains on the sale of assets are subject to capital gains tax according to the corporate tax rate in effect in the year which the assets are sold.</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Law for the Encouragement of Capital Investments, 1959</w:t>
      </w:r>
    </w:p>
    <w:p>
      <w:pPr>
        <w:spacing w:after="0" w:line="18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The Law for the Encouragement of Capital Investments, 1959, as amended, or the Investment Law, provides certain incentives for capital investments in a production facility (or other eligible assets). Generally, an investment program that is implemented in accordance with the provisions of the Investment Law, referred to as an “Approved Enterprise,” is entitled to benefits. These benefits may include cash grants from the Israeli government and tax benefits, based upon, among other things, the location within Israel of the facility in which the investment is made and specific elections made by the grantee. In order to qualify for these incentives, an Approved Enterprise is required to comply with the requirements of the Investment Law, and Letter of approval received by Protalix Ltd.</w:t>
      </w:r>
    </w:p>
    <w:p>
      <w:pPr>
        <w:spacing w:after="0" w:line="162"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Protalix Ltd. will continue to enjoy the tax benefits under the pre-revision provisions of the Investment Law. If any new benefits are granted to Protalix Ltd. in the future, Protalix Ltd. will be subject to the provisions of the amended Investment Law with respect to these new benefits. Therefore, the following discussion is a summary of the Investment Law prior to its amendment as well as the relevant changes contained in the new legislation.</w:t>
      </w:r>
    </w:p>
    <w:p>
      <w:pPr>
        <w:spacing w:after="0" w:line="139"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Under the Investment Law prior to its amendment, a company that wished to receive benefits had to receive approval from the Authority for the Investment and Development of the Industry and Economy, or the Investment Center. Each certificate of approval for an Approved Enterprise relates to a specific investment program in the Approved Enterprise, delineated both by the financial scope of the investment and by the physical characteristics of the facility or the asset, e.g., the equipment to be purchased and utilized pursuant to the program.</w:t>
      </w:r>
    </w:p>
    <w:p>
      <w:pPr>
        <w:spacing w:after="0" w:line="143" w:lineRule="exact"/>
        <w:rPr>
          <w:sz w:val="20"/>
          <w:szCs w:val="20"/>
          <w:color w:val="auto"/>
        </w:rPr>
      </w:pPr>
    </w:p>
    <w:p>
      <w:pPr>
        <w:ind w:left="60" w:right="299"/>
        <w:spacing w:after="0" w:line="312" w:lineRule="auto"/>
        <w:rPr>
          <w:sz w:val="20"/>
          <w:szCs w:val="20"/>
          <w:color w:val="auto"/>
        </w:rPr>
      </w:pPr>
      <w:r>
        <w:rPr>
          <w:rFonts w:ascii="Times New Roman" w:cs="Times New Roman" w:eastAsia="Times New Roman" w:hAnsi="Times New Roman"/>
          <w:sz w:val="17"/>
          <w:szCs w:val="17"/>
          <w:color w:val="auto"/>
        </w:rPr>
        <w:t>An Approved Enterprise may elect to forego any entitlement to the grants otherwise available under the Investment Law and, instead, participate in an alternative benefits program under which the undistributed income (after deductions and</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offsets) from the Approved Enterprise is exempt from corporate tax for a defined period of time. Under the alternative package of benefits, a company’s undistributed income derived from an Approved Enterprise will be exempt from corporate tax for a period of between two and 10 years from the first year of taxable income, depending upon the geographic location within Israel of the Approved Enterprise. Upon expiration of the exemption period, the Approved Enterprise is eligible for the reduced tax rates otherwise applicable under the Investment Law for any remainder of the otherwise applicable benefits period (up to an aggregate benefits period of either seven or 10 years, depending on the location of the company or its definition as a foreign investors’ company). If a company has more than one Approved Enterprise program or if only a portion of its capital investments are approved, its effective tax rate is the result of a weighted combination of the applicable rates. The tax benefits from any certificate of approval relate only to taxable profits attributable to the specific Approved Enterprise and are contingent upon meeting the criteria set out in the certificate of approval. Income derived from activity that is not integral to the activity of the Approved Enterprises (including capital gain) does not enjoy these tax benefits.</w:t>
      </w:r>
    </w:p>
    <w:p>
      <w:pPr>
        <w:spacing w:after="0" w:line="163"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A company that has an Approved Enterprise program is eligible for further tax benefits, as an alternative to exemption, if it qualifies as a foreign investors’ company. A foreign investors’ company eligible for benefits is essentially a company in which more than 25% of the share capital (in terms of shares, rights to profit, voting and appointment of directors) is owned (measured by both share capital and combined share and loan capital) by non-Israeli residents. A company that qualifies as a foreign investors’ company and has an Approved Enterprise program is eligible for tax benefits for a 10-year benefit period and may enjoy a reduced corporate tax rate of 10% to 23%, depending on the amount of the company’s shares held by non-Israeli shareholders.</w:t>
      </w:r>
    </w:p>
    <w:p>
      <w:pPr>
        <w:spacing w:after="0" w:line="148"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If a company that has an Approved Enterprise program is a wholly-owned subsidiary of another company, the percentage of foreign investments is determined based on the percentage of foreign investment in the parent company. The tax rates and related levels of foreign investments with respect to a foreign investor’s company that has an Approved Enterprise program are set forth in the following table:</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Percent of Foreign Ownership</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Rate of Reduced Tax</w:t>
            </w:r>
          </w:p>
        </w:tc>
      </w:tr>
      <w:tr>
        <w:trPr>
          <w:trHeight w:val="210"/>
        </w:trPr>
        <w:tc>
          <w:tcPr>
            <w:tcW w:w="7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Over 25% but less than 49%</w:t>
            </w:r>
          </w:p>
        </w:tc>
        <w:tc>
          <w:tcPr>
            <w:tcW w:w="2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23%</w:t>
            </w:r>
          </w:p>
        </w:tc>
      </w:tr>
      <w:tr>
        <w:trPr>
          <w:trHeight w:val="216"/>
        </w:trPr>
        <w:tc>
          <w:tcPr>
            <w:tcW w:w="7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49% or more but less than 74%</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r>
      <w:tr>
        <w:trPr>
          <w:trHeight w:val="216"/>
        </w:trPr>
        <w:tc>
          <w:tcPr>
            <w:tcW w:w="7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74% or more but less than 90%</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r>
      <w:tr>
        <w:trPr>
          <w:trHeight w:val="234"/>
        </w:trPr>
        <w:tc>
          <w:tcPr>
            <w:tcW w:w="7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90% or more</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bl>
    <w:p>
      <w:pPr>
        <w:spacing w:after="0" w:line="179" w:lineRule="exact"/>
        <w:rPr>
          <w:sz w:val="20"/>
          <w:szCs w:val="20"/>
          <w:color w:val="auto"/>
        </w:rPr>
      </w:pPr>
    </w:p>
    <w:p>
      <w:pPr>
        <w:ind w:left="60" w:right="239"/>
        <w:spacing w:after="0" w:line="257" w:lineRule="auto"/>
        <w:rPr>
          <w:sz w:val="20"/>
          <w:szCs w:val="20"/>
          <w:color w:val="auto"/>
        </w:rPr>
      </w:pPr>
      <w:r>
        <w:rPr>
          <w:rFonts w:ascii="Times New Roman" w:cs="Times New Roman" w:eastAsia="Times New Roman" w:hAnsi="Times New Roman"/>
          <w:sz w:val="18"/>
          <w:szCs w:val="18"/>
          <w:color w:val="auto"/>
        </w:rPr>
        <w:t>Our original facility in Israel has been granted “Approved Enterprise” status, and it has elected to participate in the alternative benefits program. Under the terms of its Approved Enterprise program, the facility is located in a Zone A area and, therefore, the undistributed income from that Approved Enterprise will be tax exempt in Israel for a period of</w:t>
      </w:r>
    </w:p>
    <w:p>
      <w:pPr>
        <w:spacing w:after="0" w:line="1" w:lineRule="exact"/>
        <w:rPr>
          <w:sz w:val="20"/>
          <w:szCs w:val="20"/>
          <w:color w:val="auto"/>
        </w:rPr>
      </w:pPr>
    </w:p>
    <w:p>
      <w:pPr>
        <w:ind w:left="60" w:right="99"/>
        <w:spacing w:after="0" w:line="290" w:lineRule="auto"/>
        <w:rPr>
          <w:sz w:val="20"/>
          <w:szCs w:val="20"/>
          <w:color w:val="auto"/>
        </w:rPr>
      </w:pPr>
      <w:r>
        <w:rPr>
          <w:rFonts w:ascii="Times New Roman" w:cs="Times New Roman" w:eastAsia="Times New Roman" w:hAnsi="Times New Roman"/>
          <w:sz w:val="17"/>
          <w:szCs w:val="17"/>
          <w:color w:val="auto"/>
        </w:rPr>
        <w:t>10 years, commencing with the year in which taxable income is first generated from the relevant Approved Enterprise. The current benefits program may not continue to be available and Protalix Ltd. may not continue to qualify for its benefits.</w:t>
      </w:r>
    </w:p>
    <w:p>
      <w:pPr>
        <w:spacing w:after="0" w:line="130"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 company that has elected to participate in the alternative benefits program and that subsequently pays a dividend out of the income derived from the portion of its facilities that have been granted Approved Enterprise status during the tax exemption period will be subject to corporate tax in respect of the amount of dividend distributed at the rate that would have been applicable had the company not elected the alternative benefits program (generally 10% to 23%, depending on the extent to which non-Israeli shareholders hold such company’s shares). If the dividend is distributed within 12 years after the end of the benefits period (or, in the case of a foreign investor’s company, without time limitation), the dividend recipient is taxed at the reduced withholding tax rate of 20% applicable to dividends from approved enterprises, or at the lower rate under an applicable tax treaty. After this period, the withholding tax rate is 25% to 30%, or at the lower rate under an applicable tax treaty. In the case of a company with a foreign investment level (as defined by the Investment Law) of 25% or more, the 12-year limitation on reduced withholding tax on dividends does not apply. The company must withhold this tax at its source, regardless of whether the dividend is converted into foreign currency.</w:t>
      </w:r>
    </w:p>
    <w:p>
      <w:pPr>
        <w:spacing w:after="0" w:line="151"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The Investment Law also provides that an Approved Enterprise is entitled to accelerated depreciation on its property and equipment that are included in an approved investment program. This benefit is an incentive granted by the Israeli government regardless of whether the alternative benefits program is elected.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58" w:lineRule="auto"/>
        <w:rPr>
          <w:sz w:val="20"/>
          <w:szCs w:val="20"/>
          <w:color w:val="auto"/>
        </w:rPr>
      </w:pPr>
      <w:r>
        <w:rPr>
          <w:rFonts w:ascii="Times New Roman" w:cs="Times New Roman" w:eastAsia="Times New Roman" w:hAnsi="Times New Roman"/>
          <w:sz w:val="18"/>
          <w:szCs w:val="18"/>
          <w:color w:val="auto"/>
        </w:rPr>
        <w:t>The benefits available to an Approved Enterprise are conditioned upon terms stipulated in the Investment Law and its regulations and the criteria set forth in the applicable certificate of approval. If Protalix Ltd. does not fulfill these conditions in whole or in part, the benefits can be canceled and Protalix Ltd. may be required to refund the benefits received, linked to the Israeli consumer price index with interest. We believe that Protalix Ltd. currently operates in compliance with all applicable conditions and criteria.</w:t>
      </w:r>
    </w:p>
    <w:p>
      <w:pPr>
        <w:spacing w:after="0" w:line="156"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Amendment No. 60 to the Investment Law introduced a tax benefits regime referred to as “Benefitted Enterprises.” Under the Investment Law, the approval of the Investment Center is required only for Benefitted Enterprises that receive cash grants. Benefitted Enterprises that do not receive benefits in the form of governmental cash grants, but only tax benefits, are no longer required to obtain this approval. Instead, these Benefitted Enterprises are required to make certain investments as specified in the Investment Law.</w:t>
      </w:r>
    </w:p>
    <w:p>
      <w:pPr>
        <w:spacing w:after="0" w:line="143"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The amended Investment Law specifies certain conditions for a Benefitted Enterprise to be entitled to benefits. These conditions include, inter alia, the following:</w:t>
      </w:r>
    </w:p>
    <w:p>
      <w:pPr>
        <w:spacing w:after="0" w:line="121" w:lineRule="exact"/>
        <w:rPr>
          <w:sz w:val="20"/>
          <w:szCs w:val="20"/>
          <w:color w:val="auto"/>
        </w:rPr>
      </w:pPr>
    </w:p>
    <w:p>
      <w:pPr>
        <w:ind w:left="1040" w:right="199" w:hanging="315"/>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Benefitted Enterprise’s revenues from any single country or a separate customs territory may not exceed 75% of the Benefitted Enterprise’s total revenues; or</w:t>
      </w:r>
    </w:p>
    <w:p>
      <w:pPr>
        <w:spacing w:after="0" w:line="134" w:lineRule="exact"/>
        <w:rPr>
          <w:rFonts w:ascii="Times New Roman" w:cs="Times New Roman" w:eastAsia="Times New Roman" w:hAnsi="Times New Roman"/>
          <w:sz w:val="18"/>
          <w:szCs w:val="18"/>
          <w:color w:val="auto"/>
        </w:rPr>
      </w:pPr>
    </w:p>
    <w:p>
      <w:pPr>
        <w:ind w:left="1040" w:right="259" w:hanging="315"/>
        <w:spacing w:after="0" w:line="266"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25% of the Benefitted Enterprise’s revenues during the benefits period must be derived from sales into a single country or a separate customs territory with a population of at least 14 million people (starting from January 1, 2012, 1.4% must be added for each year).</w:t>
      </w:r>
    </w:p>
    <w:p>
      <w:pPr>
        <w:spacing w:after="0" w:line="13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There can be no assurance that Protalix Ltd. will comply with the above conditions in the future or that Protalix Ltd. will be entitled to any additional benefits under the Investment Law. In addition, it is possible that Protalix Ltd. may not be able to operate in a manner that maximizes utilization of the potential benefits available under the Investment Law.</w:t>
      </w:r>
    </w:p>
    <w:p>
      <w:pPr>
        <w:spacing w:after="0" w:line="135"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In the future there may be changes in the law, subject to the preservation of benefits, which may affect the benefits available to companies under the Investment Law. The termination or substantial reduction of any of the benefits available under the Investment Law could impact our tax expenses.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Amendment of the Law for the Encouragement of Capital Investments, 1959</w:t>
      </w:r>
    </w:p>
    <w:p>
      <w:pPr>
        <w:spacing w:after="0" w:line="18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In recent years, several amendments have been made to the Investments Law which have enabled new alternative benefit tracks, subject to certain conditions. The Investments Law was amended as part of the Economic Policy Law for the years 2011-2012 (amendment 68 to the Encouragement of Capital Investments Law), which was passed by the Israeli Knesset on December 29, 2010. The amendment sets alternative benefit tracks to those currently in effect under the provisions of the Investments Law. On December 29, 2016, Amendment 73 to the Investments Law, or the Investments Law Amendment, was published. This amendment sets new benefit tracks, inter alia, “Preferred Technological Enterprise” and “Special Preferred Technological Enterprise.” To date, we have elected not to have the Investments Law Amendment apply to our company.</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Encouragement of Industrial Research, Development and Technology Innovation Law, 1984</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date, Protalix Ltd. has received grants from the Office of the Chief Scientist of the Israeli Department of Labor, or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OCS under the Israeli Law for the Encouragement of Industrial Research, Development and Technology Innovation, 1984,</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related regulations, or the Research Law. On January 1, 2016, the Israeli government established the National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Authority for Technological Innovation, or NATI, which replaced many of the functions of the OCS. For purposes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clarity, references to NATI will include the OCS. NATI grants are made available to finance of a portion of Protalix Ltd.’s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research and development expenditures in Israel. As of December 31, 2022, NATI approved grants in respect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Protalix Ltd.’s continuing operations totaling approximately $53.2 million (before interest, as described below), measured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from inception. Protalix Ltd. is required to repay up to 100% of grants actually received (plus interest at the LIBOR rate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applied to the grants received on or after January 1, 1999) to NATI through payments of royalties at a rate of 3% to 6%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revenues generated from NATI-funded project, depending on the period in which revenues were generated. As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2022, Protalix Ltd. either paid or accrued royalties payable of $15.8 million, and Protalix Ltd.’s contingent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liability to NATI with respect to grants received was approximately $37.4 million.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Under the Research Law, recipients of grants from NATI are prohibited from manufacturing products developed using these grants outside of the State of Israel without special approvals, although the Research Law does enable companies to seek prior approval for conducting manufacturing activities outside of Israel without being subject to increased royalties. If Protalix Ltd. receives approval to manufacture the products developed with government grants outside of Israel, it will be required to pay an increased total amount of royalties (possibly up to 300% of the grant amounts plus interest), depending on the manufacturing volume that is performed outside of Israel, as well as at a possibly increased royalty rate.</w:t>
      </w:r>
    </w:p>
    <w:p>
      <w:pPr>
        <w:spacing w:after="0" w:line="160"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Additionally, under the Research Law, Protalix Ltd. is prohibited from transferring NATI-financed technologies and related intellectual property rights outside of the State of Israel, except under limited circumstances and only with the approval of NATI Council or the Research Committee. Protalix Ltd. may not receive the required approvals for any proposed transfer and, if received, Protalix Ltd. may be required to pay NATI a portion of the consideration that it receives upon any sale of such technology by a non-Israeli entity. The scope of the support received, the royalties that Protalix Ltd. has already paid to NATI, the amount of time that has elapsed between the date on which the know-how was transferred and the date on which NATI grants were received and the sale price and the form of transaction will be taken into account in order to calculate the amount of the payment to NATI. Approval of the transfer of technology to residents of the State of Israel is required, and may be granted in specific circumstances only if the recipient abides by the provisions of applicable laws, including the restrictions on the transfer of know-how and the obligation to pay royalties. No assurance can be made that approval to any such transfer, if requested, will be granted.</w:t>
      </w:r>
    </w:p>
    <w:p>
      <w:pPr>
        <w:spacing w:after="0" w:line="151" w:lineRule="exact"/>
        <w:rPr>
          <w:sz w:val="20"/>
          <w:szCs w:val="20"/>
          <w:color w:val="auto"/>
        </w:rPr>
      </w:pPr>
    </w:p>
    <w:p>
      <w:pPr>
        <w:jc w:val="both"/>
        <w:ind w:left="60" w:right="479"/>
        <w:spacing w:after="0" w:line="266" w:lineRule="auto"/>
        <w:rPr>
          <w:sz w:val="20"/>
          <w:szCs w:val="20"/>
          <w:color w:val="auto"/>
        </w:rPr>
      </w:pPr>
      <w:r>
        <w:rPr>
          <w:rFonts w:ascii="Times New Roman" w:cs="Times New Roman" w:eastAsia="Times New Roman" w:hAnsi="Times New Roman"/>
          <w:sz w:val="18"/>
          <w:szCs w:val="18"/>
          <w:color w:val="auto"/>
        </w:rPr>
        <w:t>Under the Research Law and the regulations promulgated thereunder, NATI Council may allow the transfer outside of Israel of know-how derived from an approved program and the related manufacturing rights in limited circumstances which are currently as follows:</w:t>
      </w:r>
    </w:p>
    <w:p>
      <w:pPr>
        <w:spacing w:after="0" w:line="135" w:lineRule="exact"/>
        <w:rPr>
          <w:sz w:val="20"/>
          <w:szCs w:val="20"/>
          <w:color w:val="auto"/>
        </w:rPr>
      </w:pPr>
    </w:p>
    <w:p>
      <w:pPr>
        <w:ind w:left="1040" w:right="139" w:hanging="315"/>
        <w:spacing w:after="0" w:line="256"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sale of know-how itself to a non-affiliated third party, provided that upon such sale the owner of the know-how pays to NATI an amount, in cash, as set forth in the Research Law (and the regulations promulgated thereunder). In addition, the amendment provides that if the purchaser of the know-how gives the selling Israeli company the right to exploit the know-how by way of an exclusive, irrevocable and unlimited license, the research committee may approve such transfer in special cases without requiring a cash payment.</w:t>
      </w:r>
    </w:p>
    <w:p>
      <w:pPr>
        <w:spacing w:after="0" w:line="160" w:lineRule="exact"/>
        <w:rPr>
          <w:rFonts w:ascii="Times New Roman" w:cs="Times New Roman" w:eastAsia="Times New Roman" w:hAnsi="Times New Roman"/>
          <w:sz w:val="18"/>
          <w:szCs w:val="18"/>
          <w:color w:val="auto"/>
        </w:rPr>
      </w:pPr>
    </w:p>
    <w:p>
      <w:pPr>
        <w:jc w:val="both"/>
        <w:ind w:left="1040" w:right="139" w:hanging="315"/>
        <w:spacing w:after="0" w:line="266"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sale of a company which is the owner of know-how, pursuant to which the company ceases to be an Israeli company, provided that upon such sale, the owner of the know-how makes a cash payment to NATI as set forth in the Research Law (and the regulations promulgated thereunder).</w:t>
      </w:r>
    </w:p>
    <w:p>
      <w:pPr>
        <w:spacing w:after="0" w:line="135" w:lineRule="exact"/>
        <w:rPr>
          <w:rFonts w:ascii="Times New Roman" w:cs="Times New Roman" w:eastAsia="Times New Roman" w:hAnsi="Times New Roman"/>
          <w:sz w:val="18"/>
          <w:szCs w:val="18"/>
          <w:color w:val="auto"/>
        </w:rPr>
      </w:pPr>
    </w:p>
    <w:p>
      <w:pPr>
        <w:ind w:left="1040" w:right="379" w:hanging="315"/>
        <w:spacing w:after="0" w:line="261"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exchange of know-how such that in exchange for the transfer of know-how outside of Israel, the recipient of the know-how transfers other know-how to the company in Israel in a manner in which NATI is convinced that the Israeli economy realizes a greater, overall benefit from the exchange of know-how.</w:t>
      </w:r>
    </w:p>
    <w:p>
      <w:pPr>
        <w:spacing w:after="0" w:line="13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Research Committee may, in special cases, approve the transfer of manufacture or of manufacturing rights of a product developed within the framework of the approved program or which results therefrom, outside of Israel.</w:t>
      </w:r>
    </w:p>
    <w:p>
      <w:pPr>
        <w:spacing w:after="0" w:line="135"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State of Israel does not own intellectual property rights in technology developed with NATI funding and there is no restriction on the export of products manufactured using technology developed with NATI funding. The technology is, however, subject to transfer of technology and manufacturing rights restrictions as described above. For a description of such restrictions, please see “Risk Factors—Risks Relating to Our Operations in Israel.” NATI approval is not required for the export of any products resulting from the research or development or for the licensing of any technology in the ordinary course of business.</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Law for the Encouragement of Industry (Taxes), 1969</w:t>
      </w:r>
    </w:p>
    <w:p>
      <w:pPr>
        <w:spacing w:after="0" w:line="189"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We believe that Protalix Ltd. currently qualifies as an “Industrial Company” within the meaning of the Law for the Encouragement of Industry (Taxes), 1969, or the Industry Encouragement Law. The Industry Encouragement Law defines “Industrial Company” as a company resident in Israel and incorporated in Israel, that derives 90% or more of its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income in any tax year (other than specified kinds of passive income such as capital gains, interest and dividends) from an “Industrial Enterprise” operating in Israel (including Judea &amp; Samaria territories and the Gaza strip), that it owns. An “Industrial Enterprise” is defined as an enterprise whose major activity in a given tax year is industrial production.</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corporate tax benefits, among others, are available to Industrial Companies:</w:t>
      </w:r>
    </w:p>
    <w:p>
      <w:pPr>
        <w:spacing w:after="0" w:line="185" w:lineRule="exact"/>
        <w:rPr>
          <w:sz w:val="20"/>
          <w:szCs w:val="20"/>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the cost of purchased know-how and patents over an eight-year period for tax purposes;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depreciation rates on equipment and buildings;</w:t>
      </w:r>
    </w:p>
    <w:p>
      <w:pPr>
        <w:spacing w:after="0" w:line="198" w:lineRule="exact"/>
        <w:rPr>
          <w:rFonts w:ascii="Times New Roman" w:cs="Times New Roman" w:eastAsia="Times New Roman" w:hAnsi="Times New Roman"/>
          <w:sz w:val="18"/>
          <w:szCs w:val="18"/>
          <w:color w:val="auto"/>
        </w:rPr>
      </w:pPr>
    </w:p>
    <w:p>
      <w:pPr>
        <w:ind w:left="1040" w:right="419" w:hanging="315"/>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specified conditions, an election to file consolidated tax returns with other related Israeli Industrial Companies; and</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a public offering are deductible in equal amounts over three years.</w:t>
      </w:r>
    </w:p>
    <w:p>
      <w:pPr>
        <w:spacing w:after="0" w:line="185"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Eligibility for the benefits under the Industry Encouragement Law is not subject to receipt of prior approval from any governmental authority. It is possible that Protalix Ltd. may fail to qualify or may not continue to qualify as an “Industrial Company” or that the benefits described above will not be available in the future.</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Tax Benefits for Research and Development</w:t>
      </w:r>
    </w:p>
    <w:p>
      <w:pPr>
        <w:spacing w:after="0" w:line="18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Under specified conditions, Israeli tax laws allow a tax deduction by a company for research and development expenditures, including capital expenditures, for the year in which such expenditures are incurred. These expenditures must relate to scientific research and development projects and must be approved by NATI. Furthermore, the research and development projects must be for the promotion of the company and carried out by or on behalf of the company seeking such tax deduction. However, the amount of such deductible expenditures is reduced by the sum of any funds received through government grants for the finance of such scientific research and development projects. Research and development expenses which were not approved shall be deductible over a period of three years.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02"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As of December 31, 2022, we had 197 employees of whom 193 are full time employees and 17 have a Ph.D. or an M.D. in their respective scientific fields. We believe that our relations with our employees are good. We believe that our success will greatly depend on our ability to identify, attract and retain capable employees. The Israeli Ministry of Labor and Welfare is authorized to make certain industry-wide collective bargaining agreements, or Expansion Orders, that apply to types of industries or employees including ours. These agreements affect matters such as cost of living adjustments to salaries, length of working hours and week, recuperation, travel expenses, and pension rights. Otherwise, our employees are not represented by a labor union or represented under a collective bargaining agreement. See “Risk Factors—We depend upon key employees and consultants in a competitive market for skilled personnel. If we are unable to attract and retain key personnel, it could adversely affect our ability to develop and market our products.”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Company Background</w:t>
      </w:r>
    </w:p>
    <w:p>
      <w:pPr>
        <w:spacing w:after="0" w:line="189" w:lineRule="exact"/>
        <w:rPr>
          <w:sz w:val="20"/>
          <w:szCs w:val="20"/>
          <w:color w:val="auto"/>
        </w:rPr>
      </w:pPr>
    </w:p>
    <w:p>
      <w:pPr>
        <w:ind w:left="60" w:right="599"/>
        <w:spacing w:after="0" w:line="266" w:lineRule="auto"/>
        <w:rPr>
          <w:sz w:val="20"/>
          <w:szCs w:val="20"/>
          <w:color w:val="auto"/>
        </w:rPr>
      </w:pPr>
      <w:r>
        <w:rPr>
          <w:rFonts w:ascii="Times New Roman" w:cs="Times New Roman" w:eastAsia="Times New Roman" w:hAnsi="Times New Roman"/>
          <w:sz w:val="18"/>
          <w:szCs w:val="18"/>
          <w:color w:val="auto"/>
        </w:rPr>
        <w:t>We were originally incorporated in the State of Florida in April 1992, and reincorporated in the State of Delaware in March 2016. Protalix Ltd., our wholly-owned subsidiary and sole operating unit, is an Israeli company and was incorporated in Israel in 1993.</w:t>
      </w:r>
    </w:p>
    <w:p>
      <w:pPr>
        <w:spacing w:after="0" w:line="141" w:lineRule="exact"/>
        <w:rPr>
          <w:sz w:val="20"/>
          <w:szCs w:val="20"/>
          <w:color w:val="auto"/>
        </w:rPr>
      </w:pPr>
    </w:p>
    <w:p>
      <w:pPr>
        <w:ind w:left="60" w:right="539"/>
        <w:spacing w:after="0" w:line="217" w:lineRule="auto"/>
        <w:rPr>
          <w:sz w:val="20"/>
          <w:szCs w:val="20"/>
          <w:color w:val="auto"/>
        </w:rPr>
      </w:pPr>
      <w:r>
        <w:rPr>
          <w:rFonts w:ascii="Times New Roman" w:cs="Times New Roman" w:eastAsia="Times New Roman" w:hAnsi="Times New Roman"/>
          <w:sz w:val="18"/>
          <w:szCs w:val="18"/>
          <w:color w:val="auto"/>
        </w:rPr>
        <w:t>ProCellEx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our registered trademark. Each of the other trademarks, trade names or service marks appearing in this Annual Report on Form 10-K belongs to its respective holder.</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89"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Our main corporate website address is http://www.protalix.com. We make available on our website, free of charge, our Commission filings, including our Annual Reports on Form 10-K, Quarterly Reports on Form 10-Q, Current Reports on Form 8-K and any amendments to these reports, as soon as reasonably practicable after we electronically file these documents with, or furnish them to, the Commission. The Commission maintains an Internet site that contains reports,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proxy and information statements and other information regarding issuers that file electronically with the Commission at www.sec.gov. Additionally, from time to time, we provide notifications of material news including press releases and conferences on our website. Webcasts of presentations made by our company at certain conferences may also be available from time to time on our website, to the extent the webcasts are available. The content of our website is not intended to be incorporated by reference into this report or in any other report or document we file and any references to these websites are intended to be inactive textual references only. Interested persons may sign up on our website to automatically receive e-mail alerts when we post financial information and issue press releases, and to receive information about upcoming events.</w:t>
      </w:r>
    </w:p>
    <w:p>
      <w:pPr>
        <w:spacing w:after="0" w:line="165"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We are listed on the TASE until March 22, 2023 and, accordingly, we submit copies of all our filings with the Commission to the Israeli Securities Authority (the “ISA”) and the TASE. Such copies can be retrieved electronically through the TASE’s internet messaging system (www.maya.tase.co.il) and through the MAGNA distribution site of the ISA (www.magna.isa.gov.il) for as long as we remain listed on the TASE.</w:t>
      </w:r>
    </w:p>
    <w:p>
      <w:pPr>
        <w:spacing w:after="0" w:line="139"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Our website also includes printable versions of our Code of Business Conduct and Ethics and the charters for each of the Audit, Compensation and Nominating Committees of our Board of Directors. Each of these documents is also available in print, free of charge, to any stockholder who requests a copy by addressing a request to:</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Protalix BioTherapeutics,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 University Plaza, Suite 100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Hackensack, NJ 07601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Attn: Mr. Eyal Rubin, Sr.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together with the other information included in this Annual Report on Form 10-K. Our business, financial condition or results of operations could be adversely affected by any of these risks. If any of these risks occur, the value of our common stock could decline. For a summary of the risk factors included in this Item 1A and for further details on our forward-looking statements, see “Forward-Looking Statements and Summary of Risk Factors” on page 1.</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Clinical Trials and Regulatory Matters</w:t>
      </w:r>
    </w:p>
    <w:p>
      <w:pPr>
        <w:spacing w:after="0" w:line="185" w:lineRule="exact"/>
        <w:rPr>
          <w:sz w:val="20"/>
          <w:szCs w:val="20"/>
          <w:color w:val="auto"/>
        </w:rPr>
      </w:pPr>
    </w:p>
    <w:p>
      <w:pPr>
        <w:ind w:left="60" w:right="319"/>
        <w:spacing w:after="0" w:line="268" w:lineRule="auto"/>
        <w:rPr>
          <w:sz w:val="20"/>
          <w:szCs w:val="20"/>
          <w:color w:val="auto"/>
        </w:rPr>
      </w:pPr>
      <w:r>
        <w:rPr>
          <w:rFonts w:ascii="Times New Roman" w:cs="Times New Roman" w:eastAsia="Times New Roman" w:hAnsi="Times New Roman"/>
          <w:sz w:val="18"/>
          <w:szCs w:val="18"/>
          <w:b w:val="1"/>
          <w:bCs w:val="1"/>
          <w:color w:val="auto"/>
        </w:rPr>
        <w:t>We may not obtain the necessary U.S., EMA or other worldwide regulatory approvals to commercialize our drug candidates in a timely manner, if at all, which would have a material adverse effect on our business, results of operations and financial condition.</w:t>
      </w:r>
    </w:p>
    <w:p>
      <w:pPr>
        <w:spacing w:after="0" w:line="134"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To commercialize our drug candidates worldwide, we need FDA approval, EMA approval and approvals from other countries’ regulators to commercialize our drug candidates elsewhere, as applicable. In order to obtain FDA approval of any of our drug candidates, we must submit to the FDA a BLA or an NDA demonstrating that the drug candidate is safe and effective for its intended use. This demonstration requires significant research and animal tests, which are referred to as preclinical studies, as well as human tests, which are referred to as clinical trials. In the European Union, we must submit an MAA to the EMA. Satisfaction of the regulatory requirements of the FDA, EMA and other countries’ regulatory authorities typically takes many years, depends upon the type, complexity and novelty of the drug candidate and requires substantial resources for research, development and testing.</w:t>
      </w:r>
    </w:p>
    <w:p>
      <w:pPr>
        <w:spacing w:after="0" w:line="165" w:lineRule="exact"/>
        <w:rPr>
          <w:sz w:val="20"/>
          <w:szCs w:val="20"/>
          <w:color w:val="auto"/>
        </w:rPr>
      </w:pPr>
    </w:p>
    <w:p>
      <w:pPr>
        <w:jc w:val="both"/>
        <w:ind w:left="60" w:right="179"/>
        <w:spacing w:after="0" w:line="289" w:lineRule="auto"/>
        <w:rPr>
          <w:sz w:val="20"/>
          <w:szCs w:val="20"/>
          <w:color w:val="auto"/>
        </w:rPr>
      </w:pPr>
      <w:r>
        <w:rPr>
          <w:rFonts w:ascii="Times New Roman" w:cs="Times New Roman" w:eastAsia="Times New Roman" w:hAnsi="Times New Roman"/>
          <w:sz w:val="17"/>
          <w:szCs w:val="17"/>
          <w:color w:val="auto"/>
        </w:rPr>
        <w:t>We cannot assure you that the FDA will approve the BLA submitted for pegunigalsidase alfa by the PDUFA date or at all, or that the EMA will approve the MAA in a timely manner or at all. We also cannot assure you that the results of clinical trials of our other product candidates will demonstrate that the candidates are safe and effective for their intended uses.</w:t>
      </w:r>
    </w:p>
    <w:p>
      <w:pPr>
        <w:spacing w:after="0" w:line="117"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Companies in the pharmaceutical and biotechnology industries have suffered significant setbacks in advanced or late-stage clinical trials, even after obtaining promising earlier trial results or in preliminary findings or other comparable authorities for such clinical trials. Further, even if favorable testing data is generated by the clinical trials of a drug candidate, the applicable regulatory authority may not accept or approve a marketing application we file for the drug candidate or may require us to conduct additional clinical testing or perform post-marketing studies which would cause us to incur additional costs.</w:t>
      </w:r>
    </w:p>
    <w:p>
      <w:pPr>
        <w:spacing w:after="0" w:line="147"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Failure to obtain approval of the FDA, EMA or comparable foreign authorities of pegunigalsidase alfa or any of our other drug candidates in a timely manner, if at all, will severely undermine our business, financial condition and results of operation by reducing our potential marketable products and our ability to generate corresponding product revenues.</w:t>
      </w:r>
    </w:p>
    <w:p>
      <w:pPr>
        <w:spacing w:after="0" w:line="145"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color w:val="auto"/>
        </w:rPr>
        <w:t>In light of our receipt of a CRL from the FDA regarding our BLA for pegunigalsidase alfa, the U.S. regulatory requirements and timing for pegunigalsidase alfa approval are uncertain; we are substantially dependent on receipt of regulatory approvals for pegunigalsidase alfa, our most advanced product candidate.</w:t>
      </w:r>
    </w:p>
    <w:p>
      <w:pPr>
        <w:spacing w:after="0" w:line="134" w:lineRule="exact"/>
        <w:rPr>
          <w:sz w:val="20"/>
          <w:szCs w:val="20"/>
          <w:color w:val="auto"/>
        </w:rPr>
      </w:pPr>
    </w:p>
    <w:p>
      <w:pPr>
        <w:ind w:left="60" w:right="219"/>
        <w:spacing w:after="0" w:line="255" w:lineRule="auto"/>
        <w:rPr>
          <w:sz w:val="20"/>
          <w:szCs w:val="20"/>
          <w:color w:val="auto"/>
        </w:rPr>
      </w:pPr>
      <w:r>
        <w:rPr>
          <w:rFonts w:ascii="Times New Roman" w:cs="Times New Roman" w:eastAsia="Times New Roman" w:hAnsi="Times New Roman"/>
          <w:sz w:val="18"/>
          <w:szCs w:val="18"/>
          <w:color w:val="auto"/>
        </w:rPr>
        <w:t>The CRL issued by the FDA in response to the pegunigalsidase alfa BLA did not report any concerns relating to the potential safety or efficacy of pegunigalsidase alfa in the submitted data package. Although the FDA, at the Type A meeting held on September 9, 2021, in principle, agreed that the data package that was subsequently included in the BLA resubmission has the potential to support a traditional approval of pegunigalsidase alfa for the treatment of Fabry disease, we cannot guarantee when, or if, we will be successful in receiving regulatory approval for pegunigalsidase alfa. If we do not obtain approval for pegunigalsidase alfa or are delayed in obtaining such approval, it would have a material and adverse effect on our operations and financial condition.</w:t>
      </w:r>
    </w:p>
    <w:p>
      <w:pPr>
        <w:spacing w:after="0" w:line="148"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The FDA may request additional data or impose other conditions in connection with an approval of the BLA. We cannot assure you that the FDA will eventually approve pegunigalsidase alfa on a resubmission.</w:t>
      </w:r>
    </w:p>
    <w:p>
      <w:pPr>
        <w:spacing w:after="0" w:line="135" w:lineRule="exact"/>
        <w:rPr>
          <w:sz w:val="20"/>
          <w:szCs w:val="20"/>
          <w:color w:val="auto"/>
        </w:rPr>
      </w:pPr>
    </w:p>
    <w:p>
      <w:pPr>
        <w:ind w:left="60" w:right="859"/>
        <w:spacing w:after="0" w:line="282" w:lineRule="auto"/>
        <w:rPr>
          <w:sz w:val="20"/>
          <w:szCs w:val="20"/>
          <w:color w:val="auto"/>
        </w:rPr>
      </w:pPr>
      <w:r>
        <w:rPr>
          <w:rFonts w:ascii="Times New Roman" w:cs="Times New Roman" w:eastAsia="Times New Roman" w:hAnsi="Times New Roman"/>
          <w:sz w:val="18"/>
          <w:szCs w:val="18"/>
          <w:color w:val="auto"/>
        </w:rPr>
        <w:t>In addition, we may incur significant additional expenditures in order to obtain or maintain FDA approval. If the resubmitted BLA is approved, the FDA may subject pegunigalsidase alfa to post-marketing commitments or</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61" w:lineRule="auto"/>
        <w:rPr>
          <w:sz w:val="20"/>
          <w:szCs w:val="20"/>
          <w:color w:val="auto"/>
        </w:rPr>
      </w:pPr>
      <w:r>
        <w:rPr>
          <w:rFonts w:ascii="Times New Roman" w:cs="Times New Roman" w:eastAsia="Times New Roman" w:hAnsi="Times New Roman"/>
          <w:sz w:val="18"/>
          <w:szCs w:val="18"/>
          <w:color w:val="auto"/>
        </w:rPr>
        <w:t>requirements, and we may need to develop and/or improve certain antibody or additional assays as post-marketing requirements or commitments. Even if we comply with all the requests of regulatory authorities, the FDA and other authorities may ultimately reject the BLA or any other marketing application that we file for a product candidate in the future, if any, or we might not obtain regulatory clearance in a timely manner.</w:t>
      </w:r>
    </w:p>
    <w:p>
      <w:pPr>
        <w:spacing w:after="0" w:line="149"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extensive governmental regulation including the requirements of the FDA and other comparable regulatory authorities before our drug candidates may be marketed.</w:t>
      </w:r>
    </w:p>
    <w:p>
      <w:pPr>
        <w:spacing w:after="0" w:line="118"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Both before and after marketing approval of our drug candidates, if at all, we, our drug candidates, our suppliers, our contract manufacturers and our contract testing laboratories are subject to extensive regulation by the FDA and comparable foreign regulatory authorities. Failure to comply with applicable requirements of the FDA or comparable foreign regulatory authorities could result in, among other things, any of the following actions:</w:t>
      </w:r>
    </w:p>
    <w:p>
      <w:pPr>
        <w:spacing w:after="0" w:line="139" w:lineRule="exact"/>
        <w:rPr>
          <w:sz w:val="20"/>
          <w:szCs w:val="20"/>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and other monetary penalties;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w:t>
      </w:r>
    </w:p>
    <w:p>
      <w:pPr>
        <w:spacing w:after="0" w:line="184" w:lineRule="exact"/>
        <w:rPr>
          <w:rFonts w:ascii="Times New Roman" w:cs="Times New Roman" w:eastAsia="Times New Roman" w:hAnsi="Times New Roman"/>
          <w:sz w:val="18"/>
          <w:szCs w:val="18"/>
          <w:color w:val="auto"/>
        </w:rPr>
      </w:pPr>
    </w:p>
    <w:p>
      <w:pPr>
        <w:ind w:left="1040" w:right="63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FDA’s or other foreign regulatory authorities’ approving, or the refusal of any regulatory authority to approve, any drug candidate;</w:t>
      </w:r>
    </w:p>
    <w:p>
      <w:pPr>
        <w:spacing w:after="0" w:line="13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 or seizure;</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manufacturing or clinical trials;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and</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prosecutions.</w:t>
      </w:r>
    </w:p>
    <w:p>
      <w:pPr>
        <w:spacing w:after="0" w:line="185" w:lineRule="exact"/>
        <w:rPr>
          <w:sz w:val="20"/>
          <w:szCs w:val="20"/>
          <w:color w:val="auto"/>
        </w:rPr>
      </w:pPr>
    </w:p>
    <w:p>
      <w:pPr>
        <w:jc w:val="both"/>
        <w:ind w:left="60" w:right="339"/>
        <w:spacing w:after="0" w:line="266" w:lineRule="auto"/>
        <w:rPr>
          <w:sz w:val="20"/>
          <w:szCs w:val="20"/>
          <w:color w:val="auto"/>
        </w:rPr>
      </w:pPr>
      <w:r>
        <w:rPr>
          <w:rFonts w:ascii="Times New Roman" w:cs="Times New Roman" w:eastAsia="Times New Roman" w:hAnsi="Times New Roman"/>
          <w:sz w:val="18"/>
          <w:szCs w:val="18"/>
          <w:color w:val="auto"/>
        </w:rPr>
        <w:t>In addition to the approval requirements, other numerous and pervasive regulatory requirements apply, both before and after approval, to us, our drug candidates, our suppliers, contract manufacturers, and contract testing laboratories. These include requirements related to:</w:t>
      </w:r>
    </w:p>
    <w:p>
      <w:pPr>
        <w:spacing w:after="0" w:line="149" w:lineRule="exact"/>
        <w:rPr>
          <w:sz w:val="20"/>
          <w:szCs w:val="20"/>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promotion;</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to the FDA certain adverse experiences associated with use of the drug candidate; and</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additional approvals for certain modifications to the drug candidate or its labeling or claims.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also are subject to inspection by the FDA and comparable foreign regulatory authorities, to determine our compliance with regulatory requirements, as are our suppliers, contract manufacturers, and contract testing laboratories, and there can be no assurance that the FDA, or any other comparable foreign regulatory authority, will not identify compliance issues that may disrupt production or distribution, or require substantial resources to correct. We may be required to make modifications to our manufacturing operations in response to these inspections which may require significant resources and may have a material adverse effect upon our business, results of operations and financial condition.</w:t>
      </w:r>
    </w:p>
    <w:p>
      <w:pPr>
        <w:spacing w:after="0" w:line="160" w:lineRule="exact"/>
        <w:rPr>
          <w:sz w:val="20"/>
          <w:szCs w:val="20"/>
          <w:color w:val="auto"/>
        </w:rPr>
      </w:pPr>
    </w:p>
    <w:p>
      <w:pPr>
        <w:jc w:val="both"/>
        <w:ind w:left="60" w:right="219"/>
        <w:spacing w:after="0" w:line="266" w:lineRule="auto"/>
        <w:rPr>
          <w:sz w:val="20"/>
          <w:szCs w:val="20"/>
          <w:color w:val="auto"/>
        </w:rPr>
      </w:pPr>
      <w:r>
        <w:rPr>
          <w:rFonts w:ascii="Times New Roman" w:cs="Times New Roman" w:eastAsia="Times New Roman" w:hAnsi="Times New Roman"/>
          <w:sz w:val="18"/>
          <w:szCs w:val="18"/>
          <w:color w:val="auto"/>
        </w:rPr>
        <w:t>The approval process for any drug candidate may also be delayed by changes in government regulation, future legislation or administrative action or changes in policy of the FDA and comparable foreign authorities that occur prior to or during their respective regulatory reviews of such drug candidate.</w:t>
      </w:r>
    </w:p>
    <w:p>
      <w:pPr>
        <w:spacing w:after="0" w:line="131"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color w:val="auto"/>
        </w:rPr>
        <w:t>Delays in obtaining regulatory approvals with respect to any drug candidate will materially and adversely affect our prospects, business, results of operations and financial condition.</w:t>
      </w:r>
    </w:p>
    <w:p>
      <w:pPr>
        <w:spacing w:after="0" w:line="1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Delays in obtaining regulatory approvals with respect to any drug candidate may:</w:t>
      </w:r>
    </w:p>
    <w:p>
      <w:pPr>
        <w:spacing w:after="0" w:line="198" w:lineRule="exact"/>
        <w:rPr>
          <w:sz w:val="20"/>
          <w:szCs w:val="20"/>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commercialization of, and our ability to derive product revenues from, such drug candidate;</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any regulatory-related milestone payments payable under outstanding collaboration agreements;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perform costly procedures with respect to such drug candidate; or</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diminish any competitive advantages that we may have with respect to such drug candidate.</w:t>
      </w:r>
    </w:p>
    <w:p>
      <w:pPr>
        <w:spacing w:after="0" w:line="185"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Delays in the approval process for any drug candidate will have a material adverse effect upon our prospects, business, results of operations and financial condition.</w:t>
      </w:r>
    </w:p>
    <w:p>
      <w:pPr>
        <w:spacing w:after="0" w:line="117" w:lineRule="exact"/>
        <w:rPr>
          <w:sz w:val="20"/>
          <w:szCs w:val="20"/>
          <w:color w:val="auto"/>
        </w:rPr>
      </w:pPr>
    </w:p>
    <w:p>
      <w:pPr>
        <w:ind w:left="60" w:right="519"/>
        <w:spacing w:after="0" w:line="268" w:lineRule="auto"/>
        <w:rPr>
          <w:sz w:val="20"/>
          <w:szCs w:val="20"/>
          <w:color w:val="auto"/>
        </w:rPr>
      </w:pPr>
      <w:r>
        <w:rPr>
          <w:rFonts w:ascii="Times New Roman" w:cs="Times New Roman" w:eastAsia="Times New Roman" w:hAnsi="Times New Roman"/>
          <w:sz w:val="18"/>
          <w:szCs w:val="18"/>
          <w:b w:val="1"/>
          <w:bCs w:val="1"/>
          <w:color w:val="auto"/>
        </w:rPr>
        <w:t>Clinical trials are very expensive, time-consuming and difficult to design and implement and may result in unforeseen costs, which may have a material adverse effect on our business, results of operations and financial condition.</w:t>
      </w:r>
    </w:p>
    <w:p>
      <w:pPr>
        <w:spacing w:after="0" w:line="148"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Human clinical trials are very expensive and difficult to design and implement, in part because they are subject to rigorous regulatory requirements. Preliminary and initial results from a clinical trial do not necessarily predict final results, and failure can occur at any stage of the trial. We may encounter problems that could cause us to abandon or repeat preclinical studies or clinical trials. The clinical trial process is also time-consuming. Failure or delay in the commencement or completion of our clinical trials may be caused by several factors, including:</w:t>
      </w:r>
    </w:p>
    <w:p>
      <w:pPr>
        <w:spacing w:after="0" w:line="143" w:lineRule="exact"/>
        <w:rPr>
          <w:sz w:val="20"/>
          <w:szCs w:val="20"/>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patient recruitment, particularly with respect to trials of rare diseases;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dosing issues;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effectiveness during clinical trials;</w:t>
      </w:r>
    </w:p>
    <w:p>
      <w:pPr>
        <w:spacing w:after="0" w:line="184" w:lineRule="exact"/>
        <w:rPr>
          <w:rFonts w:ascii="Times New Roman" w:cs="Times New Roman" w:eastAsia="Times New Roman" w:hAnsi="Times New Roman"/>
          <w:sz w:val="18"/>
          <w:szCs w:val="18"/>
          <w:color w:val="auto"/>
        </w:rPr>
      </w:pPr>
    </w:p>
    <w:p>
      <w:pPr>
        <w:ind w:left="1040" w:right="739" w:hanging="315"/>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by applicable regulatory bodies over our trial protocols, the interpretation of data from preclinical studies or clinical trials or conduct and control of clinical trials;</w:t>
      </w:r>
    </w:p>
    <w:p>
      <w:pPr>
        <w:spacing w:after="0" w:line="134" w:lineRule="exact"/>
        <w:rPr>
          <w:rFonts w:ascii="Times New Roman" w:cs="Times New Roman" w:eastAsia="Times New Roman" w:hAnsi="Times New Roman"/>
          <w:sz w:val="18"/>
          <w:szCs w:val="18"/>
          <w:color w:val="auto"/>
        </w:rPr>
      </w:pPr>
    </w:p>
    <w:p>
      <w:pPr>
        <w:ind w:left="1040" w:right="519" w:hanging="315"/>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that the patient population participating in a clinical trial may not be sufficiently broad or representative to assess efficacy and safety for our target population;</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monitor patients adequately during or after treatment;</w:t>
      </w:r>
    </w:p>
    <w:p>
      <w:pPr>
        <w:spacing w:after="0" w:line="184" w:lineRule="exact"/>
        <w:rPr>
          <w:rFonts w:ascii="Times New Roman" w:cs="Times New Roman" w:eastAsia="Times New Roman" w:hAnsi="Times New Roman"/>
          <w:sz w:val="18"/>
          <w:szCs w:val="18"/>
          <w:color w:val="auto"/>
        </w:rPr>
      </w:pPr>
    </w:p>
    <w:p>
      <w:pPr>
        <w:ind w:left="1040" w:right="519" w:hanging="315"/>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medical investigators and institutional review boards to follow our clinical protocols;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sufficient funding to finance the clinical trials.</w:t>
      </w:r>
    </w:p>
    <w:p>
      <w:pPr>
        <w:spacing w:after="0" w:line="198"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Any failure or delay in commencement or completion of any clinical trials of our product candidates will have a material adverse effect on our business, results of operations and financial condition. In addition, we, the FDA or other regulatory authorities may suspend any clinical trial at any time if it appears that we are exposing participants in the trial to unacceptable safety or health risks or if the FDA or such other regulatory authorities, as applicable, find deficiencies in our IND submissions or the conduct of the trial. Any suspension of a clinical trial may have a material adverse effect on our business, results of operations and financial condition.</w:t>
      </w:r>
    </w:p>
    <w:p>
      <w:pPr>
        <w:spacing w:after="0" w:line="143"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If the results of our clinical trials do not support our claims relating to a drug candidate, or if serious side effects are identified, the completion of development of such drug candidate may be significantly delayed or we may be forced to abandon development altogether, which will significantly impair our ability to generate product revenues.</w:t>
      </w:r>
    </w:p>
    <w:p>
      <w:pPr>
        <w:spacing w:after="0" w:line="134"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The results of our clinical trials with respect to any drug candidate might not support our claims of safety or efficacy, the results of our clinical trials may fail to conclusively show superiority over other commercially available treatments for the same or similar indications, the effects of our drug candidates may not be the desired effects or may include undesirable side effects or the drug candidates may have other unexpected characteristics. Data obtained from tests are susceptible to varying interpretations which may delay, limit or prevent regulatory approval. The clinical trial process may fail to demonstrate that our drug candidates are safe for humans and effective for indicated uses. In addition, our clinical trials, may involve specific and small patient populations. Results of early clinical trials conducted on a small patient population may not be indicative of future results. Adverse or inconclusive results may cause us to abandon a drug candidate and may delay development of other drug candidates. Any delay in, or termination of, our clinical trials will delay the filing of BLAs and NDAs with the FDA, or other filings with other foreign regulatory authorities, and, ultimately, significantly impair our ability to commercialize our drug candidates and generate product revenues which would have a material adverse effect on our business, results of operations and financial condition.</w:t>
      </w:r>
    </w:p>
    <w:p>
      <w:pPr>
        <w:spacing w:after="0" w:line="159"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color w:val="auto"/>
        </w:rPr>
        <w:t>Interim, topline or preliminary data from clinical trials that we announce or publish may change as more patient data becomes available and are subject to audit and verification procedures that could result in material changes in the final data.</w:t>
      </w:r>
    </w:p>
    <w:p>
      <w:pPr>
        <w:spacing w:after="0" w:line="134"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We may publicly disclose interim, topline or preliminary data from our clinical trials, which is based on a preliminary analysis of then-available data. The results and related findings and conclusions are subject to change following a full analysis of all data related to the particular trial. We also may make assumptions, estimations, calculations and conclusions as part of our analyses of data, and we may not have received or had the opportunity to fully and carefully evaluate all data. As a result, any interim, topline or preliminary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than the preliminary data we previously published. As a result, any topline data should be viewed with caution until final data are available. Interim data from clinical trials that we may complete are subject to the risk that one or more of the clinical outcomes may materially change as patient enrollment continues and more data becomes available. Further, regulatory agencies may not accept or agree with our assumptions, estimates, calculations, conclusions or analyses, or may interpret or ascribe different weight to the data, which may impact the value of the clinical trial and may affect the particular clinical program and the approvability or commercialization of the particular product candidate and our business in general. If regulatory authorities disagree with the conclusions we reach, we may not be able to obtain approval for and commercialize our product candidates, which will have a material adverse effect on our business, results of operations and financial condition.</w:t>
      </w:r>
    </w:p>
    <w:p>
      <w:pPr>
        <w:spacing w:after="0" w:line="150" w:lineRule="exact"/>
        <w:rPr>
          <w:sz w:val="20"/>
          <w:szCs w:val="20"/>
          <w:color w:val="auto"/>
        </w:rPr>
      </w:pPr>
    </w:p>
    <w:p>
      <w:pPr>
        <w:ind w:left="60" w:right="99"/>
        <w:spacing w:after="0" w:line="262" w:lineRule="auto"/>
        <w:rPr>
          <w:sz w:val="20"/>
          <w:szCs w:val="20"/>
          <w:color w:val="auto"/>
        </w:rPr>
      </w:pPr>
      <w:r>
        <w:rPr>
          <w:rFonts w:ascii="Times New Roman" w:cs="Times New Roman" w:eastAsia="Times New Roman" w:hAnsi="Times New Roman"/>
          <w:sz w:val="18"/>
          <w:szCs w:val="18"/>
          <w:b w:val="1"/>
          <w:bCs w:val="1"/>
          <w:color w:val="auto"/>
        </w:rPr>
        <w:t>We may find it difficult to enroll patients in our clinical trials, or patients may discontinue their participation in our clinical trials, which could cause significant delays in the completion of such trials or may negatively impact the results of these studies and extend the timeline for completion of our development programs or cause us to abandon one or more clinical trials.</w:t>
      </w:r>
    </w:p>
    <w:p>
      <w:pPr>
        <w:spacing w:after="0" w:line="153" w:lineRule="exact"/>
        <w:rPr>
          <w:sz w:val="20"/>
          <w:szCs w:val="20"/>
          <w:color w:val="auto"/>
        </w:rPr>
      </w:pPr>
    </w:p>
    <w:p>
      <w:pPr>
        <w:ind w:left="60" w:right="379"/>
        <w:spacing w:after="0" w:line="312" w:lineRule="auto"/>
        <w:rPr>
          <w:sz w:val="20"/>
          <w:szCs w:val="20"/>
          <w:color w:val="auto"/>
        </w:rPr>
      </w:pPr>
      <w:r>
        <w:rPr>
          <w:rFonts w:ascii="Times New Roman" w:cs="Times New Roman" w:eastAsia="Times New Roman" w:hAnsi="Times New Roman"/>
          <w:sz w:val="17"/>
          <w:szCs w:val="17"/>
          <w:color w:val="auto"/>
        </w:rPr>
        <w:t>Some of the diseases or disorders that our drug candidates are intended to treat are relatively rare and we expect only a subset of the patients with these diseases to be eligible for our clinical trials. Our clinical trials generally mandate that a</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patient cannot be involved in another clinical trial for the same indication. Therefore, subjects that participate in ongoing clinical trials for products that are competitive with our drug candidates are not available for our clinical trials. An inability to enroll a sufficient number of patients for any of our clinical trials would result in significant delays or may require us to abandon one or more clinical trials altogether. In addition, patients who enroll in our clinical trials may discontinue their participation at any time during the study as a result of a number of factors, including withdrawing their consent, experiencing adverse clinical events, which may or may not be judged related to our drug candidates under evaluation, or due to planned or actual pregnancies. The discontinuation of patients in any one of our studies may delay the completion of the study or cause the results from the study not to be positive or to not support a filing for regulatory approval of the applicable drug candidate. Any failure to enroll a sufficient number of patients in our clinical trials in a timely manner, if at all, may have a material adverse effect on our business, results of operations and financial condition.</w:t>
      </w:r>
    </w:p>
    <w:p>
      <w:pPr>
        <w:spacing w:after="0" w:line="163"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Because our clinical trials depend upon third-party researchers, the results of our clinical trials and such research activities are subject to delays and other risks which are, to a certain extent, beyond our control, which could impair our clinical development programs and our competitive position.</w:t>
      </w:r>
    </w:p>
    <w:p>
      <w:pPr>
        <w:spacing w:after="0" w:line="134"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We depend upon independent investigators and collaborators, such as universities and medical institutions, to conduct our preclinical and clinical trials. These collaborators are not our employees, and we cannot control the amount or timing of resources that they devote to our clinical development programs. The investigators may not prioritize to our clinical development programs or pursue them as diligently as we would if we were undertaking such programs directly. If outside collaborators fail to devote sufficient time and resources to our clinical development programs, or if their performance is substandard, the approval of anticipated NDAs, BLAs and other marketing applications, and our introduction of new drugs, if any, may be delayed which could impair our clinical development programs and would have a material adverse effect on our business, results of operations and financial condition. Our collaborators may also have relationships with other commercial entities, some of whom may compete with us. If our collaborators also assist our competitors, our competitive position could be harmed.</w:t>
      </w:r>
    </w:p>
    <w:p>
      <w:pPr>
        <w:spacing w:after="0" w:line="150" w:lineRule="exact"/>
        <w:rPr>
          <w:sz w:val="20"/>
          <w:szCs w:val="20"/>
          <w:color w:val="auto"/>
        </w:rPr>
      </w:pPr>
    </w:p>
    <w:p>
      <w:pPr>
        <w:ind w:left="60" w:right="259"/>
        <w:spacing w:after="0" w:line="317" w:lineRule="auto"/>
        <w:rPr>
          <w:sz w:val="20"/>
          <w:szCs w:val="20"/>
          <w:color w:val="auto"/>
        </w:rPr>
      </w:pPr>
      <w:r>
        <w:rPr>
          <w:rFonts w:ascii="Times New Roman" w:cs="Times New Roman" w:eastAsia="Times New Roman" w:hAnsi="Times New Roman"/>
          <w:sz w:val="17"/>
          <w:szCs w:val="17"/>
          <w:b w:val="1"/>
          <w:bCs w:val="1"/>
          <w:color w:val="auto"/>
        </w:rPr>
        <w:t>We have only limited experience in regulatory affairs, and some of our drug candidates may be based on new technologies. These factors may affect our ability or the time we require to obtain necessary regulatory approvals.</w:t>
      </w:r>
    </w:p>
    <w:p>
      <w:pPr>
        <w:spacing w:after="0" w:line="109"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We have only limited experience in filing and prosecuting the applications necessary to gain regulatory approvals for medical devices and drug candidates. Moreover, some of the drug candidates that are likely to result from our development programs may be based on new technologies that have not been extensively tested in humans. The regulatory requirements governing these types of drug candidates may not be well defined or more rigorous than for conventional products. As a result, we may experience a longer regulatory process in obtaining regulatory approvals of any products that we develop, which may have a material adverse effect on our business, results of operations and financial condition.</w:t>
      </w:r>
    </w:p>
    <w:p>
      <w:pPr>
        <w:spacing w:after="0" w:line="143" w:lineRule="exact"/>
        <w:rPr>
          <w:sz w:val="20"/>
          <w:szCs w:val="20"/>
          <w:color w:val="auto"/>
        </w:rPr>
      </w:pPr>
    </w:p>
    <w:p>
      <w:pPr>
        <w:ind w:left="60" w:right="219"/>
        <w:spacing w:after="0" w:line="268" w:lineRule="auto"/>
        <w:rPr>
          <w:sz w:val="20"/>
          <w:szCs w:val="20"/>
          <w:color w:val="auto"/>
        </w:rPr>
      </w:pPr>
      <w:r>
        <w:rPr>
          <w:rFonts w:ascii="Times New Roman" w:cs="Times New Roman" w:eastAsia="Times New Roman" w:hAnsi="Times New Roman"/>
          <w:sz w:val="18"/>
          <w:szCs w:val="18"/>
          <w:b w:val="1"/>
          <w:bCs w:val="1"/>
          <w:color w:val="auto"/>
        </w:rPr>
        <w:t>We may seek orphan drug designation for some or all of our product candidates across various indications, but we may be unable to obtain such designations or to maintain the benefits associated with orphan drug designation, including market exclusivity, which may cause our revenue, if any, to be reduced.</w:t>
      </w:r>
    </w:p>
    <w:p>
      <w:pPr>
        <w:spacing w:after="0" w:line="134"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We may seek orphan drug designation for our product candidates in specific orphan indications in which there is a medically plausible basis for the use of these products. Even if we obtain orphan drug designation, exclusive marketing rights in the United States may be limited if we seek approval for an indication broader than the orphan designated indication, and may be lost if the FDA later determines that the request for designation was materially defective, if we are unable to assure sufficient quantities of the product to meet the needs of patients with the rare disease or condition, or if a subsequent applicant demonstrates clinical superiority over our products, if approved. In addition, more than one drug can have orphan designation for the same indication. Although we may seek orphan drug designation for other product candidates, we might not receive such designations.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COVID-19 Pandemic</w:t>
      </w:r>
    </w:p>
    <w:p>
      <w:pPr>
        <w:spacing w:after="0" w:line="198"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color w:val="auto"/>
        </w:rPr>
        <w:t>The COVID-19 pandemic, or any other pandemic, epidemic or outbreak of an infectious disease, could adversely impact our business, including our clinical trials, and financial condition.</w:t>
      </w:r>
    </w:p>
    <w:p>
      <w:pPr>
        <w:spacing w:after="0" w:line="118"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In December 2019, a novel strain of coronavirus, COVID-19, was reported to have surfaced in Wuhan, China. Since then, the COVID-19 coronavirus and its variants have spread to multiple countries, including the United States, Australia and European and Asia-Pacific countries, including countries where we have planned or active clinical trial sites. As the COVID-19 coronavirus and its variants continue to spread around the globe, we may experience disruptions that could potentially impact our business and clinical trials. While the extent of the impact of the current COVID 19 pandemic on our business and financial results depends on future developments that are highly uncertain and cannot be predicted, including new information which may emerge concerning the severity of the coronavirus and its variants and the actions to contain them or treat their impact, among others, a continued and prolonged public health crisis such as the COVID 19 pandemic may adversely affect our business, results of operations and financial condition.</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98" w:lineRule="exact"/>
        <w:rPr>
          <w:sz w:val="20"/>
          <w:szCs w:val="20"/>
          <w:color w:val="auto"/>
        </w:rPr>
      </w:pPr>
    </w:p>
    <w:p>
      <w:pPr>
        <w:ind w:left="60" w:right="659"/>
        <w:spacing w:after="0" w:line="286" w:lineRule="auto"/>
        <w:rPr>
          <w:sz w:val="20"/>
          <w:szCs w:val="20"/>
          <w:color w:val="auto"/>
        </w:rPr>
      </w:pPr>
      <w:r>
        <w:rPr>
          <w:rFonts w:ascii="Times New Roman" w:cs="Times New Roman" w:eastAsia="Times New Roman" w:hAnsi="Times New Roman"/>
          <w:sz w:val="18"/>
          <w:szCs w:val="18"/>
          <w:b w:val="1"/>
          <w:bCs w:val="1"/>
          <w:color w:val="auto"/>
        </w:rPr>
        <w:t>We have a limited operating history which may limit the ability of investors to make an informed investment decision.</w:t>
      </w:r>
    </w:p>
    <w:p>
      <w:pPr>
        <w:spacing w:after="0" w:line="118"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Taliglucerase alfa is our only commercial product. The successful commercialization of our other drug candidates will require us to perform a variety of functions, including:</w:t>
      </w:r>
    </w:p>
    <w:p>
      <w:pPr>
        <w:spacing w:after="0" w:line="121" w:lineRule="exact"/>
        <w:rPr>
          <w:sz w:val="20"/>
          <w:szCs w:val="20"/>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perform preclinical development and clinical trials;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regulatory approval processes;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formulating and manufacturing products; and</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sales and marketing activities.</w:t>
      </w:r>
    </w:p>
    <w:p>
      <w:pPr>
        <w:spacing w:after="0" w:line="198" w:lineRule="exact"/>
        <w:rPr>
          <w:sz w:val="20"/>
          <w:szCs w:val="20"/>
          <w:color w:val="auto"/>
        </w:rPr>
      </w:pPr>
    </w:p>
    <w:p>
      <w:pPr>
        <w:ind w:left="60" w:right="479"/>
        <w:spacing w:after="0" w:line="261" w:lineRule="auto"/>
        <w:rPr>
          <w:sz w:val="20"/>
          <w:szCs w:val="20"/>
          <w:color w:val="auto"/>
        </w:rPr>
      </w:pPr>
      <w:r>
        <w:rPr>
          <w:rFonts w:ascii="Times New Roman" w:cs="Times New Roman" w:eastAsia="Times New Roman" w:hAnsi="Times New Roman"/>
          <w:sz w:val="18"/>
          <w:szCs w:val="18"/>
          <w:color w:val="auto"/>
        </w:rPr>
        <w:t>Our operations have been limited to organizing and staffing our company, acquiring, developing and securing our proprietary technology and undertaking, through third parties, preclinical trials and clinical trials of our principal drug candidates. These operations provide a limited basis for investors to assess our ability to commercialize our drug candidates and whether to invest in our company.</w:t>
      </w:r>
    </w:p>
    <w:p>
      <w:pPr>
        <w:spacing w:after="0" w:line="135" w:lineRule="exact"/>
        <w:rPr>
          <w:sz w:val="20"/>
          <w:szCs w:val="20"/>
          <w:color w:val="auto"/>
        </w:rPr>
      </w:pPr>
    </w:p>
    <w:p>
      <w:pPr>
        <w:ind w:left="60" w:right="99"/>
        <w:spacing w:after="0" w:line="268" w:lineRule="auto"/>
        <w:rPr>
          <w:sz w:val="20"/>
          <w:szCs w:val="20"/>
          <w:color w:val="auto"/>
        </w:rPr>
      </w:pPr>
      <w:r>
        <w:rPr>
          <w:rFonts w:ascii="Times New Roman" w:cs="Times New Roman" w:eastAsia="Times New Roman" w:hAnsi="Times New Roman"/>
          <w:sz w:val="18"/>
          <w:szCs w:val="18"/>
          <w:b w:val="1"/>
          <w:bCs w:val="1"/>
          <w:color w:val="auto"/>
        </w:rPr>
        <w:t>We currently depend heavily on the success of pegunigalsidase alfa. Any failure to commercialize pegunigalsidase alfa, or the experience of significant delays in doing so, will have a material adverse effect on our business, results of operations and financial condition.</w:t>
      </w:r>
    </w:p>
    <w:p>
      <w:pPr>
        <w:spacing w:after="0" w:line="134"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We are investing a significant portion of our efforts and financial resources in the development of pegunigalsidase alfa and our ability to generate significant product revenues in the future, will depend heavily on the successful development and commercialization of pegunigalsidase alfa. The successful commercialization of pegunigalsidase alfa will depend on several factors, including the following:</w:t>
      </w:r>
    </w:p>
    <w:p>
      <w:pPr>
        <w:spacing w:after="0" w:line="153" w:lineRule="exact"/>
        <w:rPr>
          <w:sz w:val="20"/>
          <w:szCs w:val="20"/>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Chiesi’s efforts under the Chiesi Agreements;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marketing approvals from the FDA, EMA and other foreign regulatory authorities;</w:t>
      </w:r>
    </w:p>
    <w:p>
      <w:pPr>
        <w:spacing w:after="0" w:line="184" w:lineRule="exact"/>
        <w:rPr>
          <w:rFonts w:ascii="Times New Roman" w:cs="Times New Roman" w:eastAsia="Times New Roman" w:hAnsi="Times New Roman"/>
          <w:sz w:val="18"/>
          <w:szCs w:val="18"/>
          <w:color w:val="auto"/>
        </w:rPr>
      </w:pPr>
    </w:p>
    <w:p>
      <w:pPr>
        <w:ind w:left="1040" w:right="119" w:hanging="315"/>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the cGMP compliance of our manufacturing facility or establishing manufacturing arrangements with third parties;</w:t>
      </w:r>
    </w:p>
    <w:p>
      <w:pPr>
        <w:spacing w:after="0" w:line="13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inspection of our facilities by the FDA and other foreign regulatory authorities;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Chiesi’s development of successful sales and marketing organizations for pegunigalsidase alfa;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239" w:hanging="315"/>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or reimbursement to patients from healthcare payors for pegunigalsidase alfa, if approved;</w:t>
      </w:r>
    </w:p>
    <w:p>
      <w:pPr>
        <w:spacing w:after="0" w:line="13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and efficacy profile of pegunigalsidase alfa following approval; and</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described in these Risk Factors.</w:t>
      </w:r>
    </w:p>
    <w:p>
      <w:pPr>
        <w:spacing w:after="0" w:line="185"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Any failure to commercialize pegunigalsidase alfa or the experience of significant delays in doing so will have a material adverse effect on our business, results of operations and financial condition.</w:t>
      </w:r>
    </w:p>
    <w:p>
      <w:pPr>
        <w:spacing w:after="0" w:line="131"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color w:val="auto"/>
        </w:rPr>
        <w:t>Any failure by us to supply drug substance to Pfizer may have a material adverse effect on our business, results of operations and financial condition.</w:t>
      </w:r>
    </w:p>
    <w:p>
      <w:pPr>
        <w:spacing w:after="0" w:line="118"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We have agreed to sell drug substance to Pfizer for the production of Elelyso for a 20-year period after the execution of the Amended Pfizer Agreement, subject to certain terms and conditions. As part of that obligation, we agreed to substantial financial penalties if we fail to comply with the supply commitments, or are delayed in doing so. The amounts of the penalties depend on when any such failure occurs and for how long it persists, if at all, and other considerations. Any failure to comply with the supply commitments under the Amended Pfizer Agreement may have a material adverse effect on our business, results of operations and financial condition.</w:t>
      </w:r>
    </w:p>
    <w:p>
      <w:pPr>
        <w:spacing w:after="0" w:line="143" w:lineRule="exact"/>
        <w:rPr>
          <w:sz w:val="20"/>
          <w:szCs w:val="20"/>
          <w:color w:val="auto"/>
        </w:rPr>
      </w:pPr>
    </w:p>
    <w:p>
      <w:pPr>
        <w:ind w:left="60" w:right="119"/>
        <w:spacing w:after="0" w:line="262" w:lineRule="auto"/>
        <w:rPr>
          <w:sz w:val="20"/>
          <w:szCs w:val="20"/>
          <w:color w:val="auto"/>
        </w:rPr>
      </w:pPr>
      <w:r>
        <w:rPr>
          <w:rFonts w:ascii="Times New Roman" w:cs="Times New Roman" w:eastAsia="Times New Roman" w:hAnsi="Times New Roman"/>
          <w:sz w:val="18"/>
          <w:szCs w:val="18"/>
          <w:b w:val="1"/>
          <w:bCs w:val="1"/>
          <w:color w:val="auto"/>
        </w:rPr>
        <w:t>Our strategy, in certain cases, is to enter into collaboration agreements with third parties to leverage our ProCellEx system to develop product candidates. Failure to enter into such agreements, or non-compliance by us or our collaborators with such agreements, may have a material adverse effect on our business, results of operations and financial condition.</w:t>
      </w:r>
    </w:p>
    <w:p>
      <w:pPr>
        <w:spacing w:after="0" w:line="153"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Our strategy, in certain cases, is to enter into arrangements with pharmaceutical companies to leverage our ProCellEx system to develop additional product candidates. Under these arrangements, we may grant to our partners rights to license and commercialize pharmaceutical products developed under the applicable agreements, as we have done with Elelyso and pegunigalsidase alfa. Our partners may control key decisions relating to the development of the products and we may depend on our partners’ expertise and dedication of sufficient resources to develop and commercialize our product candidates. The rights of our partners limit our flexibility in considering alternatives for the commercialization of our product candidates. If we or any of our current or future partners breach or terminate the agreements that make up such arrangements, our partners otherwise fail to conduct their obligations under such arrangements in a timely manner, there is a dispute about their obligations or if either party terminates the applicable agreement or elects not to continue the arrangement, we may not enjoy the benefits of the agreements or receive a sufficient amount of royalty or milestone payments from them, if any, which may have a material adverse effect on our business, results of operations and financial condition.</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If we are unable to develop and commercialize our product candidates, our business will be adversely affected.</w:t>
      </w:r>
    </w:p>
    <w:p>
      <w:pPr>
        <w:spacing w:after="0" w:line="18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A key element of our business strategy is to develop and commercialize a portfolio of new products in addition to taliglucerase alfa. We seek to do so through our internal research programs and strategic collaborations for the development of new products. Research programs to identify new product candidates require substantial technical, financial and human resources, whether or not any product candidates are ultimately identified. Our research programs may initially show promise in identifying potential product candidates, yet fail to immediately yield product candidates for clinical development for many reasons, including the following:</w:t>
      </w:r>
    </w:p>
    <w:p>
      <w:pPr>
        <w:spacing w:after="0" w:line="160" w:lineRule="exact"/>
        <w:rPr>
          <w:sz w:val="20"/>
          <w:szCs w:val="20"/>
          <w:color w:val="auto"/>
        </w:rPr>
      </w:pPr>
    </w:p>
    <w:p>
      <w:pPr>
        <w:ind w:left="1040" w:hanging="315"/>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is not capable of being produced in commercial quantities at an acceptable cost, or at all;</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by patients, the medical community or third-party payors;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obsolete;</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product candidates; 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79" w:hanging="315"/>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on further study, be shown to have harmful side effects or other characteristics that indicate it is unlikely to be effective or otherwise does not meet applicable regulatory approval.</w:t>
      </w:r>
    </w:p>
    <w:p>
      <w:pPr>
        <w:spacing w:after="0" w:line="135"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Any failure to develop or commercialize any of our other product candidates may have a material adverse effect on our business, results of operations and financial condition.</w:t>
      </w:r>
    </w:p>
    <w:p>
      <w:pPr>
        <w:spacing w:after="0" w:line="117" w:lineRule="exact"/>
        <w:rPr>
          <w:sz w:val="20"/>
          <w:szCs w:val="20"/>
          <w:color w:val="auto"/>
        </w:rPr>
      </w:pPr>
    </w:p>
    <w:p>
      <w:pPr>
        <w:ind w:left="60" w:right="779"/>
        <w:spacing w:after="0" w:line="268" w:lineRule="auto"/>
        <w:rPr>
          <w:sz w:val="20"/>
          <w:szCs w:val="20"/>
          <w:color w:val="auto"/>
        </w:rPr>
      </w:pPr>
      <w:r>
        <w:rPr>
          <w:rFonts w:ascii="Times New Roman" w:cs="Times New Roman" w:eastAsia="Times New Roman" w:hAnsi="Times New Roman"/>
          <w:sz w:val="18"/>
          <w:szCs w:val="18"/>
          <w:b w:val="1"/>
          <w:bCs w:val="1"/>
          <w:color w:val="auto"/>
        </w:rPr>
        <w:t>The manufacture of our products is an exacting and complex process, and any manufacturing problems encountered by us or certain of our suppliers may have a material adverse effect on our business, results of operations and financial condition.</w:t>
      </w:r>
    </w:p>
    <w:p>
      <w:pPr>
        <w:spacing w:after="0" w:line="134"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FDA and foreign regulators require manufacturers to register manufacturing facilities. The FDA and foreign regulators also inspect these facilities to confirm compliance with cGMP or similar requirements that the FDA or foreign regulators establish. We or certain of our materials suppliers may face manufacturing or quality control problems causing product production and shipment delays or a situation where we or the supplier may not be able to maintain compliance with the FDA’s cGMP requirements, or those of foreign regulators, necessary to continue manufacturing. To date, our current facility has passed audits by the FDA and a number of other regulatory authorities but remains subject to audit by other foreign regulatory authorities. There can be no assurance that we will be able to comply, or continue to comply, with FDA or foreign regulatory manufacturing requirements for our current facility or any facility we may establish in the future, and the failure to so comply, or continue to comply, will have a material adverse effect on our business, results of operations and financial condition.</w:t>
      </w:r>
    </w:p>
    <w:p>
      <w:pPr>
        <w:spacing w:after="0" w:line="163" w:lineRule="exact"/>
        <w:rPr>
          <w:sz w:val="20"/>
          <w:szCs w:val="20"/>
          <w:color w:val="auto"/>
        </w:rPr>
      </w:pPr>
    </w:p>
    <w:p>
      <w:pPr>
        <w:ind w:left="60" w:right="679"/>
        <w:spacing w:after="0" w:line="291" w:lineRule="auto"/>
        <w:rPr>
          <w:sz w:val="20"/>
          <w:szCs w:val="20"/>
          <w:color w:val="auto"/>
        </w:rPr>
      </w:pPr>
      <w:r>
        <w:rPr>
          <w:rFonts w:ascii="Times New Roman" w:cs="Times New Roman" w:eastAsia="Times New Roman" w:hAnsi="Times New Roman"/>
          <w:sz w:val="17"/>
          <w:szCs w:val="17"/>
          <w:b w:val="1"/>
          <w:bCs w:val="1"/>
          <w:color w:val="auto"/>
        </w:rPr>
        <w:t>We rely on third parties for final processing of taliglucerase alfa, pegunigalsidase alfa and our other product candidates, which exposes us to a number of risks that may delay development, regulatory approval and commercialization of taliglucerase alfa and our other product candidates or result in higher product costs.</w:t>
      </w:r>
    </w:p>
    <w:p>
      <w:pPr>
        <w:spacing w:after="0" w:line="11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We have no experience in the final filling and freeze drying steps of the drug manufacturing process. We rely on third parties in the United States and Europe to perform fill and finish activities for taliglucerase alfa and pegunigalsidase alfa, and have engaged other parties for our other product candidates. We may be unable to identify manufacturers and/or replacement manufacturers on acceptable terms or at all because the number of potential manufacturers is limited and the FDA and other regulatory authorities, as applicable, must approve any manufacturer and/or replacement manufacturer, including us, and we or any such third party manufacturer might be unable to formulate and manufacture our drug products in the volume and of the quality required to meet our clinical and commercial needs. If we engage any contract manufacturers, such manufacturers may not perform as agreed or may not remain in the contract manufacturing business for the time required to supply our clinical or commercial needs. In addition, contract manufacturers are subject to the rules and regulations of the FDA and comparable foreign regulatory authorities and face the risk that any of those authorities may find that they are not in compliance with applicable regulations. Each of these risks, if realized, could delay our clinical trials, the approval, if any, of our potential drug candidates by the FDA and other regulatory authorities, or the commercialization of our drug candidates or could result in higher product costs or otherwise deprive us of potential product revenues.</w:t>
      </w:r>
    </w:p>
    <w:p>
      <w:pPr>
        <w:spacing w:after="0" w:line="153"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color w:val="auto"/>
        </w:rPr>
        <w:t>Developments by competitors may render our products or technologies obsolete or non-competitive which would have a material adverse effect on our business, results of operations and financial condition.</w:t>
      </w:r>
    </w:p>
    <w:p>
      <w:pPr>
        <w:spacing w:after="0" w:line="132"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We compete against fully integrated pharmaceutical companies and smaller companies that are collaborating with larger pharmaceutical companies, academic institutions, government agencies and other public and private research organizations. Our drug candidates will have to compete with existing therapies and therapies under development by our competitors. Our commercial opportunities may be reduced or eliminated if our competitors develop and market products that are less expensive, more effective or safer than our drug products. Other companies have drug candidates in various stages of preclinical or clinical development to treat diseases for which we are also seeking to develop drug products. Some of these potential competing drugs are further advanced in development than our drug candidates and may be commercialized earlier. See “Business – Competition.”</w:t>
      </w:r>
    </w:p>
    <w:p>
      <w:pPr>
        <w:spacing w:after="0" w:line="151"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Most of our competitors, either alone or together with their collaborative partners, operate larger research and development programs, staff and facilities and have substantially greater financial resources than we do, as well as significantly greater experience in: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drugs;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undertaking preclinical testing and human clinical trials;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marketing approvals from the FDA and other regulatory authorities;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formulating and manufacturing drugs; and</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marketing and selling drugs.</w:t>
      </w:r>
    </w:p>
    <w:p>
      <w:pPr>
        <w:spacing w:after="0" w:line="185"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These organizations also compete with us to attract qualified personnel, acquisitions and joint ventures candidates and for other collaborations. Activities of our competitors may impose unanticipated costs on our business or adversely affect the market for our drug products which would have a material adverse effect on our business, results of operations and financial condition.</w:t>
      </w:r>
    </w:p>
    <w:p>
      <w:pPr>
        <w:spacing w:after="0" w:line="135"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color w:val="auto"/>
        </w:rPr>
        <w:t>If we in-license drug candidates, we may delay or otherwise adversely affect the development of our existing drug candidates, which may negatively impact our business, results of operations and financial condition.</w:t>
      </w:r>
    </w:p>
    <w:p>
      <w:pPr>
        <w:spacing w:after="0" w:line="132"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In addition to our own internally developed drug candidates, we proactively seek opportunities to in-license and advance other drug candidates that are strategic and have value-creating potential to take advantage of our development know-how and technology. In-licensing additional drug candidates may significantly increase our capital requirements, and place a strain on the time of our existing personnel, which may delay or otherwise adversely affect the development of our existing drug candidates or cause us to re-prioritize our drug pipeline if we do not have the necessary capital resources to develop all of our drug candidates, which may have a material adverse impact on our business, results of operations and financial condition.</w:t>
      </w:r>
    </w:p>
    <w:p>
      <w:pPr>
        <w:spacing w:after="0" w:line="144" w:lineRule="exact"/>
        <w:rPr>
          <w:sz w:val="20"/>
          <w:szCs w:val="20"/>
          <w:color w:val="auto"/>
        </w:rPr>
      </w:pPr>
    </w:p>
    <w:p>
      <w:pPr>
        <w:ind w:left="60" w:right="399"/>
        <w:spacing w:after="0" w:line="317" w:lineRule="auto"/>
        <w:rPr>
          <w:sz w:val="20"/>
          <w:szCs w:val="20"/>
          <w:color w:val="auto"/>
        </w:rPr>
      </w:pPr>
      <w:r>
        <w:rPr>
          <w:rFonts w:ascii="Times New Roman" w:cs="Times New Roman" w:eastAsia="Times New Roman" w:hAnsi="Times New Roman"/>
          <w:sz w:val="17"/>
          <w:szCs w:val="17"/>
          <w:b w:val="1"/>
          <w:bCs w:val="1"/>
          <w:color w:val="auto"/>
        </w:rPr>
        <w:t>If we acquire companies, products or technologies, we may face integration risks and costs associated with those acquisitions that could potentially negatively impact our business, results of operations and financial condition.</w:t>
      </w:r>
    </w:p>
    <w:p>
      <w:pPr>
        <w:spacing w:after="0" w:line="95" w:lineRule="exact"/>
        <w:rPr>
          <w:sz w:val="20"/>
          <w:szCs w:val="20"/>
          <w:color w:val="auto"/>
        </w:rPr>
      </w:pPr>
    </w:p>
    <w:p>
      <w:pPr>
        <w:ind w:left="60" w:right="259"/>
        <w:spacing w:after="0" w:line="254" w:lineRule="auto"/>
        <w:rPr>
          <w:sz w:val="20"/>
          <w:szCs w:val="20"/>
          <w:color w:val="auto"/>
        </w:rPr>
      </w:pPr>
      <w:r>
        <w:rPr>
          <w:rFonts w:ascii="Times New Roman" w:cs="Times New Roman" w:eastAsia="Times New Roman" w:hAnsi="Times New Roman"/>
          <w:sz w:val="18"/>
          <w:szCs w:val="18"/>
          <w:color w:val="auto"/>
        </w:rPr>
        <w:t>If we are presented with appropriate opportunities, we may acquire or make investments in complementary companies, products or technologies. If we acquire companies or technologies, we will face risks, uncertainties and disruptions associated with the integration process, including difficulties in the integration of the operations of an acquired company, integration of acquired technology with our products, diversion of our management’s attention from other business concerns, the potential loss of key employees or customers of the acquired business and impairment charges if future acquisitions are not as successful as we originally anticipate. In addition, our operating results may suffer because of acquisition-related costs or amortization expenses or charges relating to acquired intangible assets. Any failure to successfully integrate other companies, products or technologies that we may acquire may have a material adverse effect on our business and results of operations.</w:t>
      </w:r>
    </w:p>
    <w:p>
      <w:pPr>
        <w:spacing w:after="0" w:line="157"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color w:val="auto"/>
        </w:rPr>
        <w:t>We depend upon key employees and consultants in a competitive market for skilled personnel. If we are unable to attract and retain key personnel, it could adversely affect our ability to develop and market our products.</w:t>
      </w:r>
    </w:p>
    <w:p>
      <w:pPr>
        <w:spacing w:after="0" w:line="118"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 are highly dependent upon the principal members of our management team, especially our President and Chief Executive Officer, Dror Bashan, as well as the Chairman of our Board of Directors, Zeev Bronfeld, our other directors, consultants and collaborating scientists. Many of these people have been involved with us for many years and have played integral roles in our progress, and we believe that they will continue to provide value to us. A loss of any of these personnel may have a material adverse effect on aspects of our business, clinical development and regulatory programs. We have employment agreements with Mr. Bashan and our other executive officers that may be terminated by us or the applicable officer at any time with varying notice periods of 30 to 180 days. The loss of any of these persons’ services may adversely affect our ability to develop and market our products and obtain necessary regulatory approvals. Further, we do not maintain key-man life insurance.</w:t>
      </w:r>
    </w:p>
    <w:p>
      <w:pPr>
        <w:spacing w:after="0" w:line="148" w:lineRule="exact"/>
        <w:rPr>
          <w:sz w:val="20"/>
          <w:szCs w:val="20"/>
          <w:color w:val="auto"/>
        </w:rPr>
      </w:pPr>
    </w:p>
    <w:p>
      <w:pPr>
        <w:ind w:left="60" w:right="299"/>
        <w:spacing w:after="0" w:line="281" w:lineRule="auto"/>
        <w:rPr>
          <w:sz w:val="20"/>
          <w:szCs w:val="20"/>
          <w:color w:val="auto"/>
        </w:rPr>
      </w:pPr>
      <w:r>
        <w:rPr>
          <w:rFonts w:ascii="Times New Roman" w:cs="Times New Roman" w:eastAsia="Times New Roman" w:hAnsi="Times New Roman"/>
          <w:sz w:val="17"/>
          <w:szCs w:val="17"/>
          <w:color w:val="auto"/>
        </w:rPr>
        <w:t>We also depend in part on the continued service of our key scientific personnel and our ability to identify, hire and retain additional personnel. We experience intense competition for qualified personnel, and the existence of non-competition agreements between prospective employees and their former employers may prevent us from hiring those individuals or subject us to suit from their former employers. While we attempt to provide competitive compensation packages to</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attract and retain key personnel, many of our competitors are likely to have greater resources and more experience than we have, making it difficult for us to compete successfully for key personnel.</w:t>
      </w:r>
    </w:p>
    <w:p>
      <w:pPr>
        <w:spacing w:after="0" w:line="131" w:lineRule="exact"/>
        <w:rPr>
          <w:sz w:val="20"/>
          <w:szCs w:val="20"/>
          <w:color w:val="auto"/>
        </w:rPr>
      </w:pPr>
    </w:p>
    <w:p>
      <w:pPr>
        <w:jc w:val="both"/>
        <w:ind w:left="60" w:right="599"/>
        <w:spacing w:after="0" w:line="268" w:lineRule="auto"/>
        <w:rPr>
          <w:sz w:val="20"/>
          <w:szCs w:val="20"/>
          <w:color w:val="auto"/>
        </w:rPr>
      </w:pPr>
      <w:r>
        <w:rPr>
          <w:rFonts w:ascii="Times New Roman" w:cs="Times New Roman" w:eastAsia="Times New Roman" w:hAnsi="Times New Roman"/>
          <w:sz w:val="18"/>
          <w:szCs w:val="18"/>
          <w:b w:val="1"/>
          <w:bCs w:val="1"/>
          <w:color w:val="auto"/>
        </w:rPr>
        <w:t>Under current U.S. and Israeli laws, we may not be able to enforce employees’ covenants not to compete and therefore may be unable to prevent our competitors from benefiting from the expertise of some of our former employees.</w:t>
      </w:r>
    </w:p>
    <w:p>
      <w:pPr>
        <w:spacing w:after="0" w:line="134"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We have entered into non-competition agreements with substantially all of our employees. These agreements prohibit our employees, if they cease working for us, from competing directly with us or working for our competitors for a limited period. Under current U.S. and Israeli laws, we may be unable to enforce these agreements against most of our employees and it may be difficult for us to restrict our competitors from gaining the expertise our former employees acquired while working for us. If we cannot enforce our employees’ non-compete agreements, we may be unable to prevent our competitors from benefiting from the expertise of our former employees, which may have a material adverse effect on our business, results of operations and financial condition.</w:t>
      </w:r>
    </w:p>
    <w:p>
      <w:pPr>
        <w:spacing w:after="0" w:line="144" w:lineRule="exact"/>
        <w:rPr>
          <w:sz w:val="20"/>
          <w:szCs w:val="20"/>
          <w:color w:val="auto"/>
        </w:rPr>
      </w:pPr>
    </w:p>
    <w:p>
      <w:pPr>
        <w:ind w:left="60" w:right="319"/>
        <w:spacing w:after="0" w:line="291" w:lineRule="auto"/>
        <w:rPr>
          <w:sz w:val="20"/>
          <w:szCs w:val="20"/>
          <w:color w:val="auto"/>
        </w:rPr>
      </w:pPr>
      <w:r>
        <w:rPr>
          <w:rFonts w:ascii="Times New Roman" w:cs="Times New Roman" w:eastAsia="Times New Roman" w:hAnsi="Times New Roman"/>
          <w:sz w:val="17"/>
          <w:szCs w:val="17"/>
          <w:b w:val="1"/>
          <w:b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30"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Effective internal control over financial reporting is necessary for us to provide reliable financial reports. Any failure to implement required new or improved controls, or difficulties encountered in their implementation could cause us to fail to meet our reporting obligations. While our assessment of our internal control over financial reporting resulted in our conclusion that as of December 31, 2022, our internal control over financial reporting was effective, we cannot predict the outcome of our testing or any subsequent testing by our auditor in future periods. Any testing by us conducted in connection with Section 404 of the Sarbanes-Oxley Act, or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and affect our reputation, which could have an adverse effect on the trading price of our common stock.</w:t>
      </w:r>
    </w:p>
    <w:p>
      <w:pPr>
        <w:spacing w:after="0" w:line="151"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Our management is required to assess the effectiveness of our internal controls and procedures and disclose changes in these controls on an annual basis. However, for as long as we are a non-accelerated filer, our independent registered public accounting firm will not be required to attest to the effectiveness of our internal control over financial reporting pursuant to Section 404. An independent assessment of the effectiveness of our internal control could identify deficiencies in internal control over financial reporting that our management’s assessment might not. Undetected material weaknesses in our internal controls could lead to financial statement restatements and require us to incur the expense of remediation.</w:t>
      </w:r>
    </w:p>
    <w:p>
      <w:pPr>
        <w:spacing w:after="0" w:line="143"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color w:val="auto"/>
        </w:rPr>
        <w:t>Our internal computer systems, or those used by our third-party contractors or consultants, may fail or suffer security breaches.</w:t>
      </w:r>
    </w:p>
    <w:p>
      <w:pPr>
        <w:spacing w:after="0" w:line="132"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present and future contractors and consultants are vulnerable to damage from computer viruses and unauthorized access. Although to our knowledge we have not experienced any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our third-party research institution collaborators for research and development of our product candidates and other third parties for the manufacture of our product candidates and to conduct clinical trials, and similar events relating to their computer systems could also have a material adverse effect on our business. We have a cybersecurity insurance policy to protect us from such risks. However, to the extent that any disruption or security breach were to result in a loss of, or damage to, our data or applications, or inappropriate disclosure of confidential or proprietary information, we could incur liability despite our insurance policy, and the further development and commercialization of our product candidates could be delayed.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We could be subject to securities class action litigation.</w:t>
      </w:r>
    </w:p>
    <w:p>
      <w:pPr>
        <w:spacing w:after="0" w:line="202"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biotechnology companies have experienced significant stock price volatility in recent years. If we face such litigation, it could result in substantial costs and divert management’s attention and resources, which could have a material adverse effect on our business, results of operation and financial condition.</w:t>
      </w:r>
    </w:p>
    <w:p>
      <w:pPr>
        <w:spacing w:after="0" w:line="139"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color w:val="auto"/>
        </w:rPr>
        <w:t>If product liability claims are brought against us, it may result in reduced demand for our products and product candidates or damages that exceed our insurance coverage.</w:t>
      </w:r>
    </w:p>
    <w:p>
      <w:pPr>
        <w:spacing w:after="0" w:line="118"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The clinical testing, marketing and use of our products and product candidates exposes us to product liability claims if the use or misuse of those products or product candidates cause injury or disease, or results in adverse effects. Use of our products or product candidates, whether in clinical trials or post approval, could result in product liability claims. We presently carry clinical trial liability insurance with coverages of up to $10.0 million per occurrence and $10.0 million in the aggregate, an amount we consider reasonable and customary. However, this insurance coverage includes various deductibles, limitations and exclusions from coverage, and in any event might not fully cover any potential claims. We may need to obtain additional clinical trial liability coverage prior to initiating additional clinical trials. We expect to obtain product liability insurance coverage before commercialization of our product candidates; however, such insurance is expensive and insurance companies may not issue this type of insurance when we need it. We may not be able to obtain adequate insurance in the future at an acceptable cost. Any product liability claim, even one that was not in excess of our insurance coverage or one that is meritless and/or unsuccessful, may adversely affect our cash available for other purposes, such as research and development, which may have a material adverse effect on our business, results of operations and financial condition. Product liability claims, even if without merit, may result in reduced demand for our products, if approved, or result in adverse market reactions, which would have a material adverse effect on our business, results of operations and financial condition.</w:t>
      </w:r>
    </w:p>
    <w:p>
      <w:pPr>
        <w:spacing w:after="0" w:line="165"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color w:val="auto"/>
        </w:rPr>
        <w:t>The enactment of proposed or future tax legislation may adversely impact our financial condition and results of operations.</w:t>
      </w:r>
    </w:p>
    <w:p>
      <w:pPr>
        <w:spacing w:after="0" w:line="11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August 16, 2022, President Biden signed the Inflation Reduction Act, or the IRA. The IRA contains a number of tax related provisions including a 15% minimum corporate income tax on certain large corporations as well as an exercise tax on stock repurchases, both provisions are effective for tax years beginning after December 31, 2022. We are in the process of evaluating the IRA, but do not expect it to have a material impact on our financial statements.</w:t>
      </w:r>
    </w:p>
    <w:p>
      <w:pPr>
        <w:spacing w:after="0" w:line="176"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color w:val="auto"/>
        </w:rPr>
        <w:t>Governments outside the United States tend to impose strict price controls and reimbursement approval policies, which may adversely affect our prospects for generating revenue.</w:t>
      </w:r>
    </w:p>
    <w:p>
      <w:pPr>
        <w:spacing w:after="0" w:line="118"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In some countries, particularly European Union member states, the pricing of prescription pharmaceuticals is subject to governmental control. In these countries, pricing negotiations with governmental authorities can take considerable time (six to 12 months or longer) after the receipt of marketing approval for a product. To obtain reimbursement or pricing approval in some countries with respect to any product candidate that achieves regulatory approval, we may be required to conduct a clinical trial that compares the cost-effectiveness of our product candidate to other available therapies. Any unavailability or limitation on the reimbursement of our products upon approval, if at all, or the determination of unsatisfactory reimbursement prices, may have a material adverse effect on our business, results of operations and financial condition. Further, if we achieve regulatory approval of any product, we must successfully negotiate product pricing for such product in individual countries. As a result, the pricing of our product candidates, if approved, in different countries may vary widely, thus creating the potential for third-party trade in our products in an attempt to exploit price differences between countries. This third-party trade of our products could undermine our sales in markets with higher prices which could have a material adverse effect on our business, results of operations and financial condition.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ability to utilize net operating loss carryforwards may be limited.</w:t>
      </w:r>
    </w:p>
    <w:p>
      <w:pPr>
        <w:spacing w:after="0" w:line="202" w:lineRule="exact"/>
        <w:rPr>
          <w:sz w:val="20"/>
          <w:szCs w:val="20"/>
          <w:color w:val="auto"/>
        </w:rPr>
      </w:pPr>
    </w:p>
    <w:p>
      <w:pPr>
        <w:ind w:left="60" w:right="119"/>
        <w:spacing w:after="0" w:line="269" w:lineRule="auto"/>
        <w:rPr>
          <w:sz w:val="20"/>
          <w:szCs w:val="20"/>
          <w:color w:val="auto"/>
        </w:rPr>
      </w:pPr>
      <w:r>
        <w:rPr>
          <w:rFonts w:ascii="Times New Roman" w:cs="Times New Roman" w:eastAsia="Times New Roman" w:hAnsi="Times New Roman"/>
          <w:sz w:val="17"/>
          <w:szCs w:val="17"/>
          <w:color w:val="auto"/>
        </w:rPr>
        <w:t>Our NOL carryforwards as of December 31, 2022, are equal to approximately $247.4 million, of which approximately $26.7 million may be restricted under Section 382 of the Internal Revenue Code, or the IRC. IRC Section 382 applies whenever a corporation with NOLs experiences an ownership change. As a result of IRC Section 382, the taxable income for any post-change year that may be offset by a pre-change NOL may not exceed the fair market value of the pre-change entity multiplied by the IRC long-term tax exempt rate. Significant judgment is required in determining any valuation allowance recorded against deferred tax assets. In assessing the need for a valuation allowance, we considered all available evidence, including past operating results, the most recent projections for taxable income and prudent and feasible tax planning strategies. We reassess our valuation allowance periodically and if future evidence allows for a partial or full release of the valuation allowance, a tax benefit will be recorded accordingly. Any ownership change (including as a result of conversion of our outstanding convertible notes into shares of our common stock), or any other limitation on our utilization of NOLs, could have a material adverse effect on our business, results of operations and financial condition.</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corporate structure may create U.S. federal income tax inefficiencies.</w:t>
      </w:r>
    </w:p>
    <w:p>
      <w:pPr>
        <w:spacing w:after="0" w:line="189"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Protalix Ltd. is our wholly-owned subsidiary and thus a controlled foreign corporation of our company for U.S. federal income tax purposes. This organizational structure may create inefficiencies, as certain types of income and investments of Protalix Ltd. that otherwise would not be currently taxable under general U.S. federal income tax principles may become taxable. These inefficiencies may require us to use more of our NOLs than we otherwise might and may result in a tax liability without a corresponding distribution from our subsidiary which could have a material adverse effect on our business, results of operations and financial condition.</w:t>
      </w:r>
    </w:p>
    <w:p>
      <w:pPr>
        <w:spacing w:after="0" w:line="160"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In addition, on December 22, 2017, the Tax Cuts and Jobs Act, or the TCJA, that significantly reforms the IRC was enacted. The TCJA, among other things, includes changes to U.S. federal tax rates, imposes significant additional limitations on the deductibility of certain expenses and adds certain limitations to the use of net operating loss carryforwards arising after December 31, 2017. Effective in 2022, the TCJA requires all U.S. companies to capitalize and subsequently amortize R&amp;D expenses that fall within the scope of Section 174 over five years for research activities conducted in the United States and over 15 years for research activities conducted outside of the United States, rather than deducting such costs in the year incurred for tax purposes. Although Congress may defer, modify or repeal this provision, potentially with retroactive effect, we have no assurance that Congress will take any action with respect to this provision. As of the fourth quarter of 2022, we have accounted for an estimate of the effects of the R&amp;D capitalization, based on interpretation of the law as currently enacted. To the extent that this provision is not deferred, modified or repealed, and once our available NOLs are fully utilized, we would incur an increase in our tax expenses and a decrease in our cash flows provided by operations.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We are a holding company with no operations of our own.</w:t>
      </w:r>
    </w:p>
    <w:p>
      <w:pPr>
        <w:spacing w:after="0" w:line="18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We are a holding company with no operations of our own. Accordingly, our ability to conduct our operations, service any debt that we may incur in the future and pay dividends, if any, is dependent upon the earnings from the business conducted by Protalix Ltd. The distribution of those earnings or advances or other distributions of funds by our subsidiary to us, as well as our receipt of such funds, are contingent upon the earnings of Protalix Ltd. and are subject to various business considerations and U.S. and Israeli laws. If Protalix Ltd. is unable to make sufficient distributions or advances to us, or if there are limitations on our ability to receive such distributions or advances, we may not have the cash resources necessary to conduct our corporate operations or service our debt which would have a material adverse effect on our business, results of operations and financial condition.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198"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color w:val="auto"/>
        </w:rPr>
        <w:t>Servicing our debt and settling conversion requests may require a significant amount of cash, and we may not have sufficient cash flow from our business to pay our debt. Furthermore, restrictive covenants governing our indebtedness may restrict our ability to raise additional capital.</w:t>
      </w:r>
    </w:p>
    <w:p>
      <w:pPr>
        <w:spacing w:after="0" w:line="134"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7"/>
          <w:szCs w:val="17"/>
          <w:color w:val="auto"/>
        </w:rPr>
        <w:t>We currently have outstanding $28.75 million aggregate principal amount of our 2024 Notes which are secured with a perfected lien on all of our assets. Under the terms of the indenture governing the 2024 Notes, or the 2024 Indenture, we are required to maintain a minimum cash balance of at least $7.5 million. Our ability to make payments with respect to the 2024 Notes and to satisfy any other debt obligations depends on our future operating performance and our ability to generate significant cash flow in the future, which will be affected by prevailing economic conditions and financial, business, competitive, legislative and regulatory factors as well as other factors affecting our company and industry, many of which are beyond our control. If, when required, we are unable to comply with the terms of the 2024 Notes, we may be required to adopt one or more alternatives, such as selling assets, restructuring debt or obtaining additional equity capital on terms that may be onerous or highly dilutive. In addition, certain terms of the 2024 Notes regarding the security interest or future indebtedness may restrict us from adopting any of these alternatives. We may be unable to obtain amendments and waivers of such restrictions. If there is a default of such notes, the note holders could, among other things, elect to declare all amounts owed immediately due and payable, which could cause all or a large portion of our available cash flow to be used to pay such amounts and thereby reduce the amount of cash available to pursue our business plans or force us into bankruptcy or liquidation, or, with respect to our indebtedness that is secured, result in the foreclosure on the assets that secure the debt, which would force us to relinquish rights to assets that we may believe are critical to our business. Any default on our debt will have a material adverse effect on our business, results of operations and financial condition.</w:t>
      </w:r>
    </w:p>
    <w:p>
      <w:pPr>
        <w:spacing w:after="0" w:line="135" w:lineRule="exact"/>
        <w:rPr>
          <w:sz w:val="20"/>
          <w:szCs w:val="20"/>
          <w:color w:val="auto"/>
        </w:rPr>
      </w:pPr>
    </w:p>
    <w:p>
      <w:pPr>
        <w:ind w:left="60" w:right="379"/>
        <w:spacing w:after="0" w:line="317" w:lineRule="auto"/>
        <w:rPr>
          <w:sz w:val="20"/>
          <w:szCs w:val="20"/>
          <w:color w:val="auto"/>
        </w:rPr>
      </w:pPr>
      <w:r>
        <w:rPr>
          <w:rFonts w:ascii="Times New Roman" w:cs="Times New Roman" w:eastAsia="Times New Roman" w:hAnsi="Times New Roman"/>
          <w:sz w:val="17"/>
          <w:szCs w:val="17"/>
          <w:b w:val="1"/>
          <w:bCs w:val="1"/>
          <w:color w:val="auto"/>
        </w:rPr>
        <w:t>Our significant level of indebtedness could adversely affect our business, results of operations and financial condition and prevent us from fulfilling our obligations under our convertible notes and our other indebtedness.</w:t>
      </w:r>
    </w:p>
    <w:p>
      <w:pPr>
        <w:spacing w:after="0" w:line="109" w:lineRule="exact"/>
        <w:rPr>
          <w:sz w:val="20"/>
          <w:szCs w:val="20"/>
          <w:color w:val="auto"/>
        </w:rPr>
      </w:pPr>
    </w:p>
    <w:p>
      <w:pPr>
        <w:jc w:val="both"/>
        <w:ind w:left="60" w:right="339"/>
        <w:spacing w:after="0" w:line="266" w:lineRule="auto"/>
        <w:rPr>
          <w:sz w:val="20"/>
          <w:szCs w:val="20"/>
          <w:color w:val="auto"/>
        </w:rPr>
      </w:pPr>
      <w:r>
        <w:rPr>
          <w:rFonts w:ascii="Times New Roman" w:cs="Times New Roman" w:eastAsia="Times New Roman" w:hAnsi="Times New Roman"/>
          <w:sz w:val="18"/>
          <w:szCs w:val="18"/>
          <w:color w:val="auto"/>
        </w:rPr>
        <w:t>Our 2024 Notes represent a significant amount of indebtedness with substantial debt service requirements. We may also incur additional indebtedness to meet future financing needs. Our substantial indebtedness could have material adverse effects on our business, results of operations and financial condition. For example, it could:</w:t>
      </w:r>
    </w:p>
    <w:p>
      <w:pPr>
        <w:spacing w:after="0" w:line="135" w:lineRule="exact"/>
        <w:rPr>
          <w:sz w:val="20"/>
          <w:szCs w:val="20"/>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financial obligations, including with respect to the 2024 Notes;</w:t>
      </w:r>
    </w:p>
    <w:p>
      <w:pPr>
        <w:spacing w:after="0" w:line="184" w:lineRule="exact"/>
        <w:rPr>
          <w:rFonts w:ascii="Times New Roman" w:cs="Times New Roman" w:eastAsia="Times New Roman" w:hAnsi="Times New Roman"/>
          <w:sz w:val="18"/>
          <w:szCs w:val="18"/>
          <w:color w:val="auto"/>
        </w:rPr>
      </w:pPr>
    </w:p>
    <w:p>
      <w:pPr>
        <w:jc w:val="both"/>
        <w:ind w:left="1040" w:right="279" w:hanging="315"/>
        <w:spacing w:after="0" w:line="266"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an event of default under our outstanding convertible notes if we fail to comply with the financial and other restrictive covenants contained in agreements governing any future indebtedness, which event of default could result in all of our debt becoming immediately due and payable;</w:t>
      </w:r>
    </w:p>
    <w:p>
      <w:pPr>
        <w:spacing w:after="0" w:line="14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industry and competitive conditions;</w:t>
      </w:r>
    </w:p>
    <w:p>
      <w:pPr>
        <w:spacing w:after="0" w:line="184" w:lineRule="exact"/>
        <w:rPr>
          <w:rFonts w:ascii="Times New Roman" w:cs="Times New Roman" w:eastAsia="Times New Roman" w:hAnsi="Times New Roman"/>
          <w:sz w:val="18"/>
          <w:szCs w:val="18"/>
          <w:color w:val="auto"/>
        </w:rPr>
      </w:pPr>
    </w:p>
    <w:p>
      <w:pPr>
        <w:ind w:left="1040" w:right="219" w:hanging="315"/>
        <w:spacing w:after="0" w:line="266"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availability of our cash flow to fund working capital, capital expenditures, acquisitions and other general corporate purposes because we will be required to dedicate a substantial portion of our cash flow from operations to the payment of principal and interest on our indebtedness;</w:t>
      </w:r>
    </w:p>
    <w:p>
      <w:pPr>
        <w:spacing w:after="0" w:line="135" w:lineRule="exact"/>
        <w:rPr>
          <w:rFonts w:ascii="Times New Roman" w:cs="Times New Roman" w:eastAsia="Times New Roman" w:hAnsi="Times New Roman"/>
          <w:sz w:val="18"/>
          <w:szCs w:val="18"/>
          <w:color w:val="auto"/>
        </w:rPr>
      </w:pPr>
    </w:p>
    <w:p>
      <w:pPr>
        <w:ind w:left="1040" w:right="779" w:hanging="315"/>
        <w:spacing w:after="0" w:line="282"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and increasing our vulnerability to changes in our business, the industry in which we operate and the general economy;</w:t>
      </w:r>
    </w:p>
    <w:p>
      <w:pPr>
        <w:spacing w:after="0" w:line="134" w:lineRule="exact"/>
        <w:rPr>
          <w:rFonts w:ascii="Times New Roman" w:cs="Times New Roman" w:eastAsia="Times New Roman" w:hAnsi="Times New Roman"/>
          <w:sz w:val="18"/>
          <w:szCs w:val="18"/>
          <w:color w:val="auto"/>
        </w:rPr>
      </w:pPr>
    </w:p>
    <w:p>
      <w:pPr>
        <w:ind w:left="1040" w:right="239" w:hanging="315"/>
        <w:spacing w:after="0" w:line="266"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from raising funds necessary to purchase 2024 Notes surrendered to us by holders upon a fundamental change (as described in the 2024 Indenture governing the notes), which failure would result in an event of default with respect to the 2024 Notes;</w:t>
      </w:r>
    </w:p>
    <w:p>
      <w:pPr>
        <w:spacing w:after="0" w:line="135" w:lineRule="exact"/>
        <w:rPr>
          <w:rFonts w:ascii="Times New Roman" w:cs="Times New Roman" w:eastAsia="Times New Roman" w:hAnsi="Times New Roman"/>
          <w:sz w:val="18"/>
          <w:szCs w:val="18"/>
          <w:color w:val="auto"/>
        </w:rPr>
      </w:pPr>
    </w:p>
    <w:p>
      <w:pPr>
        <w:jc w:val="both"/>
        <w:ind w:left="1040" w:right="319" w:hanging="315"/>
        <w:spacing w:after="0" w:line="266"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competitors that have less indebtedness or are less highly leveraged and that, therefore, may be able to take advantage of opportunities that our debt levels or leverage prevent us from exploiting; and</w:t>
      </w:r>
    </w:p>
    <w:p>
      <w:pPr>
        <w:spacing w:after="0" w:line="13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obtain additional financing.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Each of these factors may have a material and adverse effect on our business, results of operations and financial condition and our ability to meet our payment obligations under the 2024 Notes and our other indebtedness.</w:t>
      </w:r>
    </w:p>
    <w:p>
      <w:pPr>
        <w:spacing w:after="0" w:line="131"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color w:val="auto"/>
        </w:rPr>
        <w:t>We are required to comply with a number of covenants under the 2024 Indenture governing our outstanding 2024 Notes that could hinder our growth.</w:t>
      </w:r>
    </w:p>
    <w:p>
      <w:pPr>
        <w:spacing w:after="0" w:line="118"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2024 Indenture contains a number of restrictive affirmative and negative covenants, which limit our ability to incur additional debt; exceed certain limits; pay dividends or distributions; or merge, consolidate or dispose of substantially all of our assets, including all of our intellectual property assets and other material assets securing the 2024 Notes. A breach of these covenants could result in default, and if such default is not cured or waived, the holders of the indebtedness could, among other things, elect to declare all amounts owed immediately due and payable, which could cause all or a large portion of our available cash flow to be used to pay such amounts and thereby reduce the amount of cash available to pursue our business plans or force us into bankruptcy or liquidation, or, result in the foreclosure on the assets that secure the debt, including all of our intellectual property assets, which would force us to relinquish rights to such assets that we may believe are critical to our business. We may not be able to engage in any of these activities or engage in these activities on desirable terms, which could result in a default on our debt obligations. Any default on our debt will have a material adverse effect on our business, results of operations and financial condition.</w:t>
      </w:r>
    </w:p>
    <w:p>
      <w:pPr>
        <w:spacing w:after="0" w:line="147"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color w:val="auto"/>
        </w:rPr>
        <w:t>Any conversion of our outstanding 2024 Notes into common stock will dilute the ownership interest of our existing stockholders, including holders who had previously converted their notes.</w:t>
      </w:r>
    </w:p>
    <w:p>
      <w:pPr>
        <w:spacing w:after="0" w:line="132"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conversion of some or all of our 2024 Notes into shares of our common stock will dilute the ownership interests of our existing stockholders. Any sales in the public market of our common stock issuable upon such conversion could adversely affect prevailing market prices of our common stock. In addition, the existence of our outstanding 2024 Notes may encourage short selling by market participants because the conversion of 2024 Notes could depress the market price of our common stock.</w:t>
      </w:r>
    </w:p>
    <w:p>
      <w:pPr>
        <w:spacing w:after="0" w:line="139" w:lineRule="exact"/>
        <w:rPr>
          <w:sz w:val="20"/>
          <w:szCs w:val="20"/>
          <w:color w:val="auto"/>
        </w:rPr>
      </w:pPr>
    </w:p>
    <w:p>
      <w:pPr>
        <w:ind w:left="60" w:right="679"/>
        <w:spacing w:after="0" w:line="286" w:lineRule="auto"/>
        <w:rPr>
          <w:sz w:val="20"/>
          <w:szCs w:val="20"/>
          <w:color w:val="auto"/>
        </w:rPr>
      </w:pPr>
      <w:r>
        <w:rPr>
          <w:rFonts w:ascii="Times New Roman" w:cs="Times New Roman" w:eastAsia="Times New Roman" w:hAnsi="Times New Roman"/>
          <w:sz w:val="18"/>
          <w:szCs w:val="18"/>
          <w:b w:val="1"/>
          <w:bCs w:val="1"/>
          <w:color w:val="auto"/>
        </w:rPr>
        <w:t>The fundamental change purchase feature of our outstanding 2024 Notes may delay or prevent an otherwise beneficial attempt to take over our company.</w:t>
      </w:r>
    </w:p>
    <w:p>
      <w:pPr>
        <w:spacing w:after="0" w:line="118" w:lineRule="exact"/>
        <w:rPr>
          <w:sz w:val="20"/>
          <w:szCs w:val="20"/>
          <w:color w:val="auto"/>
        </w:rPr>
      </w:pPr>
    </w:p>
    <w:p>
      <w:pPr>
        <w:ind w:left="60" w:right="79"/>
        <w:spacing w:after="0" w:line="289" w:lineRule="auto"/>
        <w:rPr>
          <w:sz w:val="20"/>
          <w:szCs w:val="20"/>
          <w:color w:val="auto"/>
        </w:rPr>
      </w:pPr>
      <w:r>
        <w:rPr>
          <w:rFonts w:ascii="Times New Roman" w:cs="Times New Roman" w:eastAsia="Times New Roman" w:hAnsi="Times New Roman"/>
          <w:sz w:val="17"/>
          <w:szCs w:val="17"/>
          <w:color w:val="auto"/>
        </w:rPr>
        <w:t>The terms of our outstanding 2024 Notes require us to offer to purchase the notes for cash in the event of a fundamental change. A non-stock takeover of our company may trigger the requirement that we purchase the notes. This feature may have the effect of delaying or preventing a takeover of our company that would otherwise be beneficial to our stockholders.</w:t>
      </w:r>
    </w:p>
    <w:p>
      <w:pPr>
        <w:spacing w:after="0" w:line="127" w:lineRule="exact"/>
        <w:rPr>
          <w:sz w:val="20"/>
          <w:szCs w:val="20"/>
          <w:color w:val="auto"/>
        </w:rPr>
      </w:pPr>
    </w:p>
    <w:p>
      <w:pPr>
        <w:ind w:left="60" w:right="659"/>
        <w:spacing w:after="0" w:line="286" w:lineRule="auto"/>
        <w:rPr>
          <w:sz w:val="20"/>
          <w:szCs w:val="20"/>
          <w:color w:val="auto"/>
        </w:rPr>
      </w:pPr>
      <w:r>
        <w:rPr>
          <w:rFonts w:ascii="Times New Roman" w:cs="Times New Roman" w:eastAsia="Times New Roman" w:hAnsi="Times New Roman"/>
          <w:sz w:val="18"/>
          <w:szCs w:val="18"/>
          <w:b w:val="1"/>
          <w:bCs w:val="1"/>
          <w:color w:val="auto"/>
        </w:rPr>
        <w:t>We may fail to meet the continued market capitalization-based listing requirement or other continued listing requirements of the NYSE American.</w:t>
      </w:r>
    </w:p>
    <w:p>
      <w:pPr>
        <w:spacing w:after="0" w:line="118"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The stock market in general, and the market for pharmaceutical companies in particular, have experienced extreme price and volume fluctuations that may have been unrelated or disproportionate to the operating performance of the listed companies. The trading price of our common stock has been volatile and has been subject to wide price fluctuations in response to various factors, many of which are beyond our control. The volatility of our stock price has from time to time in recent periods affected our market capitalization. Adverse fluctuations in the price per share of our common stock or our market capitalization may result in our failure to meet the continued listing requirements of the NYSE American, which would require us to take steps to gain compliance with alternate listing standards or take remedial steps to bring us into compliance. A failure to maintain or regain compliance with applicable listing standards could adversely affect the liquidity of our common stock and could result in an event of default under the 2024 Indenture, which would have a material adverse effect on our business, results of operations and financial condition.</w:t>
      </w:r>
    </w:p>
    <w:p>
      <w:pPr>
        <w:spacing w:after="0" w:line="150" w:lineRule="exact"/>
        <w:rPr>
          <w:sz w:val="20"/>
          <w:szCs w:val="20"/>
          <w:color w:val="auto"/>
        </w:rPr>
      </w:pPr>
    </w:p>
    <w:p>
      <w:pPr>
        <w:ind w:left="60" w:right="239"/>
        <w:spacing w:after="0" w:line="317" w:lineRule="auto"/>
        <w:rPr>
          <w:sz w:val="20"/>
          <w:szCs w:val="20"/>
          <w:color w:val="auto"/>
        </w:rPr>
      </w:pPr>
      <w:r>
        <w:rPr>
          <w:rFonts w:ascii="Times New Roman" w:cs="Times New Roman" w:eastAsia="Times New Roman" w:hAnsi="Times New Roman"/>
          <w:sz w:val="17"/>
          <w:szCs w:val="17"/>
          <w:b w:val="1"/>
          <w:bCs w:val="1"/>
          <w:color w:val="auto"/>
        </w:rPr>
        <w:t>We currently have no significant product revenues and need to raise additional capital to operate our business, which may not be available on favorable terms, or at all, and which will have a dilutive effect on our stockholders.</w:t>
      </w:r>
    </w:p>
    <w:p>
      <w:pPr>
        <w:spacing w:after="0" w:line="10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To date, we have not generated significant revenues from product sales and only minimal revenues from research and development services and other fees, other than the milestone and other payments we have received in connection with our agreements with Pfizer and Chiesi. For the years ended December 31, 2022, 2021 and 2020, we had net losses from continuing operations of $14.9 million, $27.6 million and $6.5 million, respectively, primarily as a result of expenses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incurred through a combination of research and development activities and expenses supporting those activities, which includes share-based compensation expense. Drug development and commercialization is very capital intensive. We fund all of our operations and capital expenditures from the revenues we generate from licensing fees and grants, the net proceeds of equity and debt offerings and other sources. In addition, changes may occur that could consume our existing capital at a faster rate than projected, including, among others, the cost and timing of regulatory approvals, changes in the progress of our research and development efforts and the costs of protecting our intellectual property rights.</w:t>
      </w:r>
    </w:p>
    <w:p>
      <w:pPr>
        <w:spacing w:after="0" w:line="160" w:lineRule="exact"/>
        <w:rPr>
          <w:sz w:val="20"/>
          <w:szCs w:val="20"/>
          <w:color w:val="auto"/>
        </w:rPr>
      </w:pPr>
    </w:p>
    <w:p>
      <w:pPr>
        <w:ind w:left="60" w:right="59"/>
        <w:spacing w:after="0" w:line="272" w:lineRule="auto"/>
        <w:rPr>
          <w:sz w:val="20"/>
          <w:szCs w:val="20"/>
          <w:color w:val="auto"/>
        </w:rPr>
      </w:pPr>
      <w:r>
        <w:rPr>
          <w:rFonts w:ascii="Times New Roman" w:cs="Times New Roman" w:eastAsia="Times New Roman" w:hAnsi="Times New Roman"/>
          <w:sz w:val="17"/>
          <w:szCs w:val="17"/>
          <w:color w:val="auto"/>
        </w:rPr>
        <w:t>We will need to finance our future cash needs through corporate collaboration, licensing or similar arrangements, public or private equity offerings or debt financings. If we are unable to secure additional financing in the future on acceptable terms, or at all, we may be unable to commence or complete planned preclinical and clinical trials or obtain approval of our drug candidates from the FDA and other regulatory authorities. In addition, we may be forced to reduce or discontinue product development or product licensing, reduce or forego sales and marketing efforts and other commercialization activities or forego attractive business opportunities in order to improve our liquidity and to enable us to continue operations which would have a material adverse effect on our business and results of operations. Furthermore, any additional source of financing will likely involve the issuance of our equity securities, which will have a dilutive effect on our stockholders.</w:t>
      </w:r>
    </w:p>
    <w:p>
      <w:pPr>
        <w:spacing w:after="0" w:line="127"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color w:val="auto"/>
        </w:rPr>
        <w:t>We are not currently profitable and delays in achieving profitability, if at all, will have a material adverse effect on our business and results of operations and could negatively impact the value of our common stock.</w:t>
      </w:r>
    </w:p>
    <w:p>
      <w:pPr>
        <w:spacing w:after="0" w:line="118"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We may incur losses for the foreseeable future. We expect to continue to incur significant operating expenditures, and we anticipate that our expenses will increase in the foreseeable future as we:</w:t>
      </w:r>
    </w:p>
    <w:p>
      <w:pPr>
        <w:spacing w:after="0" w:line="135" w:lineRule="exact"/>
        <w:rPr>
          <w:sz w:val="20"/>
          <w:szCs w:val="20"/>
          <w:color w:val="auto"/>
        </w:rPr>
      </w:pP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undertake preclinical development and clinical trials for our current and new drug candidates;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our drug candidates; and</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in-license additional technologies.</w:t>
      </w:r>
    </w:p>
    <w:p>
      <w:pPr>
        <w:spacing w:after="0" w:line="198"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We also may continue to experience negative cash flow for the foreseeable future as we fund our operating losses and capital expenditures. As a result, we will need to generate significant revenues in order to achieve and maintain profitability. We may not be able to generate these revenues or achieve profitability in the foreseeable future, if at all. Delays in achieving profitability, or subsequent failures to maintain profitability, will have a material adverse effect on our business and results of operations and could negatively impact the value of our common stock.</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Drug Products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There has been continued non-compliance with the terms and conditions of the Brazil Agreement.</w:t>
      </w:r>
    </w:p>
    <w:p>
      <w:pPr>
        <w:spacing w:after="0" w:line="202" w:lineRule="exact"/>
        <w:rPr>
          <w:sz w:val="20"/>
          <w:szCs w:val="20"/>
          <w:color w:val="auto"/>
        </w:rPr>
      </w:pPr>
    </w:p>
    <w:p>
      <w:pPr>
        <w:ind w:left="60" w:right="339"/>
        <w:spacing w:after="0" w:line="261" w:lineRule="auto"/>
        <w:rPr>
          <w:sz w:val="20"/>
          <w:szCs w:val="20"/>
          <w:color w:val="auto"/>
        </w:rPr>
      </w:pPr>
      <w:r>
        <w:rPr>
          <w:rFonts w:ascii="Times New Roman" w:cs="Times New Roman" w:eastAsia="Times New Roman" w:hAnsi="Times New Roman"/>
          <w:sz w:val="18"/>
          <w:szCs w:val="18"/>
          <w:color w:val="auto"/>
        </w:rPr>
        <w:t>We do not control and may not be able to effectively influence Fiocruz’s ability to distribute BioManguinhos alfataliglicerase in Brazil. Any failure by Fiocruz to comply with the purchase requirements of the Brazil Agreement, or any other material breach by Fiocruz of the agreement, may have a material adverse effect on our business, results of operations and financial condition.</w:t>
      </w:r>
    </w:p>
    <w:p>
      <w:pPr>
        <w:spacing w:after="0" w:line="13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We face the risk of lower than anticipated purchases of BioManguinhos alfataliglicerase by the Brazilian MoH. In addition, we may fail to supply the intended amounts on time, if at all. We also cannot accurately predict the amount of revenues we will generate under the Brazil Agreement in future periods, if any. Any failure by the Brazilian MoH to purchase BioManguinhos alfataliglicerase, by us to supply BioManguinhos alfataliglicerase for purchase or by Fiocruz to distribute BioManguinhos alfataliglicerase in Brazil, or the experience of significant delays in any of the foregoing, may have a material adverse effect on our business, results of operations and financial condition.</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We have limited experience in selling, marketing or distributing products and limited internal capability to do so.</w:t>
      </w:r>
    </w:p>
    <w:p>
      <w:pPr>
        <w:spacing w:after="0" w:line="202"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We currently have very limited sales, marketing or distribution capabilities and no experience in building a sales force and distribution capabilities. Under our arrangements with Pfizer and Chiesi, we have out-licensed the marketing rights to Elelyso and pegunigalsidase alfa, except that we retained the marketing rights to BioManguinhos alfataliglicerase in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Brazil. We have not licensed the marketing or commercialization rights to any of our other product candidates to any party. The commercialization of a drug product requires that we commit significant financial and managerial resources to develop a marketing and sales force with technical expertise and with supporting distribution capabilities. We may elect to pursue arrangements regarding the sales and marketing and distribution of one or more of our other product candidates. Our future revenues may depend, in part, on our ability to enter into and maintain arrangements with our existing partners and other companies having sales, marketing and distribution capabilities and the ability of such companies to successfully market and pharmaceutical products on a global scale. Commercialization, marketing, distribution and other similar alliances with respect to our product and product candidate will subject us to a number of risks, including the following:</w:t>
      </w:r>
    </w:p>
    <w:p>
      <w:pPr>
        <w:spacing w:after="0" w:line="165" w:lineRule="exact"/>
        <w:rPr>
          <w:sz w:val="20"/>
          <w:szCs w:val="20"/>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relinquish important rights to our products or product candidates;</w:t>
      </w:r>
    </w:p>
    <w:p>
      <w:pPr>
        <w:spacing w:after="0" w:line="184"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our distributors or collaborators may devote to the commercialization of our product candidates;</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distributors or collaborators may experience financial difficulties;</w:t>
      </w:r>
    </w:p>
    <w:p>
      <w:pPr>
        <w:spacing w:after="0" w:line="198" w:lineRule="exact"/>
        <w:rPr>
          <w:rFonts w:ascii="Times New Roman" w:cs="Times New Roman" w:eastAsia="Times New Roman" w:hAnsi="Times New Roman"/>
          <w:sz w:val="18"/>
          <w:szCs w:val="18"/>
          <w:color w:val="auto"/>
        </w:rPr>
      </w:pPr>
    </w:p>
    <w:p>
      <w:pPr>
        <w:ind w:left="1040" w:right="319" w:hanging="315"/>
        <w:spacing w:after="0" w:line="282"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distributors or collaborators may not devote sufficient time to the marketing and sales of our products; and</w:t>
      </w:r>
    </w:p>
    <w:p>
      <w:pPr>
        <w:spacing w:after="0" w:line="121" w:lineRule="exact"/>
        <w:rPr>
          <w:rFonts w:ascii="Times New Roman" w:cs="Times New Roman" w:eastAsia="Times New Roman" w:hAnsi="Times New Roman"/>
          <w:sz w:val="18"/>
          <w:szCs w:val="18"/>
          <w:color w:val="auto"/>
        </w:rPr>
      </w:pPr>
    </w:p>
    <w:p>
      <w:pPr>
        <w:ind w:left="1040" w:right="439" w:hanging="315"/>
        <w:spacing w:after="0" w:line="282"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a collaborator’s business strategy may adversely affect a collaborator’s willingness or ability to complete its obligations under any arrangement.</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products directly and without strategic partners include:</w:t>
      </w:r>
    </w:p>
    <w:p>
      <w:pPr>
        <w:spacing w:after="0" w:line="198" w:lineRule="exact"/>
        <w:rPr>
          <w:sz w:val="20"/>
          <w:szCs w:val="20"/>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recruit and retain adequate numbers of effective sales and marketing personnel;</w:t>
      </w:r>
    </w:p>
    <w:p>
      <w:pPr>
        <w:spacing w:after="0" w:line="184"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an adequate number of physicians or to pursuade them to prescribe our products;</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and</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w:t>
      </w:r>
    </w:p>
    <w:p>
      <w:pPr>
        <w:spacing w:after="0" w:line="185"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We may not be successful in recruiting or retaining the sales and marketing personnel necessary to sell BioManguinhos alfataliglicerase in Brazil or any of our products upon approval, if at all, which would have a material adverse effect on our business, results of operations and financial condition.</w:t>
      </w:r>
    </w:p>
    <w:p>
      <w:pPr>
        <w:spacing w:after="0" w:line="131" w:lineRule="exact"/>
        <w:rPr>
          <w:sz w:val="20"/>
          <w:szCs w:val="20"/>
          <w:color w:val="auto"/>
        </w:rPr>
      </w:pPr>
    </w:p>
    <w:p>
      <w:pPr>
        <w:jc w:val="both"/>
        <w:ind w:left="60" w:right="179"/>
        <w:spacing w:after="0" w:line="268" w:lineRule="auto"/>
        <w:rPr>
          <w:sz w:val="20"/>
          <w:szCs w:val="20"/>
          <w:color w:val="auto"/>
        </w:rPr>
      </w:pPr>
      <w:r>
        <w:rPr>
          <w:rFonts w:ascii="Times New Roman" w:cs="Times New Roman" w:eastAsia="Times New Roman" w:hAnsi="Times New Roman"/>
          <w:sz w:val="18"/>
          <w:szCs w:val="18"/>
          <w:b w:val="1"/>
          <w:bCs w:val="1"/>
          <w:color w:val="auto"/>
        </w:rPr>
        <w:t>If physicians, patients, third party payors and others in the medical community do not accept and use taliglucerase alfa, pegunigalsidase alfa or any of our other product candidates, if approved, our ability to generate revenue from product sales will be materially impaired.</w:t>
      </w:r>
    </w:p>
    <w:p>
      <w:pPr>
        <w:spacing w:after="0" w:line="148" w:lineRule="exact"/>
        <w:rPr>
          <w:sz w:val="20"/>
          <w:szCs w:val="20"/>
          <w:color w:val="auto"/>
        </w:rPr>
      </w:pPr>
    </w:p>
    <w:p>
      <w:pPr>
        <w:ind w:left="60" w:right="539"/>
        <w:spacing w:after="0" w:line="266" w:lineRule="auto"/>
        <w:rPr>
          <w:sz w:val="20"/>
          <w:szCs w:val="20"/>
          <w:color w:val="auto"/>
        </w:rPr>
      </w:pPr>
      <w:r>
        <w:rPr>
          <w:rFonts w:ascii="Times New Roman" w:cs="Times New Roman" w:eastAsia="Times New Roman" w:hAnsi="Times New Roman"/>
          <w:sz w:val="18"/>
          <w:szCs w:val="18"/>
          <w:color w:val="auto"/>
        </w:rPr>
        <w:t>Physicians and patients, and other healthcare providers, may not accept and use any of our products or any product candidates, if approved for marketing. Future acceptance and use of any of our products or any product candidates, if approved, will depend upon a number of factors including:</w:t>
      </w:r>
    </w:p>
    <w:p>
      <w:pPr>
        <w:spacing w:after="0" w:line="135" w:lineRule="exact"/>
        <w:rPr>
          <w:sz w:val="20"/>
          <w:szCs w:val="20"/>
          <w:color w:val="auto"/>
        </w:rPr>
      </w:pPr>
    </w:p>
    <w:p>
      <w:pPr>
        <w:ind w:left="1040" w:right="199" w:hanging="315"/>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by physicians, patients, third party payors and others in the medical community about the safety and effectiveness of taliglucerase alfa, pegunigalsidase alfa or our other drug candidates;</w:t>
      </w:r>
    </w:p>
    <w:p>
      <w:pPr>
        <w:spacing w:after="0" w:line="121" w:lineRule="exact"/>
        <w:rPr>
          <w:rFonts w:ascii="Times New Roman" w:cs="Times New Roman" w:eastAsia="Times New Roman" w:hAnsi="Times New Roman"/>
          <w:sz w:val="18"/>
          <w:szCs w:val="18"/>
          <w:color w:val="auto"/>
        </w:rPr>
      </w:pPr>
    </w:p>
    <w:p>
      <w:pPr>
        <w:ind w:left="1040" w:right="539" w:hanging="315"/>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34" w:lineRule="exact"/>
        <w:rPr>
          <w:rFonts w:ascii="Times New Roman" w:cs="Times New Roman" w:eastAsia="Times New Roman" w:hAnsi="Times New Roman"/>
          <w:sz w:val="18"/>
          <w:szCs w:val="18"/>
          <w:color w:val="auto"/>
        </w:rPr>
      </w:pPr>
    </w:p>
    <w:p>
      <w:pPr>
        <w:ind w:left="1040" w:right="639" w:hanging="315"/>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including any limitations or warnings contained in our products’ approved labeling;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299" w:hanging="315"/>
        <w:spacing w:after="0" w:line="28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pharmacological benefits of taliglucerase alfa, pegunigalsidase alfa or our other drug candidates relative to competing products and products under development;</w:t>
      </w:r>
    </w:p>
    <w:p>
      <w:pPr>
        <w:spacing w:after="0" w:line="13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relative to competing products and products under development;</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education, marketing and distribution efforts by us and our licensees and distributors, if any;</w:t>
      </w:r>
    </w:p>
    <w:p>
      <w:pPr>
        <w:spacing w:after="0" w:line="198" w:lineRule="exact"/>
        <w:rPr>
          <w:rFonts w:ascii="Times New Roman" w:cs="Times New Roman" w:eastAsia="Times New Roman" w:hAnsi="Times New Roman"/>
          <w:sz w:val="18"/>
          <w:szCs w:val="18"/>
          <w:color w:val="auto"/>
        </w:rPr>
      </w:pPr>
    </w:p>
    <w:p>
      <w:pPr>
        <w:ind w:left="1040" w:right="599" w:hanging="315"/>
        <w:spacing w:after="0" w:line="28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taliglucerase alfa, pegunigalsidase alfa or our other drug candidates or competing products and treatments;</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of our products by third party payors; and</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for our products and competing products.</w:t>
      </w:r>
    </w:p>
    <w:p>
      <w:pPr>
        <w:spacing w:after="0" w:line="198" w:lineRule="exact"/>
        <w:rPr>
          <w:sz w:val="20"/>
          <w:szCs w:val="20"/>
          <w:color w:val="auto"/>
        </w:rPr>
      </w:pPr>
    </w:p>
    <w:p>
      <w:pPr>
        <w:ind w:left="60" w:right="99"/>
        <w:spacing w:after="0" w:line="312" w:lineRule="auto"/>
        <w:rPr>
          <w:sz w:val="20"/>
          <w:szCs w:val="20"/>
          <w:color w:val="auto"/>
        </w:rPr>
      </w:pPr>
      <w:r>
        <w:rPr>
          <w:rFonts w:ascii="Times New Roman" w:cs="Times New Roman" w:eastAsia="Times New Roman" w:hAnsi="Times New Roman"/>
          <w:sz w:val="17"/>
          <w:szCs w:val="17"/>
          <w:color w:val="auto"/>
        </w:rPr>
        <w:t>A lack of market acceptance of BioManguinhos alfataliglicerase in Brazil, or globally for any of our other products candidates, if approved, would have a material adverse effect on our business, results of operations and financial condition.</w:t>
      </w:r>
    </w:p>
    <w:p>
      <w:pPr>
        <w:spacing w:after="0" w:line="95"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color w:val="auto"/>
        </w:rPr>
        <w:t>If the market opportunities for other product candidates, and for BioManguinhos alfataliglicerase in Brazil, are smaller than we believe they are, our revenues may be adversely affected and our business may suffer.</w:t>
      </w:r>
    </w:p>
    <w:p>
      <w:pPr>
        <w:spacing w:after="0" w:line="118"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To date, our development efforts have focused mainly on relatively rare disorders with small patient populations, in particular Gaucher disease and Fabry disease. Currently, most reported estimates of the prevalence of these diseases are based on studies of small subsets of the population of specific geographic areas, which are then extrapolated to estimate the prevalence of the diseases in the broader world population. As new studies are performed, the estimated prevalence of these diseases may change. There can be no assurance that the prevalence of Gaucher disease or Fabry disease in the study populations, particularly in these newer studies, accurately reflect the prevalence of these diseases in the broader world population. If the market opportunities for our current product candidates are smaller than we believe they are, our revenues may be adversely affected and our business may suffer.</w:t>
      </w:r>
    </w:p>
    <w:p>
      <w:pPr>
        <w:spacing w:after="0" w:line="161"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color w:val="auto"/>
        </w:rPr>
        <w:t>Coverage and reimbursement may not be available for one or more of our product candidates, if approved, in all territories, which could diminish our sales or affect our ability to sell any such products profitably.</w:t>
      </w:r>
    </w:p>
    <w:p>
      <w:pPr>
        <w:spacing w:after="0" w:line="118"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Market acceptance and sales of any one or more of our product candidates, if approved, will depend on coverage and reimbursement policies in the countries in which they are approved for sale. Government authorities and third-party payors, such as private health insurers and health maintenance organizations, decide which drugs they will pay for and establish reimbursement levels. Obtaining reimbursement approval for an approved product from governments and other third party payors is a time consuming and costly process that requires our collaborators or us, as the case may be, to provide supporting scientific, clinical and cost-effectiveness data for the use of our products, if and when approved, to every payor. We may not be able to provide data sufficient to gain acceptance with respect to coverage and reimbursement or we might need to conduct post-marketing studies in order to demonstrate the cost-effectiveness of approved products, if any, to such payors’ satisfaction. Such studies might require our collaborators or us to commit a significant amount of management time and financial and other resources. Even if a payor determines that an approved product is eligible for reimbursement, the payor may impose coverage limitations that preclude payment for some uses that are approved by the FDA or other regulatory authorities. In addition, full reimbursement may not be available for high priced products. Moreover, eligibility for coverage does not imply that any approved product will be reimbursed in all cases or at a rate that allows us to make a profit or even cover our costs. Limited reimbursement amounts may reduce the demand for, or the price of, our product candidates. If coverage and reimbursement are not available or are available only to limited levels, the sales of our products, if approved, may be diminished or we may not be able to sell such products profitably.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219"/>
        <w:spacing w:after="0" w:line="268" w:lineRule="auto"/>
        <w:rPr>
          <w:sz w:val="20"/>
          <w:szCs w:val="20"/>
          <w:color w:val="auto"/>
        </w:rPr>
      </w:pPr>
      <w:r>
        <w:rPr>
          <w:rFonts w:ascii="Times New Roman" w:cs="Times New Roman" w:eastAsia="Times New Roman" w:hAnsi="Times New Roman"/>
          <w:sz w:val="18"/>
          <w:szCs w:val="18"/>
          <w:b w:val="1"/>
          <w:bCs w:val="1"/>
          <w:color w:val="auto"/>
        </w:rPr>
        <w:t>We and our collaborating partners may be subject, directly or indirectly, to federal and state healthcare fraud and abuse and false claims laws and regulations. If we or our collaborating partners are unable to comply, or have not fully complied, with such laws, we could face substantial penalties.</w:t>
      </w:r>
    </w:p>
    <w:p>
      <w:pPr>
        <w:spacing w:after="0" w:line="148"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All marketing activities associated with drug products that are approved for sale in the United States, if any, will be, directly or indirectly through our customers, subject to numerous federal and state laws governing the marketing and promotion of pharmaceutical products in the United States, including, without limitation, the federal Anti-Kickback Law, the federal False Claims Act and HIPAA. These laws may adversely impact, among other things, our proposed sales, marketing and education programs.</w:t>
      </w:r>
    </w:p>
    <w:p>
      <w:pPr>
        <w:spacing w:after="0" w:line="143"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federal Anti-Kickback Law prohibits persons from knowingly and willfully soliciting, receiving, offering or paying remuneration, directly or indirectly, to induce either the referral of an individual, or the furnishing, recommending, or arranging for a good or service, for which payment may be made under a federal healthcare program, such as the Medicare and Medicaid programs. The term “remuneration” has been broadly interpreted to include anything of value, including for example, gifts, discounts, the furnishing of supplies or equipment, credit arrangements, payments of cash, waivers of co-payments and deductibles, ownership interests and providing anything at less than its fair market value. Despite a series of narrow safe harbors, the federal Anti-Kickback Law prohibits many arrangements and practices that are lawful in businesses outside of the healthcare industry. Penalties for violations of the federal Anti-Kickback Law include criminal penalties and civil sanctions such as fines, imprisonment and possible exclusion from Medicare, Medicaid and other state or federal healthcare programs. Many states have also adopted laws similar to the federal Anti-Kickback Law, some of which apply to the referral of patients for healthcare items or services reimbursed by any source, not only the Medicare and Medicaid programs, and do not contain identical safe harbors.</w:t>
      </w:r>
    </w:p>
    <w:p>
      <w:pPr>
        <w:spacing w:after="0" w:line="149"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The federal False Claims Act imposes liability on any person who, among other things, knowingly presents, or causes to be presented, a false or fraudulent claim for payment by a federal healthcare program. In addition, various states have enacted false claims laws analogous to the False Claims Act. Many of these state laws apply where a claim is submitted to any third-party payer and not merely a federal healthcare program. Violations of the federal False Claims Act and the analogous state laws may result in substantial financial penalties, some as much as three times the actual damages sustained by the government.</w:t>
      </w:r>
    </w:p>
    <w:p>
      <w:pPr>
        <w:spacing w:after="0" w:line="160"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HIPAA created several new federal crimes, including health care fraud, and false statements relating to health care matters. The health care fraud statute prohibits knowingly and willfully executing a scheme to defraud any health care benefit program, including private third-party payers. The false statements statute prohibits knowingly and willfully falsifying, concealing or covering up a material fact or making any materially false, fictitious or fraudulent statement in connection with the delivery of or payment for health care benefits, items or services.</w:t>
      </w:r>
    </w:p>
    <w:p>
      <w:pPr>
        <w:spacing w:after="0" w:line="143"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 are unable to predict whether we could be subject to actions under any of these or other fraud and abuse laws, or the impact of such actions. Moreover, to the extent that taliglucerase alfa, pegunigalsidase alfa or any of our product candidates, if approved for marketing, will be sold in a foreign country, we and our future collaborators may be subject to similar foreign laws and regulations. If we or any of our future collaborators are found to be in violation of any of the laws described above and other applicable state and federal fraud and abuse laws, we may be subject to penalties, including civil and criminal penalties, damages, fines, exclusion from government healthcare reimbursement programs and the curtailment or restructuring or our operations, any of which could have a material adverse effect on our business, results of operations and financial condition.</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Matters</w:t>
      </w:r>
    </w:p>
    <w:p>
      <w:pPr>
        <w:spacing w:after="0" w:line="198" w:lineRule="exact"/>
        <w:rPr>
          <w:sz w:val="20"/>
          <w:szCs w:val="20"/>
          <w:color w:val="auto"/>
        </w:rPr>
      </w:pPr>
    </w:p>
    <w:p>
      <w:pPr>
        <w:ind w:left="60" w:right="319"/>
        <w:spacing w:after="0" w:line="268" w:lineRule="auto"/>
        <w:rPr>
          <w:sz w:val="20"/>
          <w:szCs w:val="20"/>
          <w:color w:val="auto"/>
        </w:rPr>
      </w:pPr>
      <w:r>
        <w:rPr>
          <w:rFonts w:ascii="Times New Roman" w:cs="Times New Roman" w:eastAsia="Times New Roman" w:hAnsi="Times New Roman"/>
          <w:sz w:val="18"/>
          <w:szCs w:val="18"/>
          <w:b w:val="1"/>
          <w:bCs w:val="1"/>
          <w:color w:val="auto"/>
        </w:rPr>
        <w:t>The intellectual property and assets owned by our subsidiaries are subject to security agreements that secure our payment and other obligations under our convertible notes, and our subsidiaries have guaranteed all of those obligations.</w:t>
      </w:r>
    </w:p>
    <w:p>
      <w:pPr>
        <w:spacing w:after="0" w:line="134"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our 2024 Notes, we entered into new security agreements pursuant to which our subsidiaries provided first priority security interests in all of their assets, which consist of all of our intellectual property and other material assets. The security agreements secure certain payment, indemnification and other obligations under the 2024 Notes. If we were to default on certain of our obligations, or in certain other circumstances generally related to</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a bankruptcy or insolvency, holders of our outstanding 2024 Notes could seek to foreclose on the collateral under the security agreements to obtain satisfaction of our obligations, and our business could be materially and adversely impacted, which would in turn have a material adverse effect on our results of operations and financial condition.</w:t>
      </w:r>
    </w:p>
    <w:p>
      <w:pPr>
        <w:spacing w:after="0" w:line="149"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Furthermore, in connection with the issuance of the 2024 Notes, our subsidiaries guaranteed all of our obligations under the 2024 Indenture. If we were to default on our obligations under the 2024 Indenture, the holders could require our subsidiaries to satisfy all of those obligations under the guarantees.</w:t>
      </w:r>
    </w:p>
    <w:p>
      <w:pPr>
        <w:spacing w:after="0" w:line="131" w:lineRule="exact"/>
        <w:rPr>
          <w:sz w:val="20"/>
          <w:szCs w:val="20"/>
          <w:color w:val="auto"/>
        </w:rPr>
      </w:pPr>
    </w:p>
    <w:p>
      <w:pPr>
        <w:ind w:left="60" w:right="99"/>
        <w:spacing w:after="0" w:line="268" w:lineRule="auto"/>
        <w:rPr>
          <w:sz w:val="20"/>
          <w:szCs w:val="20"/>
          <w:color w:val="auto"/>
        </w:rPr>
      </w:pPr>
      <w:r>
        <w:rPr>
          <w:rFonts w:ascii="Times New Roman" w:cs="Times New Roman" w:eastAsia="Times New Roman" w:hAnsi="Times New Roman"/>
          <w:sz w:val="18"/>
          <w:szCs w:val="18"/>
          <w:b w:val="1"/>
          <w:bCs w:val="1"/>
          <w:color w:val="auto"/>
        </w:rPr>
        <w:t>If we fail to adequately protect or enforce our intellectual property rights or secure rights to third party patents, the value of our intellectual property rights would diminish and our business, competitive position and results of operations would suffer.</w:t>
      </w:r>
    </w:p>
    <w:p>
      <w:pPr>
        <w:spacing w:after="0" w:line="134"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As of December 31, 2022, we had more than 30 pending patent applications. However, the filing of a patent application does not mean that we will be issued a patent, or that any patent eventually issued will be as broad as requested in the patent application or sufficient to protect our technology. Any modification required to a current patent application may delay the approval of such patent application which would have a material adverse effect on our business, results of operations and financial condition. In addition, there are a number of factors that could cause our patents, if granted, to become invalid or unenforceable or that could cause our patent applications to not be granted, including known or unknown prior art, deficiencies in the patent application or the lack of originality of the technology. Our competitive position and future revenues will depend in part on our ability and the ability of our licensors and collaborators to obtain and maintain patent protection for our products, methods, processes and other technologies, to preserve our trade secrets, to prevent third parties from infringing on our proprietary rights and to operate without infringing the proprietary rights of third parties. We have filed U.S. and international patent applications for process patents, as well as composition of matter patents, for taliglucerase alfa, pegunigalsidase alfa and our product candidates. However, we cannot predict:</w:t>
      </w:r>
    </w:p>
    <w:p>
      <w:pPr>
        <w:spacing w:after="0" w:line="163" w:lineRule="exact"/>
        <w:rPr>
          <w:sz w:val="20"/>
          <w:szCs w:val="20"/>
          <w:color w:val="auto"/>
        </w:rPr>
      </w:pPr>
    </w:p>
    <w:p>
      <w:pPr>
        <w:jc w:val="both"/>
        <w:ind w:left="1040" w:right="79" w:hanging="315"/>
        <w:spacing w:after="0" w:line="266"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range of protection any patents will afford us against competitors and those who infringe upon our patents, including whether third parties will find ways to invalidate or otherwise circumvent our licensed patents;</w:t>
      </w:r>
    </w:p>
    <w:p>
      <w:pPr>
        <w:spacing w:after="0" w:line="13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patents will issue;</w:t>
      </w:r>
    </w:p>
    <w:p>
      <w:pPr>
        <w:spacing w:after="0" w:line="184" w:lineRule="exact"/>
        <w:rPr>
          <w:rFonts w:ascii="Times New Roman" w:cs="Times New Roman" w:eastAsia="Times New Roman" w:hAnsi="Times New Roman"/>
          <w:sz w:val="18"/>
          <w:szCs w:val="18"/>
          <w:color w:val="auto"/>
        </w:rPr>
      </w:pPr>
    </w:p>
    <w:p>
      <w:pPr>
        <w:ind w:left="1040" w:right="359" w:hanging="315"/>
        <w:spacing w:after="0" w:line="28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others will obtain patents claiming aspects similar to those covered by our licensed patents and patent applications; or</w:t>
      </w:r>
    </w:p>
    <w:p>
      <w:pPr>
        <w:spacing w:after="0" w:line="134" w:lineRule="exact"/>
        <w:rPr>
          <w:rFonts w:ascii="Times New Roman" w:cs="Times New Roman" w:eastAsia="Times New Roman" w:hAnsi="Times New Roman"/>
          <w:sz w:val="18"/>
          <w:szCs w:val="18"/>
          <w:color w:val="auto"/>
        </w:rPr>
      </w:pPr>
    </w:p>
    <w:p>
      <w:pPr>
        <w:ind w:left="1040" w:right="339" w:hanging="315"/>
        <w:spacing w:after="0" w:line="28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need to initiate litigation or administrative proceedings, which may be costly, whether we win or lose.</w:t>
      </w:r>
    </w:p>
    <w:p>
      <w:pPr>
        <w:spacing w:after="0" w:line="121"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As of December 31, 2022, we held, or had license rights to, more than 80 patents. If patent rights covering our products or technologies are not sufficiently broad, they may not provide us with sufficient proprietary protection or competitive advantages against competitors with similar products and technologies. Furthermore, if the USPTO or foreign patent offices issue patents to us or our licensors, others may challenge the patents or circumvent the patents, or the patent office or the courts may invalidate the patents. Thus, any patents we own or license from or to third parties may not provide any protection against our competitors and those who infringe upon our patents.</w:t>
      </w:r>
    </w:p>
    <w:p>
      <w:pPr>
        <w:spacing w:after="0" w:line="147" w:lineRule="exact"/>
        <w:rPr>
          <w:sz w:val="20"/>
          <w:szCs w:val="20"/>
          <w:color w:val="auto"/>
        </w:rPr>
      </w:pPr>
    </w:p>
    <w:p>
      <w:pPr>
        <w:jc w:val="both"/>
        <w:ind w:left="60" w:right="179"/>
        <w:spacing w:after="0" w:line="266" w:lineRule="auto"/>
        <w:rPr>
          <w:sz w:val="20"/>
          <w:szCs w:val="20"/>
          <w:color w:val="auto"/>
        </w:rPr>
      </w:pPr>
      <w:r>
        <w:rPr>
          <w:rFonts w:ascii="Times New Roman" w:cs="Times New Roman" w:eastAsia="Times New Roman" w:hAnsi="Times New Roman"/>
          <w:sz w:val="18"/>
          <w:szCs w:val="18"/>
          <w:color w:val="auto"/>
        </w:rPr>
        <w:t>Furthermore, the life of our patents is limited. The patents we hold, and the patents that may be issued in the future based on patent applications from the patent families, relating to our ProCellEx protein expression system are expected to expire by 2025.</w:t>
      </w:r>
    </w:p>
    <w:p>
      <w:pPr>
        <w:spacing w:after="0" w:line="145"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color w:val="auto"/>
        </w:rPr>
        <w:t>We rely on confidentiality agreements that could be breached and may be difficult to enforce which could have a material adverse effect on our business and competitive position.</w:t>
      </w:r>
    </w:p>
    <w:p>
      <w:pPr>
        <w:spacing w:after="0" w:line="118"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Our policy is to enter agreements relating to the non-disclosure of confidential information with third parties, including our contractors, consultants, advisors and research collaborators, as well as agreements that purport to require the disclosure and assignment to us of the rights to the ideas, developments, discoveries and inventions of our employees and consultants while we employ them. However, these agreements can be difficult and costly to enforce. Moreover, to</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the extent that our contractors, consultants, advisors and research collaborators apply or independently develop intellectual property in connection with any of our projects, disputes may arise as to the proprietary rights to the intellectual property. If a dispute arises, a court may determine that the right belongs to a third party, and enforcement of our rights can be costly and unpredictable. In addition, we rely on trade secrets and proprietary know-how that we seek to protect in part by confidentiality agreements with our employees, contractors, consultants, advisors and others. Despite the protective measures we employ, we still face the risk that:</w:t>
      </w:r>
    </w:p>
    <w:p>
      <w:pPr>
        <w:spacing w:after="0" w:line="160" w:lineRule="exact"/>
        <w:rPr>
          <w:sz w:val="20"/>
          <w:szCs w:val="20"/>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agreements may be breached;</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agreements may not provide adequate remedies for the applicable type of breach; or</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trade secrets or proprietary know-how will otherwise become known.</w:t>
      </w:r>
    </w:p>
    <w:p>
      <w:pPr>
        <w:spacing w:after="0" w:line="198"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Any breach of our confidentiality agreements or our failure to effectively enforce such agreements may have a material adverse effect on our business and competitive position.</w:t>
      </w:r>
    </w:p>
    <w:p>
      <w:pPr>
        <w:spacing w:after="0" w:line="117" w:lineRule="exact"/>
        <w:rPr>
          <w:sz w:val="20"/>
          <w:szCs w:val="20"/>
          <w:color w:val="auto"/>
        </w:rPr>
      </w:pPr>
    </w:p>
    <w:p>
      <w:pPr>
        <w:ind w:left="60" w:right="219"/>
        <w:spacing w:after="0" w:line="268" w:lineRule="auto"/>
        <w:rPr>
          <w:sz w:val="20"/>
          <w:szCs w:val="20"/>
          <w:color w:val="auto"/>
        </w:rPr>
      </w:pPr>
      <w:r>
        <w:rPr>
          <w:rFonts w:ascii="Times New Roman" w:cs="Times New Roman" w:eastAsia="Times New Roman" w:hAnsi="Times New Roman"/>
          <w:sz w:val="18"/>
          <w:szCs w:val="18"/>
          <w:b w:val="1"/>
          <w:bCs w:val="1"/>
          <w:color w:val="auto"/>
        </w:rPr>
        <w:t>If we infringe the rights of third parties we could be prevented from selling products, forced to pay damages and required to defend against litigation which could result in substantial costs and may have a material adverse effect on our business, results of operations and financial condition.</w:t>
      </w:r>
    </w:p>
    <w:p>
      <w:pPr>
        <w:spacing w:after="0" w:line="134" w:lineRule="exact"/>
        <w:rPr>
          <w:sz w:val="20"/>
          <w:szCs w:val="20"/>
          <w:color w:val="auto"/>
        </w:rPr>
      </w:pPr>
    </w:p>
    <w:p>
      <w:pPr>
        <w:ind w:left="60" w:right="299"/>
        <w:spacing w:after="0" w:line="256" w:lineRule="auto"/>
        <w:rPr>
          <w:sz w:val="20"/>
          <w:szCs w:val="20"/>
          <w:color w:val="auto"/>
        </w:rPr>
      </w:pPr>
      <w:r>
        <w:rPr>
          <w:rFonts w:ascii="Times New Roman" w:cs="Times New Roman" w:eastAsia="Times New Roman" w:hAnsi="Times New Roman"/>
          <w:sz w:val="18"/>
          <w:szCs w:val="18"/>
          <w:color w:val="auto"/>
        </w:rPr>
        <w:t>We have not received to date any claims of infringement by any third parties. However, as our drug candidates progress into clinical trials and commercialization, if at all, our public profile and that of our drug candidates may be raised and generate such claims. Defending against such claims, and occurrence of a judgment adverse to us, could result in unanticipated costs and may have a material adverse effect on our business and competitive position. If our products, methods, processes and other technologies infringe the proprietary rights of other parties, we may incur substantial costs and we may have to:</w:t>
      </w:r>
    </w:p>
    <w:p>
      <w:pPr>
        <w:spacing w:after="0" w:line="160" w:lineRule="exact"/>
        <w:rPr>
          <w:sz w:val="20"/>
          <w:szCs w:val="20"/>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licenses, which may not be available on commercially reasonable terms, if at all;</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our products or processes to avoid infringement;</w:t>
      </w:r>
    </w:p>
    <w:p>
      <w:pPr>
        <w:spacing w:after="0" w:line="184" w:lineRule="exact"/>
        <w:rPr>
          <w:rFonts w:ascii="Times New Roman" w:cs="Times New Roman" w:eastAsia="Times New Roman" w:hAnsi="Times New Roman"/>
          <w:sz w:val="18"/>
          <w:szCs w:val="18"/>
          <w:color w:val="auto"/>
        </w:rPr>
      </w:pPr>
    </w:p>
    <w:p>
      <w:pPr>
        <w:ind w:left="1040" w:right="339" w:hanging="315"/>
        <w:spacing w:after="0" w:line="282"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using the subject matter claimed in the patents held by others, which could cause us to lose the use of one or more of our drug candidates;</w:t>
      </w:r>
    </w:p>
    <w:p>
      <w:pPr>
        <w:spacing w:after="0" w:line="134"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litigation or administrative proceedings that may be costly whether we win or lose, and which could result in a substantial diversion of management resources; or</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damages.</w:t>
      </w:r>
    </w:p>
    <w:p>
      <w:pPr>
        <w:spacing w:after="0" w:line="185"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Any costs incurred in connection with such events or the inability to sell our products may have a material adverse effect on our business, results of operations and financial condition.</w:t>
      </w:r>
    </w:p>
    <w:p>
      <w:pPr>
        <w:spacing w:after="0" w:line="131"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color w:val="auto"/>
        </w:rPr>
        <w:t>If we cannot meet requirements under our license agreements, we could lose the rights to our products, which could have a material adverse effect on our business.</w:t>
      </w:r>
    </w:p>
    <w:p>
      <w:pPr>
        <w:spacing w:after="0" w:line="118" w:lineRule="exact"/>
        <w:rPr>
          <w:sz w:val="20"/>
          <w:szCs w:val="20"/>
          <w:color w:val="auto"/>
        </w:rPr>
      </w:pPr>
    </w:p>
    <w:p>
      <w:pPr>
        <w:jc w:val="both"/>
        <w:ind w:left="60" w:right="179"/>
        <w:spacing w:after="0" w:line="258" w:lineRule="auto"/>
        <w:rPr>
          <w:sz w:val="20"/>
          <w:szCs w:val="20"/>
          <w:color w:val="auto"/>
        </w:rPr>
      </w:pPr>
      <w:r>
        <w:rPr>
          <w:rFonts w:ascii="Times New Roman" w:cs="Times New Roman" w:eastAsia="Times New Roman" w:hAnsi="Times New Roman"/>
          <w:sz w:val="18"/>
          <w:szCs w:val="18"/>
          <w:color w:val="auto"/>
        </w:rPr>
        <w:t>We depend on licensing agreements with third parties to maintain the intellectual property rights to certain of our product candidates. Our license agreements require us to make payments and satisfy performance obligations in order to maintain our rights under these agreements. All of these agreements last either throughout the life of the patents that are the subject of the agreements, or with respect to other licensed technology, for a number of years after the first commercial sale of the relevant product.</w:t>
      </w:r>
    </w:p>
    <w:p>
      <w:pPr>
        <w:spacing w:after="0" w:line="143"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In addition, we are responsible for the cost of filing and prosecuting certain patent applications and maintaining certain issued patents licensed to us. If we do not meet our obligations under our license agreements in a timely manner, we could lose the rights to our proprietary technology which could have a material adverse effect on our business, results of operations and financial condition.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our Operations in Israel</w:t>
      </w:r>
    </w:p>
    <w:p>
      <w:pPr>
        <w:spacing w:after="0" w:line="198"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color w:val="auto"/>
        </w:rPr>
        <w:t>Significant parts of our operations are located in Israel and, therefore, our results may be adversely affected by political, economic and military conditions in Israel.</w:t>
      </w:r>
    </w:p>
    <w:p>
      <w:pPr>
        <w:spacing w:after="0" w:line="118" w:lineRule="exact"/>
        <w:rPr>
          <w:sz w:val="20"/>
          <w:szCs w:val="20"/>
          <w:color w:val="auto"/>
        </w:rPr>
      </w:pPr>
    </w:p>
    <w:p>
      <w:pPr>
        <w:ind w:left="60" w:right="199"/>
        <w:spacing w:after="0" w:line="257" w:lineRule="auto"/>
        <w:rPr>
          <w:sz w:val="20"/>
          <w:szCs w:val="20"/>
          <w:color w:val="auto"/>
        </w:rPr>
      </w:pPr>
      <w:r>
        <w:rPr>
          <w:rFonts w:ascii="Times New Roman" w:cs="Times New Roman" w:eastAsia="Times New Roman" w:hAnsi="Times New Roman"/>
          <w:sz w:val="18"/>
          <w:szCs w:val="18"/>
          <w:color w:val="auto"/>
        </w:rPr>
        <w:t>Our executive office and operations are located in the State of Israel. Accordingly, political, economic and military conditions in Israel directly affect our business. Any armed conflicts, political instability, terrorism, cyberattacks or any other hostilities involving Israel or the interruption or curtailment of trade between Israel and its present trading partners could affect adversely our operations. For example, our facilities in northern Israel are in range of rockets that were fired from Lebanon into Israel during a 2006 war with the Hizbollah in Lebanon, and suffered minimal damages during one of the rocket attacks. Our insurance policies do not cover damages incurred in connection with these conflicts or for any resulting disruption in our operations. The Israeli government, as a matter of law, provides coverage for the reinstatement value of direct damages that are caused by terrorist attacks or acts of war; however, the government may cease providing such coverage or the coverage might not be enough to cover potential damages. If our facilities are damaged as a result of hostile action, our operations may be materially adversely affected.</w:t>
      </w:r>
    </w:p>
    <w:p>
      <w:pPr>
        <w:spacing w:after="0" w:line="146"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Ongoing and revived hostilities or other Israeli political or economic factors, could prevent or delay shipments of our products, harm our operations and product development and cause any future sales to decrease. In the event that hostilities disrupt the ongoing operation of our facilities or the airports and seaports on which we depend to import and export our supplies, materials, drug substance and other products, our operations may be materially adverse affected.</w:t>
      </w:r>
    </w:p>
    <w:p>
      <w:pPr>
        <w:spacing w:after="0" w:line="149"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color w:val="auto"/>
        </w:rPr>
        <w:t>Our operations may be disrupted by the obligations of our personnel to perform military service which could have a material adverse effect on our business.</w:t>
      </w:r>
    </w:p>
    <w:p>
      <w:pPr>
        <w:spacing w:after="0" w:line="118" w:lineRule="exact"/>
        <w:rPr>
          <w:sz w:val="20"/>
          <w:szCs w:val="20"/>
          <w:color w:val="auto"/>
        </w:rPr>
      </w:pPr>
    </w:p>
    <w:p>
      <w:pPr>
        <w:ind w:left="60" w:right="259"/>
        <w:spacing w:after="0" w:line="256" w:lineRule="auto"/>
        <w:rPr>
          <w:sz w:val="20"/>
          <w:szCs w:val="20"/>
          <w:color w:val="auto"/>
        </w:rPr>
      </w:pPr>
      <w:r>
        <w:rPr>
          <w:rFonts w:ascii="Times New Roman" w:cs="Times New Roman" w:eastAsia="Times New Roman" w:hAnsi="Times New Roman"/>
          <w:sz w:val="18"/>
          <w:szCs w:val="18"/>
          <w:color w:val="auto"/>
        </w:rPr>
        <w:t>Many of our male employees in Israel, including members of senior management, are obligated to perform up to one month (in some cases more) of annual military reserve duty until they reach the age of 45 and, in the event of a military conflict, could be called to active duty. Our operations could be disrupted by the absence of a significant number of our employees related to military service or the absence for extended periods of military service of one or more of our key employees. A disruption may have a material adverse effect on our business, results of operations and financial condition.</w:t>
      </w:r>
    </w:p>
    <w:p>
      <w:pPr>
        <w:spacing w:after="0" w:line="143"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color w:val="auto"/>
        </w:rPr>
        <w:t>Because a certain portion of our expenses is incurred in New Israeli Shekels, our results of operations may be seriously harmed by currency fluctuations and inflation.</w:t>
      </w:r>
    </w:p>
    <w:p>
      <w:pPr>
        <w:spacing w:after="0" w:line="132"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We report our financial statements in U.S. dollars, our functional currency. Although most of our expenses are incurred in U.S. dollars, we pay a portion of our expenses in New Israeli Shekels, or NIS, and as a result, we are exposed to risk to the extent that the inflation rate in Israel exceeds the rate of devaluation of the NIS in relation to the U.S. dollar or if the timing of these devaluations lags behind inflation in Israel. In that event, the U.S. dollar cost of our operations in Israel will increase and our U.S. dollar-measured results of operations will be adversely affected. To the extent that the value of the NIS increases against the U.S. dollar, our expenses on a dollar cost basis increase. Our operations also could be adversely affected if we are unable to guard against currency fluctuations in the future. To date, we have not engaged in hedging transactions. In the future, we may enter into currency hedging transactions to decrease the risk of financial exposure from fluctuations in the exchange rate of the U.S dollar against the NIS. These measures, however, may not adequately protect us from material adverse effects.</w:t>
      </w:r>
    </w:p>
    <w:p>
      <w:pPr>
        <w:spacing w:after="0" w:line="150"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color w:val="auto"/>
        </w:rPr>
        <w:t>The tax benefits available to us require that we meet several conditions and may be terminated or reduced in the future, which would increase our taxes.</w:t>
      </w:r>
    </w:p>
    <w:p>
      <w:pPr>
        <w:spacing w:after="0" w:line="118"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We are able to take advantage of tax exemptions and reductions resulting from the “Approved Enterprise” status of our facilities in Israel. To remain eligible for these tax benefits, we must continue to meet certain conditions, including making specified investments in property and equipment, and financing at least 30% of such investments with share capital. If we fail to meet these conditions in the future, the tax benefits would be canceled and we may be required to refund any tax benefits we already have enjoyed. These tax benefits are subject to investment policy by the Investment Center and may not be continued in the future at their current levels or at any level. In recent years the Israeli government has reduced the benefits available and has indicated that it may further reduce or eliminate some of these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1" w:lineRule="auto"/>
        <w:rPr>
          <w:sz w:val="20"/>
          <w:szCs w:val="20"/>
          <w:color w:val="auto"/>
        </w:rPr>
      </w:pPr>
      <w:r>
        <w:rPr>
          <w:rFonts w:ascii="Times New Roman" w:cs="Times New Roman" w:eastAsia="Times New Roman" w:hAnsi="Times New Roman"/>
          <w:sz w:val="17"/>
          <w:szCs w:val="17"/>
          <w:color w:val="auto"/>
        </w:rPr>
        <w:t>benefits in the future. The termination or reduction of these tax benefits or our inability to qualify for additional “Approved Enterprise” approvals may increase our tax expenses in the future, which would reduce our expected profits and adversely affect our business and results of operations. Additionally, if we increase our activities outside of Israel, for example, by future acquisitions, such increased activities generally may not be eligible for inclusion in Israeli tax benefit programs.</w:t>
      </w:r>
    </w:p>
    <w:p>
      <w:pPr>
        <w:spacing w:after="0" w:line="133"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7"/>
          <w:szCs w:val="17"/>
          <w:b w:val="1"/>
          <w:bCs w:val="1"/>
          <w:color w:val="auto"/>
        </w:rPr>
        <w:t>The Israeli government grants we have received for certain research and development expenditures restrict our ability to manufacture products and transfer technologies outside of Israel and require us to satisfy specified conditions. If we fail to satisfy these conditions, we may be required to refund grants previously received together with interest and penalties which could have a material adverse effect on our business and results of operations.</w:t>
      </w:r>
    </w:p>
    <w:p>
      <w:pPr>
        <w:spacing w:after="0" w:line="125"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In the past, our research and development efforts have been financed, in part, through grants that we have received from NATI. We, therefore, must comply with the requirements of the Research Law. Under the Research Law we are prohibited from manufacturing products developed using these grants outside of the State of Israel without special approvals, although the Research Law does enable companies to seek prior approval for conducting manufacturing activities outside of Israel without being subject to increased royalties. We may not receive the required approvals for any proposed transfer of manufacturing activities. Even if we do receive approval to manufacture products developed with government grants outside of Israel, we may be required to pay an increased total amount of royalties (possibly up to 300% of the grant amounts plus interest), depending on the manufacturing volume that is performed outside of Israel, as well as at a possibly increased royalty rate. This restriction may impair our ability to outsource manufacturing or engage in similar arrangements for those products or technologies.</w:t>
      </w:r>
    </w:p>
    <w:p>
      <w:pPr>
        <w:spacing w:after="0" w:line="154"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Additionally, under the Research Law, Protalix Ltd. is prohibited from transferring NATI-financed technologies and related intellectual property rights outside of the State of Israel, except under limited circumstances and only with the approval of NATI Council or the Research Committee. Protalix Ltd. may not receive the required approvals for any proposed transfer and, if received, Protalix Ltd. may be required to pay NATI a portion of the consideration that it receives upon any sale of such technology by a non-Israeli entity. The scope of the support received, the royalties that Protalix Ltd. has already paid to NATI, the amount of time that has elapsed between the date on which the know-how was transferred and the date on which NATI grants were received and the sale price and the form of transaction will be taken into account in order to calculate the amount of the payment to NATI. Approval of the transfer of technology to residents of the State of Israel is required, and may be granted in specific circumstances only if the recipient abides by the provisions of applicable laws, including the restrictions on the transfer of know-how and the obligation to pay royalties. No assurance can be made that approval to any such transfer, if requested, will be granted.</w:t>
      </w:r>
    </w:p>
    <w:p>
      <w:pPr>
        <w:spacing w:after="0" w:line="165"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These restrictions may impair our ability to sell our technology assets or to outsource manufacturing outside of Israel. The restrictions will continue to apply for a certain period of time even after we have repaid the full amount of royalties payable for the grants. If we fail to satisfy the conditions of the Research Law, we may be required to refund certain grants previously received together with interest and penalties, and may become subject to criminal charges, any of which could have a material adverse effect on our business, results of operations and financial condition.</w:t>
      </w:r>
    </w:p>
    <w:p>
      <w:pPr>
        <w:spacing w:after="0" w:line="139"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color w:val="auto"/>
        </w:rPr>
        <w:t>Investors may have difficulties enforcing a U.S. judgment, including judgments based upon the civil liability provisions of the U.S. federal securities laws against us, our executive officers and most of our directors or asserting U.S. securities laws claims in Israel.</w:t>
      </w:r>
    </w:p>
    <w:p>
      <w:pPr>
        <w:spacing w:after="0" w:line="134"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Most of our directors and all of our executive officers are residents of Israel, and accordingly, most of their assets and our assets are located outside the United States. Service of process upon us or our non-U.S. resident directors and officers and enforcement of judgments obtained in the United States against us or our non-U.S. resident directors and executive officers may be difficult to obtain within the United States. We have been informed by our legal counsel in Israel that it may be difficult to assert claims under U.S. securities laws in original actions instituted in Israel or obtain a judgment based on the civil liability provisions of U.S. federal securities laws. Israeli courts may refuse to hear a claim based on a violation of U.S. securities laws against us or our non-U.S. resident officers and directors because Israel may not be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 There is little binding case law in Israel addressing the matters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described above. Israeli courts might not enforce judgments rendered outside Israel, which may make it difficult to collect on judgments rendered against us or our non-U.S. resident officers and directors.</w:t>
      </w:r>
    </w:p>
    <w:p>
      <w:pPr>
        <w:spacing w:after="0" w:line="135"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Moreover, among other reasons, including but not limited to, fraud or absence of due process, or the existence of a judgment which is at variance with another judgment that was given in the same matter if a suit in the same matter between the same parties was pending before a court or tribunal in Israel, an Israeli court will not enforce a non-Israeli judgment if it was given in a state whose laws do not provide for the enforcement of judgments of Israeli courts (subject to exceptional cases) or if its enforcement is likely to prejudice the sovereignty or security of the State of Israel.</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Investing in our Common Stock</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market price of our common stock may fluctuate significantly.</w:t>
      </w:r>
    </w:p>
    <w:p>
      <w:pPr>
        <w:spacing w:after="0" w:line="202"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experienced significant volatility. The securities of life sciences companies often experience significant volatility in connection with clinical trial and regulatory announcements.</w:t>
      </w:r>
    </w:p>
    <w:p>
      <w:pPr>
        <w:spacing w:after="0" w:line="121"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We anticipate that the market price of our common stock is likely to continue to fluctuate significantly in response to numerous factors, some of which are beyond our control, such as:</w:t>
      </w:r>
    </w:p>
    <w:p>
      <w:pPr>
        <w:spacing w:after="0" w:line="121" w:lineRule="exact"/>
        <w:rPr>
          <w:sz w:val="20"/>
          <w:szCs w:val="20"/>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any delays in anticipated marketing approvals for pegunigalsidase alfa;</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pegunigalsidase alfa, if approved for marketing;</w:t>
      </w:r>
    </w:p>
    <w:p>
      <w:pPr>
        <w:spacing w:after="0" w:line="184"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 of shares of our common stock under our ATM program, or market expectations that such sales are to be executed;</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BioManguinhos alfataliglicerase in Brazil;</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the studies of our other product candidates;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intellectual property rights and regulatory approvals;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new products or product enhancements by us or our competitors;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and our competitors’ results of operations;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biotechnology industry; and</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unrelated to our operating performance.</w:t>
      </w:r>
    </w:p>
    <w:p>
      <w:pPr>
        <w:spacing w:after="0" w:line="185"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Continued market fluctuations could result in extreme volatility in the price of our common stock, which could cause a decline in the value of our common stock. Price volatility of our common stock may be worse when the trading volume of our common stock is low. We have not paid, and do not expect to pay, any cash dividends on our common stock as any earnings generated from future operations will be used to finance our operations. As a result, investors will not realize any income from an investment in our common stock until and unless their shares are sold at a profit.</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Future sales of our common stock could reduce our stock price.</w:t>
      </w:r>
    </w:p>
    <w:p>
      <w:pPr>
        <w:spacing w:after="0" w:line="202" w:lineRule="exact"/>
        <w:rPr>
          <w:sz w:val="20"/>
          <w:szCs w:val="20"/>
          <w:color w:val="auto"/>
        </w:rPr>
      </w:pPr>
    </w:p>
    <w:p>
      <w:pPr>
        <w:ind w:left="60" w:right="79"/>
        <w:spacing w:after="0" w:line="281" w:lineRule="auto"/>
        <w:rPr>
          <w:sz w:val="20"/>
          <w:szCs w:val="20"/>
          <w:color w:val="auto"/>
        </w:rPr>
      </w:pPr>
      <w:r>
        <w:rPr>
          <w:rFonts w:ascii="Times New Roman" w:cs="Times New Roman" w:eastAsia="Times New Roman" w:hAnsi="Times New Roman"/>
          <w:sz w:val="17"/>
          <w:szCs w:val="17"/>
          <w:color w:val="auto"/>
        </w:rPr>
        <w:t>If our stockholders sell substantial amounts of our common stock, including shares of our common stock issuable upon conversion of our outstanding convertible notes or warrants, or if we sell a substantial amount of our common stock under our ATM program, the market price of our common stock could decrease significantly. The perception in the public market that our existing stockholders might sell shares of common stock could also depress the trading price of our common stock.</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substantial majority of our outstanding shares of our common stock are freely tradable without restriction or further registration under the federal securities laws. In addition, we may sell additional shares of our common stock in the future to raise capital. A substantial number of shares of our common stock are reserved for issuance upon the exercise of stock options, upon conversion of our outstanding convertible notes and upon the exercise of our outstanding warrants. At December 31, 2022, there were outstanding options to purchase common stock issued covering approximately 5.5 million shares of our common stock with a weighted average exercise price of $2.28 per share. Also at December 31, 2022, there were 136,738 shares of common stock available for future for issuance in connection with future grants of incentives under our </w:t>
      </w:r>
      <w:hyperlink r:id="rId24">
        <w:r>
          <w:rPr>
            <w:rFonts w:ascii="Times New Roman" w:cs="Times New Roman" w:eastAsia="Times New Roman" w:hAnsi="Times New Roman"/>
            <w:sz w:val="18"/>
            <w:szCs w:val="18"/>
            <w:u w:val="single" w:color="auto"/>
            <w:color w:val="0000EE"/>
          </w:rPr>
          <w:t>Amended and Restated Pro BioTherapeutics, Inc. 2006 Stock Incentive Plan, as amended</w:t>
        </w:r>
      </w:hyperlink>
      <w:r>
        <w:rPr>
          <w:rFonts w:ascii="Times New Roman" w:cs="Times New Roman" w:eastAsia="Times New Roman" w:hAnsi="Times New Roman"/>
          <w:sz w:val="18"/>
          <w:szCs w:val="18"/>
          <w:color w:val="auto"/>
        </w:rPr>
        <w:t>, approximately 21.5 million shares of common stock reserved for issuance upon conversion of our outstanding 2024 Notes and approximately</w:t>
      </w:r>
    </w:p>
    <w:p>
      <w:pPr>
        <w:spacing w:after="0" w:line="6"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14.6 million shares of common stock reserved for issuance upon the exercise of our outstanding warrants. The issuance and sale of substantial amounts of common stock, or the perception that such issuances and sales may occur, could adversely affect the market price of our common stock and impair our ability to raise capital through the sale of additional equity securities.</w:t>
      </w:r>
    </w:p>
    <w:p>
      <w:pPr>
        <w:spacing w:after="0" w:line="158" w:lineRule="exact"/>
        <w:rPr>
          <w:sz w:val="20"/>
          <w:szCs w:val="20"/>
          <w:color w:val="auto"/>
        </w:rPr>
      </w:pPr>
    </w:p>
    <w:p>
      <w:pPr>
        <w:jc w:val="both"/>
        <w:ind w:left="60" w:right="99"/>
        <w:spacing w:after="0" w:line="286" w:lineRule="auto"/>
        <w:rPr>
          <w:sz w:val="20"/>
          <w:szCs w:val="20"/>
          <w:color w:val="auto"/>
        </w:rPr>
      </w:pPr>
      <w:r>
        <w:rPr>
          <w:rFonts w:ascii="Times New Roman" w:cs="Times New Roman" w:eastAsia="Times New Roman" w:hAnsi="Times New Roman"/>
          <w:sz w:val="18"/>
          <w:szCs w:val="18"/>
          <w:b w:val="1"/>
          <w:bCs w:val="1"/>
          <w:color w:val="auto"/>
        </w:rPr>
        <w:t>If securities analysts stop publishing research or reports about us or our business or if they downgrade our common stock, the market price of our common stock could decline.</w:t>
      </w:r>
    </w:p>
    <w:p>
      <w:pPr>
        <w:spacing w:after="0" w:line="118" w:lineRule="exact"/>
        <w:rPr>
          <w:sz w:val="20"/>
          <w:szCs w:val="20"/>
          <w:color w:val="auto"/>
        </w:rPr>
      </w:pPr>
    </w:p>
    <w:p>
      <w:pPr>
        <w:jc w:val="both"/>
        <w:ind w:left="60" w:right="79"/>
        <w:spacing w:after="0" w:line="272" w:lineRule="auto"/>
        <w:rPr>
          <w:sz w:val="20"/>
          <w:szCs w:val="20"/>
          <w:color w:val="auto"/>
        </w:rPr>
      </w:pPr>
      <w:r>
        <w:rPr>
          <w:rFonts w:ascii="Times New Roman" w:cs="Times New Roman" w:eastAsia="Times New Roman" w:hAnsi="Times New Roman"/>
          <w:sz w:val="17"/>
          <w:szCs w:val="17"/>
          <w:color w:val="auto"/>
        </w:rPr>
        <w:t>The market for our common stock relies in part on the research and reports that industry or financial analysts publish about us or our business. We do not control these analysts. If any analyst who covers us downgrades our stock or lowers its future stock price targets or estimates of our operating results, the market price for our common stock could decline rapidly.</w:t>
      </w:r>
    </w:p>
    <w:p>
      <w:pPr>
        <w:spacing w:after="0" w:line="2" w:lineRule="exact"/>
        <w:rPr>
          <w:sz w:val="20"/>
          <w:szCs w:val="20"/>
          <w:color w:val="auto"/>
        </w:rPr>
      </w:pPr>
    </w:p>
    <w:p>
      <w:pPr>
        <w:ind w:left="60" w:right="159"/>
        <w:spacing w:after="0" w:line="260" w:lineRule="auto"/>
        <w:rPr>
          <w:sz w:val="20"/>
          <w:szCs w:val="20"/>
          <w:color w:val="auto"/>
        </w:rPr>
      </w:pPr>
      <w:r>
        <w:rPr>
          <w:rFonts w:ascii="Times New Roman" w:cs="Times New Roman" w:eastAsia="Times New Roman" w:hAnsi="Times New Roman"/>
          <w:sz w:val="18"/>
          <w:szCs w:val="18"/>
          <w:color w:val="auto"/>
        </w:rPr>
        <w:t>Furthermore, if any analyst ceases to cover us, we could lose visibility in the market, which in turn could cause the market price of our common stock to decline.</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common stock is listed to trade on more than one stock exchange, and this may result in price variations.</w:t>
      </w:r>
    </w:p>
    <w:p>
      <w:pPr>
        <w:spacing w:after="0" w:line="20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Our common stock is listed for trade on both the NYSE American and the TASE, although we will be delisting from the TASE effective as of March 22, 2023. Dual-listing may result in price variations between the exchanges due to a number of factors. First, our common stock is traded in U.S. dollars on the NYSE American and in NIS on the TASE. In addition, the exchanges are open for trade at different times of the day and on different days. For example, the TASE opens generally during Israeli business hours, Sunday through Thursday, while the NYSE American opens generally during U.S. business hours, Monday through Friday. The two exchanges also have differing vacation schedules. Differences in the trading schedules, as well as volatility in the exchange rate of the two currencies, among other factors, may result different trading prices for our common stock on the two exchanges. Other external influences may have different effects on the trading price of our common stock on the two exchanges.</w:t>
      </w:r>
    </w:p>
    <w:p>
      <w:pPr>
        <w:spacing w:after="0" w:line="144"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color w:val="auto"/>
        </w:rPr>
        <w:t>Compliance with changing regulation of corporate governance and public disclosure may result in additional expenses, divert management’s attention from operating our business which could have a material adverse effect on our business.</w:t>
      </w:r>
    </w:p>
    <w:p>
      <w:pPr>
        <w:spacing w:after="0" w:line="134"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The laws, rules, regulations and standards including the rules promulgated by the national securities exchanges, including the NYSE American, to which we are subject are changed and/or amended from time to time. New or changed laws, rules, regulations and standards are subject to varying interpretations in many cases due to their lack of specificity, and as a result, their application in practice may evolve over time as new guidance is provided by regulatory and governing bodies, which could result in continuing uncertainty regarding compliance matters and higher costs necessitated by ongoing revisions to disclosure and governance practices. As a result, our efforts to comply with evolving laws, rules, regulations and standards are likely to continue to result in increased general and administrative expenses and a diversion of management time and attention from revenue-generating activities to compliance activities. Members of our Board of Directors and our executive officers, could face an increased risk of personal liability in connection with the performance of their duties. As a result, we may have difficulty attracting and retaining qualified directors and executive officers, which could have a material adverse effect on our business. If our efforts to comply with new or changed laws, regulations and standards differ from the activities intended by regulatory or governing bodies, we may incur additional expenses to comply with standards set by regulatory authorities or governing bodies which would have a material adverse effect on our business, results of operations and financial condition.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639"/>
        <w:spacing w:after="0" w:line="286" w:lineRule="auto"/>
        <w:rPr>
          <w:sz w:val="20"/>
          <w:szCs w:val="20"/>
          <w:color w:val="auto"/>
        </w:rPr>
      </w:pPr>
      <w:r>
        <w:rPr>
          <w:rFonts w:ascii="Times New Roman" w:cs="Times New Roman" w:eastAsia="Times New Roman" w:hAnsi="Times New Roman"/>
          <w:sz w:val="18"/>
          <w:szCs w:val="18"/>
          <w:b w:val="1"/>
          <w:bCs w:val="1"/>
          <w:color w:val="auto"/>
        </w:rPr>
        <w:t>The issuance of preferred stock or additional shares of common stock could adversely affect the rights of our stockholders.</w:t>
      </w:r>
    </w:p>
    <w:p>
      <w:pPr>
        <w:spacing w:after="0" w:line="132"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Our Board of Directors is authorized to issue up to 100,000,000 shares of preferred stock without any further action on the part of our stockholders. Our Board of Directors has the authority to fix and determine the voting rights, rights of redemption and other rights and preferences of preferred stock. Currently, we have no shares of preferred stock outstanding.</w:t>
      </w:r>
    </w:p>
    <w:p>
      <w:pPr>
        <w:spacing w:after="0" w:line="13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Our Board of Directors may, at any time, authorize the issuance of a series of preferred stock that would grant to holders the preferred right to our assets upon liquidation, the right to receive dividend payments before dividends are distributed to the holders of common stock and the right to the redemption of the shares, together with a premium, before the redemption of our common stock, which may have a material adverse effect on the rights of the holders of our common stock. In addition, our Board of Directors, without further stockholder approval, may, at any time, issue large blocks of preferred stock. In addition, the ability of our Board of Directors to issue shares of preferred stock without any further action on the part of our stockholders may impede a takeover of our company and may prevent a transaction that is favorable to our stockholders.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229"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We maintain a U.S. corporate office in Hackensack, New Jersey. Our headquarters, including a manufacturing facility, executive offices and other facilities, are located in Carmiel, Israel. Our facilities in Israel currently contain approximately 14,700 sq/ft of manufacturing space and 3,400 sq/ft for a pilot plant, 11,700 sq/ft for offsite warehouse space and approximately 43,100 sq/ft of laboratories, front warehouse and office space, and are leased at a rate of approximately $81,000 per month. In addition, we are entitled to use an additional 14,500 sq/ft in the same facility, which we intend to utilize in connection with an anticipated expansion of our manufacturing facilities. Our facilities are equipped with the requisite laboratory services required to conduct our business, and we believe that the existing facilities are adequate to meet our needs for the foreseeable future. Our original lease for the facility was in effect until 2016 and we have exercised two of three options to extend the term, each for an additional five-year period. The lease is currently in effect until 2026 and we retain an additional option to extend the term for another five-year period thereafter. Upon the exercise of each option to extend the term of the lease includes a 10% increase to the then current base rent.</w:t>
      </w:r>
    </w:p>
    <w:p>
      <w:pPr>
        <w:spacing w:after="0" w:line="188"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are not involved in any material legal proceedings.</w:t>
      </w:r>
    </w:p>
    <w:p>
      <w:pPr>
        <w:spacing w:after="0" w:line="221"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9" w:lineRule="exact"/>
        <w:rPr>
          <w:sz w:val="20"/>
          <w:szCs w:val="20"/>
          <w:color w:val="auto"/>
        </w:rPr>
      </w:pPr>
    </w:p>
    <w:p>
      <w:pPr>
        <w:ind w:left="60" w:right="319"/>
        <w:spacing w:after="0" w:line="281" w:lineRule="auto"/>
        <w:rPr>
          <w:sz w:val="20"/>
          <w:szCs w:val="20"/>
          <w:color w:val="auto"/>
        </w:rPr>
      </w:pPr>
      <w:r>
        <w:rPr>
          <w:rFonts w:ascii="Times New Roman" w:cs="Times New Roman" w:eastAsia="Times New Roman" w:hAnsi="Times New Roman"/>
          <w:sz w:val="17"/>
          <w:szCs w:val="17"/>
          <w:color w:val="auto"/>
        </w:rPr>
        <w:t>Our common stock is traded on the NYSE American under the symbol “PLX.” Our common stock is also listed on the TASE under the symbol “PLX;” however, we have decided to voluntarily delist our common stock from the TASE. The delisting will take effect on March 22, 2023 and the last trading date on the TASE will be March 20, 2023. As of February 15, 2023, there were approximately 65 holders of record of our common stock. A substantially greater number</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of holders of our common stock are “street name” or beneficial holders, whose shares are held of record by banks, brokers and other financial institutions.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02"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2022 with respect to the shares of our common stock that may be issued under our existing equity compensation plan.</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w:t>
            </w:r>
          </w:p>
        </w:tc>
        <w:tc>
          <w:tcPr>
            <w:tcW w:w="160" w:type="dxa"/>
            <w:vAlign w:val="bottom"/>
          </w:tcPr>
          <w:p>
            <w:pPr>
              <w:spacing w:after="0"/>
              <w:rPr>
                <w:sz w:val="15"/>
                <w:szCs w:val="15"/>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w:t>
            </w:r>
          </w:p>
        </w:tc>
        <w:tc>
          <w:tcPr>
            <w:tcW w:w="0" w:type="dxa"/>
            <w:vAlign w:val="bottom"/>
          </w:tcPr>
          <w:p>
            <w:pPr>
              <w:spacing w:after="0"/>
              <w:rPr>
                <w:sz w:val="1"/>
                <w:szCs w:val="1"/>
                <w:color w:val="auto"/>
              </w:rPr>
            </w:pPr>
          </w:p>
        </w:tc>
      </w:tr>
      <w:tr>
        <w:trPr>
          <w:trHeight w:val="117"/>
        </w:trPr>
        <w:tc>
          <w:tcPr>
            <w:tcW w:w="3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1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 Securities Remaining</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 Issuance</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w:t>
            </w: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 Compensation Plans</w:t>
            </w:r>
          </w:p>
        </w:tc>
        <w:tc>
          <w:tcPr>
            <w:tcW w:w="0" w:type="dxa"/>
            <w:vAlign w:val="bottom"/>
          </w:tcPr>
          <w:p>
            <w:pPr>
              <w:spacing w:after="0"/>
              <w:rPr>
                <w:sz w:val="1"/>
                <w:szCs w:val="1"/>
                <w:color w:val="auto"/>
              </w:rPr>
            </w:pPr>
          </w:p>
        </w:tc>
      </w:tr>
      <w:tr>
        <w:trPr>
          <w:trHeight w:val="148"/>
        </w:trPr>
        <w:tc>
          <w:tcPr>
            <w:tcW w:w="3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4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 of</w:t>
            </w:r>
          </w:p>
        </w:tc>
        <w:tc>
          <w:tcPr>
            <w:tcW w:w="10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 Reflected in</w:t>
            </w:r>
          </w:p>
        </w:tc>
        <w:tc>
          <w:tcPr>
            <w:tcW w:w="0" w:type="dxa"/>
            <w:vAlign w:val="bottom"/>
          </w:tcPr>
          <w:p>
            <w:pPr>
              <w:spacing w:after="0"/>
              <w:rPr>
                <w:sz w:val="1"/>
                <w:szCs w:val="1"/>
                <w:color w:val="auto"/>
              </w:rPr>
            </w:pPr>
          </w:p>
        </w:tc>
      </w:tr>
      <w:tr>
        <w:trPr>
          <w:trHeight w:val="173"/>
        </w:trPr>
        <w:tc>
          <w:tcPr>
            <w:tcW w:w="3780" w:type="dxa"/>
            <w:vAlign w:val="bottom"/>
            <w:gridSpan w:val="2"/>
            <w:vMerge w:val="continue"/>
          </w:tcPr>
          <w:p>
            <w:pPr>
              <w:spacing w:after="0"/>
              <w:rPr>
                <w:sz w:val="15"/>
                <w:szCs w:val="15"/>
                <w:color w:val="auto"/>
              </w:rPr>
            </w:pP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4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191"/>
        </w:trPr>
        <w:tc>
          <w:tcPr>
            <w:tcW w:w="364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14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1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5,519,315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60" w:type="dxa"/>
            <w:vAlign w:val="bottom"/>
            <w:shd w:val="clear" w:color="auto" w:fill="CCEEFF"/>
          </w:tcPr>
          <w:p>
            <w:pPr>
              <w:spacing w:after="0"/>
              <w:rPr>
                <w:sz w:val="20"/>
                <w:szCs w:val="20"/>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136,738</w:t>
            </w:r>
          </w:p>
        </w:tc>
        <w:tc>
          <w:tcPr>
            <w:tcW w:w="0" w:type="dxa"/>
            <w:vAlign w:val="bottom"/>
          </w:tcPr>
          <w:p>
            <w:pPr>
              <w:spacing w:after="0"/>
              <w:rPr>
                <w:sz w:val="1"/>
                <w:szCs w:val="1"/>
                <w:color w:val="auto"/>
              </w:rPr>
            </w:pPr>
          </w:p>
        </w:tc>
      </w:tr>
      <w:tr>
        <w:trPr>
          <w:trHeight w:val="198"/>
        </w:trPr>
        <w:tc>
          <w:tcPr>
            <w:tcW w:w="37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5,519,315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136,738</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6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(MD&amp;A) is intended to help the reader understand our results of operations and financial condition. The MD&amp;A is provided as a supplement to, and should be together with our consolidated financial statements and the related notes included elsewhere in this Annual Report on Form 10-K. Some of the information contained in this discussion and analysis, particularly with respect to our plans and strategy for our business and related financing, include forward-looking statements that involve risks and uncertainties. You should read “Risk Factors” in Item 1A of this Annual Report on Form 10-K for a discussion of important factors that could cause actual results to differ materially from the results described in or implied by the forward-looking statements contained in the following discussion and analysis.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left="60" w:right="199"/>
        <w:spacing w:after="0" w:line="227" w:lineRule="auto"/>
        <w:rPr>
          <w:sz w:val="20"/>
          <w:szCs w:val="20"/>
          <w:color w:val="auto"/>
        </w:rPr>
      </w:pPr>
      <w:r>
        <w:rPr>
          <w:rFonts w:ascii="Times New Roman" w:cs="Times New Roman" w:eastAsia="Times New Roman" w:hAnsi="Times New Roman"/>
          <w:sz w:val="18"/>
          <w:szCs w:val="18"/>
          <w:color w:val="auto"/>
        </w:rPr>
        <w:t>We are a biopharmaceutical company focused on the development and commercialization of recombinant therapeutic proteins primarily based on our proprietary ProCellEx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protein expression system. We developed our first commercial drug product, Elelyso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using our ProCellEx system and we are now focused on utilizing the system to develop a pipeline of proprietary, clinically superior versions of complex recombinant therapeutic proteins that primarily target large, established pharmaceutical markets and that in most cases rely upon known biological mechanisms of action. With our experience to date, we believe ProCellEx will enable us to develop additional proprietary recombinant proteins that are therapeutically superior to existing recombinant proteins currently marketed for the same indications, including applying the unique properties of our ProCellEx system for the oral delivery of therapeutic proteins.</w:t>
      </w:r>
    </w:p>
    <w:p>
      <w:pPr>
        <w:spacing w:after="0" w:line="163" w:lineRule="exact"/>
        <w:rPr>
          <w:sz w:val="20"/>
          <w:szCs w:val="20"/>
          <w:color w:val="auto"/>
        </w:rPr>
      </w:pPr>
    </w:p>
    <w:p>
      <w:pPr>
        <w:ind w:left="60" w:right="119"/>
        <w:spacing w:after="0" w:line="273" w:lineRule="auto"/>
        <w:rPr>
          <w:sz w:val="20"/>
          <w:szCs w:val="20"/>
          <w:color w:val="auto"/>
        </w:rPr>
      </w:pPr>
      <w:r>
        <w:rPr>
          <w:rFonts w:ascii="Times New Roman" w:cs="Times New Roman" w:eastAsia="Times New Roman" w:hAnsi="Times New Roman"/>
          <w:sz w:val="17"/>
          <w:szCs w:val="17"/>
          <w:color w:val="auto"/>
        </w:rPr>
        <w:t xml:space="preserve">The most advanced investigational drug in our product pipeline is pegunigalsidase alfa, a therapeutic protein candidate for the treatment of Fabry disease, a rare, genetic lysosomal disorder, which is the subject of a phase III clinical program. The PRX-102 phase III clinical program includes three separate studies which are referred to as the </w:t>
      </w:r>
      <w:r>
        <w:rPr>
          <w:rFonts w:ascii="Times New Roman" w:cs="Times New Roman" w:eastAsia="Times New Roman" w:hAnsi="Times New Roman"/>
          <w:sz w:val="17"/>
          <w:szCs w:val="17"/>
          <w:i w:val="1"/>
          <w:iCs w:val="1"/>
          <w:color w:val="auto"/>
        </w:rPr>
        <w:t>BALANCE</w:t>
      </w:r>
      <w:r>
        <w:rPr>
          <w:rFonts w:ascii="Times New Roman" w:cs="Times New Roman" w:eastAsia="Times New Roman" w:hAnsi="Times New Roman"/>
          <w:sz w:val="17"/>
          <w:szCs w:val="17"/>
          <w:color w:val="auto"/>
        </w:rPr>
        <w:t xml:space="preserve"> study, the </w:t>
      </w:r>
      <w:r>
        <w:rPr>
          <w:rFonts w:ascii="Times New Roman" w:cs="Times New Roman" w:eastAsia="Times New Roman" w:hAnsi="Times New Roman"/>
          <w:sz w:val="17"/>
          <w:szCs w:val="17"/>
          <w:i w:val="1"/>
          <w:iCs w:val="1"/>
          <w:color w:val="auto"/>
        </w:rPr>
        <w:t xml:space="preserve">BRIDGE </w:t>
      </w:r>
      <w:r>
        <w:rPr>
          <w:rFonts w:ascii="Times New Roman" w:cs="Times New Roman" w:eastAsia="Times New Roman" w:hAnsi="Times New Roman"/>
          <w:sz w:val="17"/>
          <w:szCs w:val="17"/>
          <w:color w:val="auto"/>
        </w:rPr>
        <w:t>study and the</w:t>
      </w:r>
      <w:r>
        <w:rPr>
          <w:rFonts w:ascii="Times New Roman" w:cs="Times New Roman" w:eastAsia="Times New Roman" w:hAnsi="Times New Roman"/>
          <w:sz w:val="17"/>
          <w:szCs w:val="17"/>
          <w:i w:val="1"/>
          <w:iCs w:val="1"/>
          <w:color w:val="auto"/>
        </w:rPr>
        <w:t xml:space="preserve"> BRIGHT </w:t>
      </w:r>
      <w:r>
        <w:rPr>
          <w:rFonts w:ascii="Times New Roman" w:cs="Times New Roman" w:eastAsia="Times New Roman" w:hAnsi="Times New Roman"/>
          <w:sz w:val="17"/>
          <w:szCs w:val="17"/>
          <w:color w:val="auto"/>
        </w:rPr>
        <w:t>study, each of which has been completed. The studies were designed to evaluate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potential for improved efficacy and better quality of life for adult patients with Fabry disease and to evaluate the safety of our drug/therapy. In addition, the Phase III clinical program includes two extension studies in which subjects that participated in our phase I/II clinical trials and phase III clinical trials may enroll and continue to be treated with PRX-102.</w:t>
      </w:r>
    </w:p>
    <w:p>
      <w:pPr>
        <w:spacing w:after="0" w:line="131"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 xml:space="preserve">On November 9, 2022, we, together with Chiesi, our development and commercialization partner for PRX-102, resubmitted to the FDA a BLA for PRX-102 for the potential treatment of adult patients with Fabry disease. The initial BLA for PRX-102 was submitted to the FDA on May 27, 2020 under the FDA’s Accelerated Approval pathway, and was subsequently accepted by the FDA and granted Priority Review designation. However, in April 2021, the FDA issued a CRL in response to the initial BLA. In preparation for the BLA resubmission, we and Chiesi participated in a Type A (End of Review) meeting with the FDA on September 9, 2021. As part of the meeting minutes provided by the FDA, which included the preliminary comments and meeting discussion, the FDA, in principle, agreed that the data package proposed to the FDA for a BLA resubmission has the potential to support a traditional approval of PRX-102 for the treatment of Fabry disease. The data package in the BLA resubmission, given the change in the regulatory landscape in the United States, includes the final two-year analyses of our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which were completed in July 2022, and long-term data from our open-label extension study of PRX-102 in adult patients treated with a 2 mg/kg every four weeks dosage of PRX-102.</w:t>
      </w:r>
    </w:p>
    <w:p>
      <w:pPr>
        <w:spacing w:after="0" w:line="163"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On February 7, 2022, we, together with Chiesi, submitted an MAA to the EMA which was subsequently validated by the EMA. The submission was made after the October 8, 2021 meeting we held, together with Chiesi, with the Rapporteur and Co-Rapporteur of the EMA regarding PRX-102.</w:t>
      </w:r>
    </w:p>
    <w:p>
      <w:pPr>
        <w:spacing w:after="0" w:line="135"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 xml:space="preserve">The MAA submission includes a comprehensive set of preclinical, clinical and manufacturing data compiled from our completed and ongoing clinical studies evaluating PRX-102 as a potential alternative treatment for adult patients with Fabry disease. The submission was supported by the 12–month interim data analysis generated from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Data generated from our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our phase I/II clinical trial in naive or untreated patients, and from our extension study with 1 mg/kg every two weeks were also included in the submission. In addition, the MAA includes data from our completed 12–month switch–over phase III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to support an additional potential treatment regimen for Fabry patients. As part of the EMA review process, we and Chiesi received the Day 120 list of questions in June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 xml:space="preserve">2022, and the full response package thereto was submitted to the EMA in September 2022 (following a 3-month clock-stop period). An essential portion of the response included the submission of the final analysis of the two-year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(the final Clinical Study Report), and an interim analysis of our long-term, open-label extension study of PRX-102 in adult patients with Fabry disease treated with the 2 mg/kg every four weeks dosage.</w:t>
      </w:r>
    </w:p>
    <w:p>
      <w:pPr>
        <w:spacing w:after="0" w:line="153"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On February 24, 2023, we, together with Chiesi, announced that CHMP has adopted a positive opinion, recommending marketing authorization for PRX-102. The CHMP opinion is now referred for final action to the EC. A final EC decision on the MAA is expected in the beginning of May 2023.</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addition to PRX-102, our product pipeline currently includes, among other candidates:</w:t>
      </w:r>
    </w:p>
    <w:p>
      <w:pPr>
        <w:spacing w:after="0" w:line="185" w:lineRule="exact"/>
        <w:rPr>
          <w:sz w:val="20"/>
          <w:szCs w:val="20"/>
          <w:color w:val="auto"/>
        </w:rPr>
      </w:pPr>
    </w:p>
    <w:p>
      <w:pPr>
        <w:ind w:left="560" w:right="659" w:firstLine="1"/>
        <w:spacing w:after="0" w:line="282" w:lineRule="auto"/>
        <w:tabs>
          <w:tab w:leader="none" w:pos="134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PRX-115, our plant cell-expressed recombinant PEGylated uricase (urate oxidase) – a chemically modified enzyme to treat severe gout; and</w:t>
      </w:r>
    </w:p>
    <w:p>
      <w:pPr>
        <w:spacing w:after="0" w:line="134" w:lineRule="exact"/>
        <w:rPr>
          <w:rFonts w:ascii="Times New Roman" w:cs="Times New Roman" w:eastAsia="Times New Roman" w:hAnsi="Times New Roman"/>
          <w:sz w:val="18"/>
          <w:szCs w:val="18"/>
          <w:color w:val="auto"/>
        </w:rPr>
      </w:pPr>
    </w:p>
    <w:p>
      <w:pPr>
        <w:ind w:left="560" w:right="479" w:firstLine="1"/>
        <w:spacing w:after="0" w:line="282" w:lineRule="auto"/>
        <w:tabs>
          <w:tab w:leader="none" w:pos="134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PRX-119, our plant cell-expressed PEGylated recombinant human DNase I product candidate being designed to elongate half-life in the circulation for NETs-related diseases.</w:t>
      </w:r>
    </w:p>
    <w:p>
      <w:pPr>
        <w:spacing w:after="0" w:line="121"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Obtaining marketing approval with respect to any product candidate in any country is dependent on our ability to implement the necessary regulatory steps required to obtain such approvals. We cannot reasonably predict the outcome of these activities.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August 25, 2021, we completed exchanges, or the Exchanges, of our outstanding 7.50% Senior Secured Convertible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Notes due 2021, or the2021 Notes, with institutional note holders of a substantial majority of the 2021 Notes.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Exchanges involved the exchange of an aggregate of $54.65 million principal amount of our outstanding 2021 Notes for an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aggregate of $28.75 million principal amount of newly issued 2024 Notes, $25.90 million in cash, and approximately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$1.1 million in cash representing accrued and unpaid interest through the closing date. The initial conversion rate for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2024 Notes is 563.2216 shares of common stock, par value $0.001 per share, or the common Stock, for each $1,000</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principal amount of 2024 Notes (equivalent to an initial conversion price of approximately $1.7755 per share of common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Stock), subject to adjustment in certain circumstances. This initial conversion price represents a premium of approximately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32.5% relative to the closing price of our common stock on the NYSE American on August 13, 2021.</w:t>
      </w:r>
    </w:p>
    <w:p>
      <w:pPr>
        <w:spacing w:after="0" w:line="180" w:lineRule="exact"/>
        <w:rPr>
          <w:sz w:val="20"/>
          <w:szCs w:val="20"/>
          <w:color w:val="auto"/>
        </w:rPr>
      </w:pPr>
    </w:p>
    <w:p>
      <w:pPr>
        <w:ind w:left="60" w:right="59"/>
        <w:spacing w:after="0" w:line="241" w:lineRule="auto"/>
        <w:rPr>
          <w:sz w:val="20"/>
          <w:szCs w:val="20"/>
          <w:color w:val="auto"/>
        </w:rPr>
      </w:pPr>
      <w:r>
        <w:rPr>
          <w:rFonts w:ascii="Times New Roman" w:cs="Times New Roman" w:eastAsia="Times New Roman" w:hAnsi="Times New Roman"/>
          <w:sz w:val="18"/>
          <w:szCs w:val="18"/>
          <w:color w:val="auto"/>
        </w:rPr>
        <w:t>On July 2, 2021, we entered into an At The Market Offering Agreement, or the Sales Agreement, with H.C. Wainwright &amp; Co., LLC, as our sales agent, or the Agent, which was amended on May 2, 2022. Pursuant to the terms of the Sales Agreement, we may sell from time to time through the Agent shares of its common stock, par value $0.001 per share, or the common Stock, having an aggregate offering price of up to $20.0 million, or the ATM Shares. Upon execution of the Sales Agreement, we terminated the ATM Equity Offering</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Sales Agreement, or the BofA Agreement, we had entered into on October 1, 2020 with BofA Securities, Inc., or BofA Securities. During the term of the sales agreement with BofA Securities, we sold a total of 3,296,123 shares of common stock for total gross proceeds of approximately $13.8 million. As of December 31, 2022, shares of our common stock for total gross proceeds of approximately $11.3 million remain available to be sold under the Sales Agreement.</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February 17, 2021, we closed a public offering of our common Stock, raising gross proceeds of approximately</w:t>
      </w:r>
    </w:p>
    <w:p>
      <w:pPr>
        <w:spacing w:after="0" w:line="27" w:lineRule="exact"/>
        <w:rPr>
          <w:sz w:val="20"/>
          <w:szCs w:val="20"/>
          <w:color w:val="auto"/>
        </w:rPr>
      </w:pPr>
    </w:p>
    <w:p>
      <w:pPr>
        <w:ind w:left="60" w:right="139"/>
        <w:spacing w:after="0" w:line="290" w:lineRule="auto"/>
        <w:rPr>
          <w:sz w:val="20"/>
          <w:szCs w:val="20"/>
          <w:color w:val="auto"/>
        </w:rPr>
      </w:pPr>
      <w:r>
        <w:rPr>
          <w:rFonts w:ascii="Times New Roman" w:cs="Times New Roman" w:eastAsia="Times New Roman" w:hAnsi="Times New Roman"/>
          <w:sz w:val="17"/>
          <w:szCs w:val="17"/>
          <w:color w:val="auto"/>
        </w:rPr>
        <w:t>$40.2 million at a price equal to $4.60 per share, before deducting the underwriting discount and estimated expenses of the offering. BofA Securities acted as book-running manager for the offering with Oppenheimer &amp; Co. acting as co-manager.</w:t>
      </w:r>
    </w:p>
    <w:p>
      <w:pPr>
        <w:spacing w:after="0" w:line="117"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On March 18, 2020, we completed a private placement of our common Stock and warrants. In connection with the offering, we issued 17,604,423 unregistered shares of common Stock at a purchase price per share of $2.485 and warrants to purchase an additional 17,604,423 shares of common Stock at an exercise price of $2.36 per share. The warrants were exercisable commencing six months following their issuance for a period of five years from the date of issuance. For accounting purposes, the warrants are classified as equity considering the warrants’ terms. The net proceeds generated from the private placement were approximately $41.3 million, after deducting advisory fees and other estimated offering expenses.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October 19, 2017, Protalix Ltd. and Chiesi entered into the Chiesi Ex-US Agreement pursuant to which Protalix Ltd.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granted to Chiesi an exclusive license for all markets outside of the United States to commercialize pegunigalsidase alfa.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On July 23, 2018, Protalix Ltd. and Chiesi entered into the Chiesi US Agreement with respect to the commercialization of pegunigalsidase alfa in the United States.</w:t>
      </w:r>
    </w:p>
    <w:p>
      <w:pPr>
        <w:spacing w:after="0" w:line="135"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Under each of the Chiesi Ex-US Agreement and the Chiesi US Agreement, collectively, the Chiesi Agreements, Chiesi made an upfront payment to Protalix Ltd. of $25.0 million in connection with the execution of each agreement. In addition, under the Chiesi Ex-US Agreement, Protalix Ltd. is entitled to additional payments of up to $25.0 million in pegunigalsidase alfa development costs, and to receive additional payments of up to $320.0 million, in the aggregate, in regulatory and commercial milestone payments. Under the Chiesi US Agreement, Protalix Ltd. is entitled to payments of up to a maximum of $20.0 million to cover development costs for pegunigalsidase alfa, and to receive additional payments of up to a maximum of $760.0 million, in the aggregate, in regulatory and commercial milestone payments. To date, Protalix Ltd. has received the complete amount of development costs to which it is entitled under the Chiesi Agreements.</w:t>
      </w:r>
    </w:p>
    <w:p>
      <w:pPr>
        <w:spacing w:after="0" w:line="151" w:lineRule="exact"/>
        <w:rPr>
          <w:sz w:val="20"/>
          <w:szCs w:val="20"/>
          <w:color w:val="auto"/>
        </w:rPr>
      </w:pPr>
    </w:p>
    <w:p>
      <w:pPr>
        <w:ind w:left="60" w:right="279"/>
        <w:spacing w:after="0" w:line="274" w:lineRule="auto"/>
        <w:rPr>
          <w:sz w:val="20"/>
          <w:szCs w:val="20"/>
          <w:color w:val="auto"/>
        </w:rPr>
      </w:pPr>
      <w:r>
        <w:rPr>
          <w:rFonts w:ascii="Times New Roman" w:cs="Times New Roman" w:eastAsia="Times New Roman" w:hAnsi="Times New Roman"/>
          <w:sz w:val="17"/>
          <w:szCs w:val="17"/>
          <w:color w:val="auto"/>
        </w:rPr>
        <w:t>Under the terms of both of the Chiesi Agreements, Protalix Ltd. agreed to manufacture all of the pegunigalsidase alfa needed under the agreements, subject to certain exceptions, and Chiesi agreed to purchase pegunigalsidase alfa from Protalix, subject to certain terms and conditions. Under the Chiesi Ex-US Agreement, Chiesi is required to make tiered payments of 15% to 35% of its net sales, depending on the amount of annual sales outside of the United States, as consideration for product supply. Under the Chiesi US Agreement, Chiesi is required to make tiered payments of 15% to 40% of its net sales, depending on the amount of annual sales in the United States, as consideration for product supply.</w:t>
      </w:r>
    </w:p>
    <w:p>
      <w:pPr>
        <w:spacing w:after="0" w:line="132"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On May 13, 2021, we signed a binding term sheet with Chiesi pursuant to which we and Chiesi amended the Chiesi Agreements in order to provide us with near-term capital. Chiesi agreed to make a $10.0 million payment to us before the end of the second quarter of 2021 in exchange for a $25.0 million reduction in a longer term regulatory milestone payment provided in the Chiesi EX-US Agreement. All other regulatory and commercial milestone payments remain unchanged. We received the payment in June 2021. We also agreed to negotiate certain manufacturing related matters.</w:t>
      </w:r>
    </w:p>
    <w:p>
      <w:pPr>
        <w:spacing w:after="0" w:line="116"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Since its approval by the FDA, taliglucerase alfa has been marketed by Pfizer in accordance with the Pfizer Agreement. In October 2015, Protalix Ltd. and Pfizer entered into the Amended Pfizer Agreement pursuant to which we sold to Pfizer its share in the collaboration created under the Pfizer Agreement for the commercialization of Elelyso. As part of the sale, we agreed to transfer our rights to Elelyso in Israel to Pfizer while gaining full rights to it in Brazil. Under the Amended Pfizer Agreement, Pfizer is entitled to all of the revenues, and is responsible for 100% of expenses, globally for Elelyso, excluding Brazil where we are responsible for all expenses and retain all revenues.</w:t>
      </w:r>
    </w:p>
    <w:p>
      <w:pPr>
        <w:spacing w:after="0" w:line="147"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On June 18, 2013, we entered into the Brazil Agreement with Fiocruz. Fiocruz’s purchases of BioManguinhos alfataliglicerase to date have been significantly below certain agreed-upon purchase milestones and, accordingly, we have the right to terminate the Brazil Agreement. Notwithstanding the termination right, we are, at this time, continuing to supply BioManguinhos alfataliglicerase to Fiocruz and patients continue to be treated with BioManguinhos alfataliglicerase in Brazil.</w:t>
      </w:r>
    </w:p>
    <w:p>
      <w:pPr>
        <w:spacing w:after="0" w:line="116"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We believe that our cash and cash equivalents and short-term bank deposits as of December 31, 2022 are sufficient to satisfy our capital needs for at least 12 months from the date that these financial statements are issued. In addition, under the terms of our outstanding 7.50% Senior Secured Convertible Notes due 2024 (the “2024 Notes, we are required to maintain a minimum cash balance of at least $7.5 million.</w:t>
      </w:r>
    </w:p>
    <w:p>
      <w:pPr>
        <w:spacing w:after="0" w:line="139"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We have licensed the rights to commercialize taliglucerase alfa worldwide (other than Brazil) to Pfizer, and the rights to commercialize pegunigalsidase alfa worldwide to Chiesi. Otherwise, we hold the worldwide commercialization rights to our other proprietary development candidates. In addition, we continuously evaluate potential strategic marketing partnerships as well as collaboration programs with biotechnology and pharmaceutical companies and academic research institutes.</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89"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note 1 to our consolidated financial statements appearing at the end of this Annual Report on Form 10-K. We believe that the accounting policies below are critical for one to fully understand and evaluate our financial condition and results of operations.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on our financial statements, which we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On an ongoing basis, we evaluate such estimates and judgments, including those described in greater detail below.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89"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Our primary sources of revenues include our sales of BioManguinhos alfataliglicerase in Brazil, of drug substance to Pfizer under our Amended Pfizer Agreement and of drug product to Chiesi under the Chiesi Agreements. We recognize revenue from the Amended Pfizer Agreement at a point in time when control over the product is transferred to customers (upon delivery).</w:t>
      </w:r>
    </w:p>
    <w:p>
      <w:pPr>
        <w:spacing w:after="0" w:line="13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also generate revenues from the Chiesi Agreements. According to Accounting Standards Codification 606, Revenue from Contracts with Customers, and all the related amendments, or ASC 606, a performance obligation is a promise to provide a distinct good or service or a series of distinct goods or services. Goods and services that are not distinct are bundled with other goods or services in the contract until a bundle of goods or services that is distinct is created. A good or service promised to a customer is distinct if the customer can benefit from the good or service either on its own or together with other resources that are readily available to the customer and the entity’s promise to transfer the good or service to the customer is separately identifiable from other promises in the contract.</w:t>
      </w:r>
    </w:p>
    <w:p>
      <w:pPr>
        <w:spacing w:after="0" w:line="162"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We have identified two performance obligations in the Chiesi Agreements as follows: (1) the license and research and development services and (2) contingent performance obligation regarding future manufacturing.</w:t>
      </w:r>
    </w:p>
    <w:p>
      <w:pPr>
        <w:spacing w:after="0" w:line="121"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We determined that the license together with the research and development services should be combined into a single performance obligation since Chiesi cannot benefit from the license without the research and development services. The research and development services are highly specialized and are dependent on the supply of the drug.</w:t>
      </w:r>
    </w:p>
    <w:p>
      <w:pPr>
        <w:spacing w:after="0" w:line="135" w:lineRule="exact"/>
        <w:rPr>
          <w:sz w:val="20"/>
          <w:szCs w:val="20"/>
          <w:color w:val="auto"/>
        </w:rPr>
      </w:pPr>
    </w:p>
    <w:p>
      <w:pPr>
        <w:jc w:val="both"/>
        <w:ind w:left="60" w:right="319"/>
        <w:spacing w:after="0" w:line="266" w:lineRule="auto"/>
        <w:rPr>
          <w:sz w:val="20"/>
          <w:szCs w:val="20"/>
          <w:color w:val="auto"/>
        </w:rPr>
      </w:pPr>
      <w:r>
        <w:rPr>
          <w:rFonts w:ascii="Times New Roman" w:cs="Times New Roman" w:eastAsia="Times New Roman" w:hAnsi="Times New Roman"/>
          <w:sz w:val="18"/>
          <w:szCs w:val="18"/>
          <w:color w:val="auto"/>
        </w:rPr>
        <w:t>The future manufacturing is contingent on regulatory approvals of the drug and we deem these services to be separately identifiable from other performance obligations in the contract. Manufacturing services post-regulatory approval are not interdependent or interrelated with the license and research and development services.</w:t>
      </w:r>
    </w:p>
    <w:p>
      <w:pPr>
        <w:spacing w:after="0" w:line="149"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The transaction price of the Chiesi Agreements was comprised of fixed consideration and variable consideration (capped research and development reimbursements). Under ASC 606, the consideration to which we would be entitled upon the achievement of contractual milestones, which are contingent upon the occurrence of future events, are a form of variable consideration. We estimate variable consideration using the most likely method. Amounts included in the transaction price are recognized only when it is probable that a significant reversal of cumulative revenues will not occur. Prior to recognizing revenue from variable consideration, we use significant judgment to determine the probability of a significant reversal of such revenue.</w:t>
      </w:r>
    </w:p>
    <w:p>
      <w:pPr>
        <w:spacing w:after="0" w:line="148"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Since the customer benefits from the research and development services as the entity performs the service, revenue from granting the license and the research and development services is recognized over time using the cost-to-cost method. We used significant judgment when we determined the costs expected to be incurred upon satisfying the identified performance obligation.</w:t>
      </w:r>
    </w:p>
    <w:p>
      <w:pPr>
        <w:spacing w:after="0" w:line="139"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Revenue from additional research and development services ordered by Chiesi is recognized over time using the cost-to-cost method.</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89"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We expect our research and development expense to remain our primary expense in the near future as we continue to develop our product candidates. Research and development expense consists of:</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costs associated with research and development activities;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to third party contract research organizations, investigative/clinical sites and consultants;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development costs;</w:t>
      </w:r>
    </w:p>
    <w:p>
      <w:pPr>
        <w:spacing w:after="0" w:line="184" w:lineRule="exact"/>
        <w:rPr>
          <w:rFonts w:ascii="Times New Roman" w:cs="Times New Roman" w:eastAsia="Times New Roman" w:hAnsi="Times New Roman"/>
          <w:sz w:val="18"/>
          <w:szCs w:val="18"/>
          <w:color w:val="auto"/>
        </w:rPr>
      </w:pPr>
    </w:p>
    <w:p>
      <w:pPr>
        <w:ind w:left="1040" w:right="99" w:hanging="315"/>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benefits, travel, and related costs for the personnel involved in research and development;</w:t>
      </w:r>
    </w:p>
    <w:p>
      <w:pPr>
        <w:spacing w:after="0" w:line="13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relating to the advancement of product candidates through preclinical studies and clinical trials; and</w:t>
      </w:r>
    </w:p>
    <w:p>
      <w:pPr>
        <w:spacing w:after="0" w:line="184" w:lineRule="exact"/>
        <w:rPr>
          <w:rFonts w:ascii="Times New Roman" w:cs="Times New Roman" w:eastAsia="Times New Roman" w:hAnsi="Times New Roman"/>
          <w:sz w:val="18"/>
          <w:szCs w:val="18"/>
          <w:color w:val="auto"/>
        </w:rPr>
      </w:pPr>
    </w:p>
    <w:p>
      <w:pPr>
        <w:ind w:left="1040" w:right="159" w:hanging="315"/>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and other allocated expenses, which include direct and allocated expenses for rent and maintenance of facilities, as well as laboratory and other supplies.</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identifies our current major research and development projects:</w:t>
      </w: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Project</w:t>
            </w:r>
          </w:p>
        </w:tc>
        <w:tc>
          <w:tcPr>
            <w:tcW w:w="30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28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Expected Near Term Milestones</w:t>
            </w:r>
          </w:p>
        </w:tc>
      </w:tr>
      <w:tr>
        <w:trPr>
          <w:trHeight w:val="204"/>
        </w:trPr>
        <w:tc>
          <w:tcPr>
            <w:tcW w:w="3000" w:type="dxa"/>
            <w:vAlign w:val="bottom"/>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PRX-102 – pegunigalsidase alfa</w:t>
            </w:r>
          </w:p>
        </w:tc>
        <w:tc>
          <w:tcPr>
            <w:tcW w:w="3040" w:type="dxa"/>
            <w:vAlign w:val="bottom"/>
            <w:shd w:val="clear" w:color="auto" w:fill="CCEEFF"/>
          </w:tcPr>
          <w:p>
            <w:pPr>
              <w:jc w:val="center"/>
              <w:ind w:left="30"/>
              <w:spacing w:after="0" w:line="205" w:lineRule="exact"/>
              <w:rPr>
                <w:sz w:val="20"/>
                <w:szCs w:val="20"/>
                <w:color w:val="auto"/>
              </w:rPr>
            </w:pPr>
            <w:r>
              <w:rPr>
                <w:rFonts w:ascii="Times New Roman" w:cs="Times New Roman" w:eastAsia="Times New Roman" w:hAnsi="Times New Roman"/>
                <w:sz w:val="18"/>
                <w:szCs w:val="18"/>
                <w:i w:val="1"/>
                <w:iCs w:val="1"/>
                <w:color w:val="auto"/>
              </w:rPr>
              <w:t xml:space="preserve">BALANCE, BRIDGE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BRIGHT</w:t>
            </w:r>
          </w:p>
        </w:tc>
        <w:tc>
          <w:tcPr>
            <w:tcW w:w="2860" w:type="dxa"/>
            <w:vAlign w:val="bottom"/>
            <w:shd w:val="clear" w:color="auto" w:fill="CCEEFF"/>
          </w:tcPr>
          <w:p>
            <w:pPr>
              <w:jc w:val="center"/>
              <w:ind w:left="70"/>
              <w:spacing w:after="0" w:line="205" w:lineRule="exact"/>
              <w:rPr>
                <w:sz w:val="20"/>
                <w:szCs w:val="20"/>
                <w:color w:val="auto"/>
              </w:rPr>
            </w:pPr>
            <w:r>
              <w:rPr>
                <w:rFonts w:ascii="Times New Roman" w:cs="Times New Roman" w:eastAsia="Times New Roman" w:hAnsi="Times New Roman"/>
                <w:sz w:val="18"/>
                <w:szCs w:val="18"/>
                <w:color w:val="auto"/>
              </w:rPr>
              <w:t>Following the positive opinion form</w:t>
            </w:r>
          </w:p>
        </w:tc>
      </w:tr>
      <w:tr>
        <w:trPr>
          <w:trHeight w:val="216"/>
        </w:trPr>
        <w:tc>
          <w:tcPr>
            <w:tcW w:w="3000" w:type="dxa"/>
            <w:vAlign w:val="bottom"/>
            <w:shd w:val="clear" w:color="auto" w:fill="CCEEFF"/>
          </w:tcPr>
          <w:p>
            <w:pPr>
              <w:spacing w:after="0"/>
              <w:rPr>
                <w:sz w:val="18"/>
                <w:szCs w:val="18"/>
                <w:color w:val="auto"/>
              </w:rPr>
            </w:pPr>
          </w:p>
        </w:tc>
        <w:tc>
          <w:tcPr>
            <w:tcW w:w="30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studies complete; extension studies</w:t>
            </w:r>
          </w:p>
        </w:tc>
        <w:tc>
          <w:tcPr>
            <w:tcW w:w="28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the CHMP, EMA response to MAA</w:t>
            </w:r>
          </w:p>
        </w:tc>
      </w:tr>
      <w:tr>
        <w:trPr>
          <w:trHeight w:val="216"/>
        </w:trPr>
        <w:tc>
          <w:tcPr>
            <w:tcW w:w="3000" w:type="dxa"/>
            <w:vAlign w:val="bottom"/>
            <w:shd w:val="clear" w:color="auto" w:fill="CCEEFF"/>
          </w:tcPr>
          <w:p>
            <w:pPr>
              <w:spacing w:after="0"/>
              <w:rPr>
                <w:sz w:val="18"/>
                <w:szCs w:val="18"/>
                <w:color w:val="auto"/>
              </w:rPr>
            </w:pPr>
          </w:p>
        </w:tc>
        <w:tc>
          <w:tcPr>
            <w:tcW w:w="30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ongoing</w:t>
            </w:r>
          </w:p>
        </w:tc>
        <w:tc>
          <w:tcPr>
            <w:tcW w:w="28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expected by May 3, 2023, and the</w:t>
            </w:r>
          </w:p>
        </w:tc>
      </w:tr>
      <w:tr>
        <w:trPr>
          <w:trHeight w:val="248"/>
        </w:trPr>
        <w:tc>
          <w:tcPr>
            <w:tcW w:w="3000" w:type="dxa"/>
            <w:vAlign w:val="bottom"/>
            <w:shd w:val="clear" w:color="auto" w:fill="CCEEFF"/>
          </w:tcPr>
          <w:p>
            <w:pPr>
              <w:spacing w:after="0"/>
              <w:rPr>
                <w:sz w:val="21"/>
                <w:szCs w:val="21"/>
                <w:color w:val="auto"/>
              </w:rPr>
            </w:pPr>
          </w:p>
        </w:tc>
        <w:tc>
          <w:tcPr>
            <w:tcW w:w="3040" w:type="dxa"/>
            <w:vAlign w:val="bottom"/>
            <w:shd w:val="clear" w:color="auto" w:fill="CCEEFF"/>
          </w:tcPr>
          <w:p>
            <w:pPr>
              <w:spacing w:after="0"/>
              <w:rPr>
                <w:sz w:val="21"/>
                <w:szCs w:val="21"/>
                <w:color w:val="auto"/>
              </w:rPr>
            </w:pPr>
          </w:p>
        </w:tc>
        <w:tc>
          <w:tcPr>
            <w:tcW w:w="28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FDA PDUFA date is May 9, 2023.</w:t>
            </w:r>
          </w:p>
        </w:tc>
      </w:tr>
      <w:tr>
        <w:trPr>
          <w:trHeight w:val="229"/>
        </w:trPr>
        <w:tc>
          <w:tcPr>
            <w:tcW w:w="30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198"/>
        </w:trPr>
        <w:tc>
          <w:tcPr>
            <w:tcW w:w="30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PRX-115 – Uricase</w:t>
            </w:r>
          </w:p>
        </w:tc>
        <w:tc>
          <w:tcPr>
            <w:tcW w:w="3040" w:type="dxa"/>
            <w:vAlign w:val="bottom"/>
            <w:shd w:val="clear" w:color="auto" w:fill="CCEEFF"/>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8"/>
              </w:rPr>
              <w:t>Preclinical</w:t>
            </w:r>
          </w:p>
        </w:tc>
        <w:tc>
          <w:tcPr>
            <w:tcW w:w="2860" w:type="dxa"/>
            <w:vAlign w:val="bottom"/>
            <w:shd w:val="clear" w:color="auto" w:fill="CCEEFF"/>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w w:val="99"/>
              </w:rPr>
              <w:t>Phase I clinical trial to commence in</w:t>
            </w:r>
          </w:p>
        </w:tc>
      </w:tr>
      <w:tr>
        <w:trPr>
          <w:trHeight w:val="248"/>
        </w:trPr>
        <w:tc>
          <w:tcPr>
            <w:tcW w:w="3000" w:type="dxa"/>
            <w:vAlign w:val="bottom"/>
            <w:shd w:val="clear" w:color="auto" w:fill="CCEEFF"/>
          </w:tcPr>
          <w:p>
            <w:pPr>
              <w:spacing w:after="0"/>
              <w:rPr>
                <w:sz w:val="21"/>
                <w:szCs w:val="21"/>
                <w:color w:val="auto"/>
              </w:rPr>
            </w:pPr>
          </w:p>
        </w:tc>
        <w:tc>
          <w:tcPr>
            <w:tcW w:w="3040" w:type="dxa"/>
            <w:vAlign w:val="bottom"/>
            <w:shd w:val="clear" w:color="auto" w:fill="CCEEFF"/>
          </w:tcPr>
          <w:p>
            <w:pPr>
              <w:spacing w:after="0"/>
              <w:rPr>
                <w:sz w:val="21"/>
                <w:szCs w:val="21"/>
                <w:color w:val="auto"/>
              </w:rPr>
            </w:pPr>
          </w:p>
        </w:tc>
        <w:tc>
          <w:tcPr>
            <w:tcW w:w="28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the first half of 2023.</w:t>
            </w:r>
          </w:p>
        </w:tc>
      </w:tr>
      <w:tr>
        <w:trPr>
          <w:trHeight w:val="230"/>
        </w:trPr>
        <w:tc>
          <w:tcPr>
            <w:tcW w:w="30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30"/>
        </w:trPr>
        <w:tc>
          <w:tcPr>
            <w:tcW w:w="3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PRX-119 – Long Acting DNase I</w:t>
            </w:r>
          </w:p>
        </w:tc>
        <w:tc>
          <w:tcPr>
            <w:tcW w:w="30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Preclinical</w:t>
            </w:r>
          </w:p>
        </w:tc>
        <w:tc>
          <w:tcPr>
            <w:tcW w:w="2860" w:type="dxa"/>
            <w:vAlign w:val="bottom"/>
            <w:shd w:val="clear" w:color="auto" w:fill="CCEEFF"/>
          </w:tcPr>
          <w:p>
            <w:pPr>
              <w:spacing w:after="0"/>
              <w:rPr>
                <w:sz w:val="19"/>
                <w:szCs w:val="19"/>
                <w:color w:val="auto"/>
              </w:rPr>
            </w:pPr>
          </w:p>
        </w:tc>
      </w:tr>
    </w:tbl>
    <w:p>
      <w:pPr>
        <w:spacing w:after="0" w:line="198"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We anticipate incurring increasing costs in connection with the continued development of all of the product candidates in our pipeline. Our internal resources, employees and infrastructure are not tied to any individual research project and are typically deployed across all of our projects. We currently do not record and maintain research and development costs per project.</w:t>
      </w:r>
    </w:p>
    <w:p>
      <w:pPr>
        <w:spacing w:after="0" w:line="153"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The costs and expenses of our projects are partially funded by grants we have received from NATI. Each grant is deducted from the related research and development expenses as the costs are incurred. For additional information regarding the grant process, see “Business—Israeli Government Programs— Encouragement of Industrial Research, Development and Technology Innovation, 1984” in Item 1 of this Annual Report. There can be no assurance that we will continue to receive grants from NATI in amounts sufficient for our operations, if at all. In addition, under the two Chiesi Agreements, Protalix Ltd. was entitled to payments of up to $45.0 million in the aggregate to cover development costs for pegunigalsidase alfa, capped at $17.5 million per year. To date, Protalix Ltd. has received all of the development costs to which it is entitled under the Chiesi Agreements.</w:t>
      </w:r>
    </w:p>
    <w:p>
      <w:pPr>
        <w:spacing w:after="0" w:line="151"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At this time, due to the inherently unpredictable nature of preclinical and clinical development processes and given the early stage of our preclinical product development programs, we are unable to estimate with any certainty the costs we will incur in the continued development of the product candidates in our pipeline for potential commercialization. Clinical development timelines, the probability of success and development costs can differ materially from expectations. The current focus of our product development efforts are on pegunigalsidase alfa. Our future research and development expenses for pegunigalsidase alfa and the other product candidates will depend on the clinical success of each product candidate, as well as ongoing assessments of each product candidate’s commercial potential. In addition, we cannot forecast with any degree of certainty which product candidates may be subject to future collaborations, when such arrangements will be secured, if at all, and to what degree such arrangements would affect our development plans and capital requirements. See “Risk Factors—If we are unable to develop and commercialize our product candidates, our business will be adversely affected” and “—We may not obtain the necessary U.S., EMA or other worldwide regulatory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approvals to commercialize our drug candidates in a timely manner, if at all, which would have a material adverse effect on our business, results of operations and financial condition.”</w:t>
      </w:r>
    </w:p>
    <w:p>
      <w:pPr>
        <w:spacing w:after="0" w:line="135"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We expect our research and development expenses to continue to be our primary expense in the future as we continue the advancement of our clinical trials and preclinical product development programs for our product candidates, particularly with respect to the development of pegunigalsidase alfa. The lengthy process of completing clinical trials and seeking regulatory approvals for our product candidates requires expenditure of substantial resources. Any failure or delay in completing clinical trials, or in obtaining regulatory approvals, could cause a delay in generating product revenue and cause our research and development expense to increase and, in turn, have a material adverse effect on our operations. Due to the factors set forth above, we are not able to estimate with any certainty when we would recognize any net cash inflows from our projects. See “Risk Factors—Clinical trials are very expensive, time-consuming and difficult to design and implement and may result in unforeseen costs which may have a material adverse effect on our business, results of operations and financial condition.”</w:t>
      </w:r>
    </w:p>
    <w:p>
      <w:pPr>
        <w:spacing w:after="0" w:line="1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8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We measure share-based compensation cost for all share-based awards at the fair value on the grant date and recognition of share-based compensation over the related service period. The fair value of stock options is determined based on the number of shares granted and the price of our common stock, and calculated based on the Black-Scholes valuation model. For grants made to employees and non-employees, we recognize the fair value of the grant as expense over the service period using the accelerated method.</w:t>
      </w:r>
    </w:p>
    <w:p>
      <w:pPr>
        <w:spacing w:after="0" w:line="156"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The guidance requires companies to estimate the expected term of the option rather than simply using the contractual term of an option. Because of lack of sufficient data on past option exercises by employees, the expected term of the options could not be based on historic exercise patterns. Accordingly, we adopted the simplified method, according to which companies may calculate the expected term as the average between the vesting date and the expiration date, assuming the option was granted as a “plain vanilla” option.</w:t>
      </w:r>
    </w:p>
    <w:p>
      <w:pPr>
        <w:spacing w:after="0" w:line="143"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In performing the valuation, we assumed an expected 0% dividend yield in the previous years and in the next years. We do not have a dividend policy and given the lack of profitability, dividends are not expected in the foreseeable future, if at all. The guidance stipulates a number of factors that should be considered when estimating the expected volatility, including the implied volatility of traded options, historical volatility and the period that the shares of the company are being publicly traded.</w:t>
      </w:r>
    </w:p>
    <w:p>
      <w:pPr>
        <w:spacing w:after="0" w:line="143"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risk-free interest rate used in the valuation of the options is based on the implied yield of U.S. federal reserve zero– coupon government bonds. The remaining term of the bonds used for each valuation was equal to the expected term of the grant. This methodology has been applied to all grants valued by us. The guidance requires the use of a risk–free interest rate based on the implied yield currently available on zero–coupon government issues of the country in whose currency the exercise price is expressed, with a remaining term equal to the expected life of the option being valued. This requirement has been applied for all grants valued as part of this report.</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89"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The outstanding convertible notes are accounted for using the guidance set forth in the Financial Accounting Standards Board, or the FASB, Accounting Standards Codification, or ASC, 815 requiring that we determine whether the embedded conversion option must be separated and accounted for separately. ASC 470-20 regarding debt with conversion and other options requires the issuer of a convertible debt instrument that may be settled in cash upon conversion to separately account for the liability (debt) and equity (conversion option) components of the instrument in a manner that reflects the issuer’s nonconvertible debt borrowing rate. The 2021 Notes were accounted for partially as liability and equity components of the instrument and partially as a debt host contract with an embedded derivative resulting from the conversion feature. The 2024 Notes were accounted for as a liability (debt) and equity component (conversion option) as the convertible notes may be settled wholly or partly in cash, at our option, when converted.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Issuance costs regarding the issuance of the 2021 Notes, as well as the debt discount and debt issuance costs from the issuance of the 2024 Notes, were deferred and amortized over the applicable convertible notes period using the effective interest rate.</w:t>
      </w:r>
    </w:p>
    <w:p>
      <w:pPr>
        <w:spacing w:after="0" w:line="149"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On August 25, 2021, we completed the Exchanges of a substantial majority of the 2021 Notes with certain institutional note holders. The Exchanges involved the exchange of an aggregate of $54.65 million principal amount of our outstanding 2021 Notes for an aggregate of $28.75 million principal amount of newly issued 2024 Notes, $25.90 million in cash, and approximately $1.1 million in cash representing accrued and unpaid interest through the closing date. The initial conversion rate for the 2024 Notes is 563.2216 shares of common stock for each $1,000 principal amount of 2024 Notes (equivalent to an initial conversion price of approximately $1.7755 per share of the common stock), subject to adjustment in certain circumstances. This initial conversion price represents a premium of approximately 32.5% relative to the closing price of our common stock on the NYSE American on August 13, 2021. The Exchanges are described in greater detail in Note 10 to the consolidated financial statements.</w:t>
      </w:r>
    </w:p>
    <w:p>
      <w:pPr>
        <w:spacing w:after="0" w:line="148"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For accounting purposes, as the terms of the 2021 Notes and the 2024 Notes are substantially different, the Exchanges were considered an extinguishment of debt. We allocated the fair value of the consideration transferred to the participating note holders between the 2021 Notes and their equity component based on the fair value of the liability component before the extinguishment, and the remainder was allocated to the equity component. As a result, we recognized a loss from extinguishment in the statement of operations equal to $0.8 million due to derecognition of the liability component and a reduction of stockholders’ equity of $12.2 million.</w:t>
      </w:r>
    </w:p>
    <w:p>
      <w:pPr>
        <w:spacing w:after="0" w:line="147"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As of December 31, 2022, a total of $28.75 million aggregate principal amount of the 2024 Notes were outstanding. In addition, as of December 31, 2022 and 2021, none of the 2021 Notes were outstanding.</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2022 Compared to the Year Ended December 31, 2021</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Revenues from Selling Goods</w:t>
      </w:r>
    </w:p>
    <w:p>
      <w:pPr>
        <w:spacing w:after="0" w:line="200"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We recorded revenues of $25.3 million for the year ended December 31, 2022, an increase of $8.6 million, or 51%, compared to revenues of $16.7 million for the year ended December 31, 2021. The increase resulted from an increase of $2.2 million in sales to Pfizer, an increase of $3.1 million in sales to Brazil and an increase of $3.3 million in sales to Chiesi.</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Revenues from License and R&amp;D services</w:t>
      </w:r>
    </w:p>
    <w:p>
      <w:pPr>
        <w:spacing w:after="0" w:line="187"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We recorded revenues from license and R&amp;D services of $22.3 million for the year ended December 31, 2022, an increase of $0.7 million, or 3%, compared to revenues of $21.6 million for the year ended December 31, 2021. Revenues from license and R&amp;D services represent mainly the revenues we recognized in connection with the Chiesi Agreements.</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187"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Cost of goods sold was $19.6 million for the year ended December 31, 2022, an increase of $3.3 million, or 20%, compared to cost of goods sold of $16.3 million for the year ended December 31, 2021. The increase in cost of goods sold was primarily the result of the increase in sales of goods.</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year ended December 31, 2022, our total research and development expenses were approximately $29.3 million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comprised of approximately $17.8 million in subcontractor-related expenses, approximately $7.3 million of salary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related expenses, approximately $1.4 million of materials-related expenses and approximately $2.8 million of other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expenses. For the year ended December 31, 2021, our total research and development expenses were approximately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$29.7 million comprised of approximately $18.4 million in subcontractor-related expenses, approximately $7.4 million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salary and related expenses, approximately $1.2 million of materials-related expenses and approximately $2.7 million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expenses.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The decrease in research and developments expenses of $0.4 million, or 1%, for the year ended December 31, 2022 compared to the year ended December 31, 2021 resulted primarily from a $0.6 million decrease in subcontractor-related expenses in connection with our PRX-102 clinical trials, partially offset by a $0.2 million increase in materials-related expenses.</w:t>
      </w:r>
    </w:p>
    <w:p>
      <w:pPr>
        <w:spacing w:after="0" w:line="153"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We expect research and development expenses to continue to be our primary expense as we enter into a more advanced stage of preclinical and clinical trials for certain of our product candidates.</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87" w:lineRule="exact"/>
        <w:rPr>
          <w:sz w:val="20"/>
          <w:szCs w:val="20"/>
          <w:color w:val="auto"/>
        </w:rPr>
      </w:pPr>
    </w:p>
    <w:p>
      <w:pPr>
        <w:ind w:left="60" w:right="419"/>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were $11.7 million for the year ended December 31, 2022, a decrease of $1.0 million, or 8%, from $12.7 million for the year ended December 31, 2021. The decrease resulted primarily from a decrease in professional fees and salary-related expenses.</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Financial Expenses and Income, Net</w:t>
      </w:r>
    </w:p>
    <w:p>
      <w:pPr>
        <w:spacing w:after="0" w:line="187"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Financial expense, net was $1.4 million for the year ended December 31, 2022, a decrease of $5.7 million, or 80%, compared to financial expenses of $7.1 million for the year ended December 31, 2021. The decrease resulted primarily from lower interest and debt amortization costs due to a decrease in our outstanding notes from an aggregate principal amount of $57.92 million of 2021 Notes to an aggregate principal amount of $28.75 million of 2024 Notes, and an increase in the exchange rate of New Israeli Shekels for U.S. Dollars over the period.</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Section 174 of the TCJA, which was enacted in December 2017, eliminated the option to immediately deduct research and development expenses in the year incurred, effective January 1, 2022. The amended provision under Section 174 requires us to capitalize and amortize these expenditures over fifteen years (for out of U.S.-based research and development). In the year ended December 31, 2022, we recorded income taxes of approximately $530,000.</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2021 Compared to the Year Ended December 31, 2020</w:t>
      </w:r>
    </w:p>
    <w:p>
      <w:pPr>
        <w:spacing w:after="0" w:line="189"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For a discussion of the year ended December 31, 2021 compared to the year ended December 31, 2020, see Management’s Discussion and Analysis of Financial Condition and Results of Operations included in our Annual Report on Form 10-K for the year ended December 31, 2021.</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Our sources of liquidity include our cash balances and bank deposits. At December 31, 2022, we had $22.2 million in cash and cash equivalents. We have primarily financed our operations through equity and debt financings, business collaborations, and grants funding.</w:t>
      </w:r>
    </w:p>
    <w:p>
      <w:pPr>
        <w:spacing w:after="0" w:line="135"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we raised gross proceeds equal to approximately $8.7 million from the sale of 7,473,038 shares of our common stock under our ATM program.</w:t>
      </w:r>
    </w:p>
    <w:p>
      <w:pPr>
        <w:spacing w:after="0" w:line="121"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2021, we raised gross proceeds equal to approximately $8.8 million from sales of common stock under our ATM program through the sale of 1,867,552 shares of our common stock. In addition, we raised gross proceeds of approximately $40.2 million from a public offering of our common stock before deducting the underwriting discount and estimated expenses of the offering. In connection with the offering, we issued 8,749,999 shares of our common stock at a purchase price per share of $4.60.</w:t>
      </w:r>
    </w:p>
    <w:p>
      <w:pPr>
        <w:spacing w:after="0" w:line="15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On August 25, 2021, we completed Exchanges with institutional note holders of a substantial majority of the then outstanding 2021 Notes. The Exchanges involved the exchange of an aggregate of $54.65 million principal amount of 2021 Notes for an aggregate of $28.75 million principal amount of newly issued 2024 Notes, $25.90 million in cash and approximately $1.1 million in cash representing accrued and unpaid interest through the closing date. The initial conversion rate of the 2024 Notes is 563.2216 shares of our common stock per $1,000 principal amount of 2024 Notes, which is equivalent to an initial conversion price of approximately $1.7755 per share of common stock, subject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adjustment in certain circumstances. This initial conversion price represents a premium of approximately 32.5% relative to the closing price of the common stock on the NYSE American on August 13, 2021. After giving effect to the Exchanges, $3.27 million aggregate principal amount of the 2021 Notes remained outstanding. On November 15, 2021, all of the then outstanding 2021 Notes matured and were paid in full.</w:t>
      </w:r>
    </w:p>
    <w:p>
      <w:pPr>
        <w:spacing w:after="0" w:line="153" w:lineRule="exact"/>
        <w:rPr>
          <w:sz w:val="20"/>
          <w:szCs w:val="20"/>
          <w:color w:val="auto"/>
        </w:rPr>
      </w:pPr>
    </w:p>
    <w:p>
      <w:pPr>
        <w:ind w:left="60" w:right="119"/>
        <w:spacing w:after="0" w:line="277" w:lineRule="auto"/>
        <w:rPr>
          <w:sz w:val="20"/>
          <w:szCs w:val="20"/>
          <w:color w:val="auto"/>
        </w:rPr>
      </w:pPr>
      <w:r>
        <w:rPr>
          <w:rFonts w:ascii="Times New Roman" w:cs="Times New Roman" w:eastAsia="Times New Roman" w:hAnsi="Times New Roman"/>
          <w:sz w:val="17"/>
          <w:szCs w:val="17"/>
          <w:color w:val="auto"/>
        </w:rPr>
        <w:t>The 2024 Notes were issued pursuant to the 2024 Indenture which was entered into between us, the guarantors party thereto, The Bank of New York Mellon Trust Company, N.A., as trustee and Wilmington Savings Fund Society, FSB, as collateral agent. Interest on the Notes are payable semi-annually at a rate of 7.50% per annum. The 2024 Notes will mature three years after the issuance thereof, unless earlier purchased, converted, exchanged or redeemed and will be guaranteed by our subsidiaries. The 2024 Notes are secured by perfected liens on all of our assets, including those of our subsidiaries.</w:t>
      </w:r>
    </w:p>
    <w:p>
      <w:pPr>
        <w:spacing w:after="0" w:line="1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87" w:lineRule="exact"/>
        <w:rPr>
          <w:sz w:val="20"/>
          <w:szCs w:val="20"/>
          <w:color w:val="auto"/>
        </w:rPr>
      </w:pPr>
    </w:p>
    <w:p>
      <w:pPr>
        <w:ind w:left="60" w:right="539"/>
        <w:spacing w:after="0" w:line="276" w:lineRule="auto"/>
        <w:rPr>
          <w:sz w:val="20"/>
          <w:szCs w:val="20"/>
          <w:color w:val="auto"/>
        </w:rPr>
      </w:pPr>
      <w:r>
        <w:rPr>
          <w:rFonts w:ascii="Times New Roman" w:cs="Times New Roman" w:eastAsia="Times New Roman" w:hAnsi="Times New Roman"/>
          <w:sz w:val="17"/>
          <w:szCs w:val="17"/>
          <w:color w:val="auto"/>
        </w:rPr>
        <w:t>Net cash used in operations was $25.0 million for the year ended December 31, 2022. The net loss for the year ended December 31, 2022 of $14.4 million was further increased by a $7.2 million decrease in contracts liability and a</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$5.3 million decrease in accounts payable and accruals and $1.2 million increase in accounts receivable-trade and other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assets, which was partially offset by a $2.1 million in share-based compensation and $1.1 million in depreciation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$1.2 million decrease in inventories. Net cash used in investing activities for the year ended December 31, 2022 was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$5.0 million and consisted primarily of a net increase in bank deposits. Net cash provided by financing activities for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year ended December 31, 2022 was $8.2 million representing net proceeds from the issuance of common stock through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ATM Program.</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Future Funding Requirements</w:t>
      </w:r>
    </w:p>
    <w:p>
      <w:pPr>
        <w:spacing w:after="0" w:line="187"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 xml:space="preserve">As a result of our significant research and development expenditures and the lack of significant revenue from sales of taliglucerase alfa, we have generated operating losses from our continuing operations since our inception. Our outstanding 2024 Notes are secured by a perfected lien on all of our assets. Under the terms of the 2024 Indenture, we are required to comply with </w:t>
      </w:r>
      <w:r>
        <w:rPr>
          <w:rFonts w:ascii="Times New Roman" w:cs="Times New Roman" w:eastAsia="Times New Roman" w:hAnsi="Times New Roman"/>
          <w:sz w:val="18"/>
          <w:szCs w:val="18"/>
          <w:color w:val="222222"/>
        </w:rPr>
        <w:t>certain covenants, including the requirement to</w:t>
      </w:r>
      <w:r>
        <w:rPr>
          <w:rFonts w:ascii="Times New Roman" w:cs="Times New Roman" w:eastAsia="Times New Roman" w:hAnsi="Times New Roman"/>
          <w:sz w:val="18"/>
          <w:szCs w:val="18"/>
          <w:color w:val="auto"/>
        </w:rPr>
        <w:t xml:space="preserve"> maintain a minimum cash balance of at least $7.5 million. Failure to comply with such covenants may result in an event of default under the 2024 Indenture and, accordingly, may result in the acceleration of the payment of the notes or in additional interest payments. As of December 31, 2022, we were in compliance with all covenants.</w:t>
      </w:r>
    </w:p>
    <w:p>
      <w:pPr>
        <w:spacing w:after="0" w:line="148"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 expect to continue to incur significant expenditures in the near future as we increase our research and developments efforts with respect to our product candidates. We cannot anticipate the costs or the timing of the occurrence of such costs. To the extent we need to obtain additional financing, it may be more difficult for us to do so given the volatility of the price of our common stock. Our material cash needs for the next 24 months will include, among other expenses, (i) costs of preclinical and clinical trials, (ii) employee salaries, (iii) payments for rent and operation of our manufacturing facilities,</w:t>
      </w:r>
    </w:p>
    <w:p>
      <w:pPr>
        <w:spacing w:after="0" w:line="3" w:lineRule="exact"/>
        <w:rPr>
          <w:sz w:val="20"/>
          <w:szCs w:val="20"/>
          <w:color w:val="auto"/>
        </w:rPr>
      </w:pPr>
    </w:p>
    <w:p>
      <w:pPr>
        <w:ind w:left="360" w:hanging="310"/>
        <w:spacing w:after="0"/>
        <w:tabs>
          <w:tab w:leader="none" w:pos="3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to our consultants and legal advisors, patent advisors and fees for service providers in connection with our</w:t>
      </w:r>
    </w:p>
    <w:p>
      <w:pPr>
        <w:spacing w:after="0" w:line="9" w:lineRule="exact"/>
        <w:rPr>
          <w:rFonts w:ascii="Times New Roman" w:cs="Times New Roman" w:eastAsia="Times New Roman" w:hAnsi="Times New Roman"/>
          <w:sz w:val="18"/>
          <w:szCs w:val="18"/>
          <w:color w:val="auto"/>
        </w:rPr>
      </w:pPr>
    </w:p>
    <w:p>
      <w:pPr>
        <w:ind w:left="60" w:right="3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efforts and (v) payments of principal and interest on our outstanding 2024 Notes. We believe that the funds currently available to us are sufficient to satisfy our capital needs for at least 12 months.</w:t>
      </w:r>
    </w:p>
    <w:p>
      <w:pPr>
        <w:spacing w:after="0" w:line="154"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As discussed above, we may be required to raise additional capital to develop our product candidates and continue research and development activities. Our ability to raise capital, and the amounts of necessary capital, will depend on many other factors, including:</w:t>
      </w:r>
    </w:p>
    <w:p>
      <w:pPr>
        <w:spacing w:after="0" w:line="135" w:lineRule="exact"/>
        <w:rPr>
          <w:sz w:val="20"/>
          <w:szCs w:val="20"/>
          <w:color w:val="auto"/>
        </w:rPr>
      </w:pPr>
    </w:p>
    <w:p>
      <w:pPr>
        <w:ind w:left="1040" w:right="299" w:hanging="315"/>
        <w:spacing w:after="0" w:line="282"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and cost of discovery and preclinical development and laboratory testing and clinical trials for our product candidates;</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in commercializing BioManguinhos alfataliglicerase in Brazil;</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 of regulatory review of our product candidates;</w:t>
      </w:r>
    </w:p>
    <w:p>
      <w:pPr>
        <w:spacing w:after="0" w:line="184"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patent claims and other intellectual property rights;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any litigation claims.</w:t>
      </w:r>
    </w:p>
    <w:p>
      <w:pPr>
        <w:spacing w:after="0" w:line="198"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We expect to finance our future cash needs through corporate collaborations, licensing or similar arrangements, public or private equity offerings and/or debt financings. We currently do not have any commitments for future external funding, except with respect to the development-related payments and milestone payments that may become payable under the Chiesi Agreements. On July 2, 2021, we entered into the Sales Agreement in connection with a new ATM program, as amended on May 2, 2022, pursuant to which we may sell from time to time through the Agent ATM Shares having an aggregate offering price of up to $20.0 million. On the same date, we terminated our former ATM program. As of December 31, 2022, shares of our common stock for total gross proceeds of approximately $11.3 million remain available to be sold under the Sales Agreement. During January and February 2023, we sold 3,590,813 ATM Shares under the Sales Agreement generating gross proceeds equal to approximately $5.5 million.</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187" w:lineRule="exact"/>
        <w:rPr>
          <w:sz w:val="20"/>
          <w:szCs w:val="20"/>
          <w:color w:val="auto"/>
        </w:rPr>
      </w:pPr>
    </w:p>
    <w:p>
      <w:pPr>
        <w:ind w:left="60" w:right="819"/>
        <w:spacing w:after="0" w:line="282" w:lineRule="auto"/>
        <w:rPr>
          <w:sz w:val="20"/>
          <w:szCs w:val="20"/>
          <w:color w:val="auto"/>
        </w:rPr>
      </w:pPr>
      <w:r>
        <w:rPr>
          <w:rFonts w:ascii="Times New Roman" w:cs="Times New Roman" w:eastAsia="Times New Roman" w:hAnsi="Times New Roman"/>
          <w:sz w:val="18"/>
          <w:szCs w:val="18"/>
          <w:color w:val="auto"/>
        </w:rPr>
        <w:t>Our contractual obligations include obligations under our convertible notes, operating lease obligations, purchase obligations, a certain clinical contract and the liability for employee rights upon retirement.</w:t>
      </w:r>
    </w:p>
    <w:p>
      <w:pPr>
        <w:spacing w:after="0" w:line="135"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Our convertible senior notes had an aggregate outstanding principal balance of $28.75 million at December 31, 2022. The notes will mature on September 1, 2024 unless earlier purchased, converted, exchanged or redeemed, and interest is payable on the note semi-annually at a rate of 7.50% per annum.</w:t>
      </w:r>
    </w:p>
    <w:p>
      <w:pPr>
        <w:spacing w:after="0" w:line="135"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We lease certain assets under operating leases, which expire through 2026, with an option to extend the lease on our main facility to 2031. The leases relate primarily to office, laboratory and manufacturing space and vehicles used by our employees. Our aggregate future minimum commitments under these facility and vehicles leases over the next five fiscal years is approximately $3.8 million as of December 31, 2022.</w:t>
      </w:r>
    </w:p>
    <w:p>
      <w:pPr>
        <w:spacing w:after="0" w:line="139"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As of December 31, 2022, we are subject to open purchase orders issued to certain suppliers and other vendors mainly in connection with our research and development and manufacturing activities that were outstanding as of December 31, 2022 for approximately $7.4 million over the next five fiscal years.</w:t>
      </w:r>
    </w:p>
    <w:p>
      <w:pPr>
        <w:spacing w:after="0" w:line="149"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We have a contractual obligation of approximately $719,000 as of December 31, 2022 payable over the fiscal year ending December 31, 2023. In addition, we enter into contracts in the normal course of business with CROs, CMOs and other third parties for clinical trials, preclinical and other research studies and manufacturing services. These contracts do not contain minimum purchase commitments and are cancelable by us upon prior notice. Payments due upon cancellation consist only of payments for services provided or expenses incurred, including non-cancelable obligations of our service providers, up to the date of cancellation.</w:t>
      </w:r>
    </w:p>
    <w:p>
      <w:pPr>
        <w:spacing w:after="0" w:line="147" w:lineRule="exact"/>
        <w:rPr>
          <w:sz w:val="20"/>
          <w:szCs w:val="20"/>
          <w:color w:val="auto"/>
        </w:rPr>
      </w:pPr>
    </w:p>
    <w:p>
      <w:pPr>
        <w:ind w:left="60" w:right="619"/>
        <w:spacing w:after="0" w:line="282" w:lineRule="auto"/>
        <w:rPr>
          <w:sz w:val="20"/>
          <w:szCs w:val="20"/>
          <w:color w:val="auto"/>
        </w:rPr>
      </w:pPr>
      <w:r>
        <w:rPr>
          <w:rFonts w:ascii="Times New Roman" w:cs="Times New Roman" w:eastAsia="Times New Roman" w:hAnsi="Times New Roman"/>
          <w:sz w:val="18"/>
          <w:szCs w:val="18"/>
          <w:color w:val="auto"/>
        </w:rPr>
        <w:t>As of December 31, 2022, we have a contractual obligation of approximately $1.6 million for employee rights upon retirement.</w:t>
      </w:r>
    </w:p>
    <w:p>
      <w:pPr>
        <w:spacing w:after="0" w:line="121"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We are also party to certain research and license agreements. If all of the contingencies with respect to milestone payments under our research and license agreements are met, as of December 31, 2022, the aggregate milestone payments payable would be approximately $8.4 million, and would be payable, if at all, as our projects progress over the course of a number of years. The royalty payments payable by our company in connection with sales of each of our product candidates, if any, shall not exceed low, single-digit percentages of net sales of the relevant product.</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Effects of Currency Fluctuations</w:t>
      </w:r>
    </w:p>
    <w:p>
      <w:pPr>
        <w:spacing w:after="0" w:line="189" w:lineRule="exact"/>
        <w:rPr>
          <w:sz w:val="20"/>
          <w:szCs w:val="20"/>
          <w:color w:val="auto"/>
        </w:rPr>
      </w:pPr>
    </w:p>
    <w:p>
      <w:pPr>
        <w:ind w:left="60" w:right="359"/>
        <w:spacing w:after="0" w:line="261" w:lineRule="auto"/>
        <w:rPr>
          <w:sz w:val="20"/>
          <w:szCs w:val="20"/>
          <w:color w:val="auto"/>
        </w:rPr>
      </w:pPr>
      <w:r>
        <w:rPr>
          <w:rFonts w:ascii="Times New Roman" w:cs="Times New Roman" w:eastAsia="Times New Roman" w:hAnsi="Times New Roman"/>
          <w:sz w:val="18"/>
          <w:szCs w:val="18"/>
          <w:color w:val="auto"/>
        </w:rPr>
        <w:t>Currency fluctuations could affect us through increased or decreased acquisition costs for certain goods and services. Currency fluctuations during the year ended December 31, 2022, resulted in $1.0 million being recognized as financial income. We do not believe currency fluctuations have had a material effect on our results of operations during the years ended December 31, 2021 or 2022.</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02" w:lineRule="exact"/>
        <w:rPr>
          <w:sz w:val="20"/>
          <w:szCs w:val="20"/>
          <w:color w:val="auto"/>
        </w:rPr>
      </w:pPr>
    </w:p>
    <w:p>
      <w:pPr>
        <w:ind w:left="60" w:right="839"/>
        <w:spacing w:after="0" w:line="282" w:lineRule="auto"/>
        <w:rPr>
          <w:sz w:val="20"/>
          <w:szCs w:val="20"/>
          <w:color w:val="auto"/>
        </w:rPr>
      </w:pPr>
      <w:r>
        <w:rPr>
          <w:rFonts w:ascii="Times New Roman" w:cs="Times New Roman" w:eastAsia="Times New Roman" w:hAnsi="Times New Roman"/>
          <w:sz w:val="18"/>
          <w:szCs w:val="18"/>
          <w:color w:val="auto"/>
        </w:rPr>
        <w:t>Certain recently issued and recently adopted accounting pronouncements are discussed in note 1r of the financial statements included in Item 8 of this Annual Report on Form 10-K.</w:t>
      </w:r>
    </w:p>
    <w:p>
      <w:pPr>
        <w:spacing w:after="0" w:line="158"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Currency Exchange Risk</w:t>
      </w:r>
    </w:p>
    <w:p>
      <w:pPr>
        <w:spacing w:after="0" w:line="189"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The currency of the primary economic environment in which our operations are conducted is the U.S. dollar. Most of our revenues and above 50% of our expenses and capital expenditures are incurred in dollars, and a significant source of our financing has been provided in U.S. dollars. Since the dollar is the functional currency, monetary items maintained in currencies other than the dollar are remeasured using the rate of exchange in effect at the balance sheet dates and non-monetary items are remeasured at historical exchange rates. Revenue and expense items are remeasured at the average rate of exchange in effect during the period in which they occur. Foreign currency translation gains or losses are recognized in the statement of operations.</w:t>
      </w:r>
    </w:p>
    <w:p>
      <w:pPr>
        <w:spacing w:after="0" w:line="162"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Approximately 43% of our costs, including salaries, expenses and office expenses, are incurred in NIS. Inflation in Israel may have the effect of increasing the U.S. dollar cost of our operations in Israel. If the U.S. dollar declines in value in relation to the NIS, it will become more expensive for us to fund our operations in Israel. A revaluation of 1% of the NIS will affect our loss before tax by less than 1%. The exchange rate of the U.S. dollar to the NIS, based on exchange rates published by the Bank of Israel, was as follows:</w:t>
      </w:r>
    </w:p>
    <w:p>
      <w:pPr>
        <w:spacing w:after="0" w:line="150"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3803015</wp:posOffset>
            </wp:positionH>
            <wp:positionV relativeFrom="paragraph">
              <wp:posOffset>7620</wp:posOffset>
            </wp:positionV>
            <wp:extent cx="18776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ind w:left="6280"/>
        <w:spacing w:after="0"/>
        <w:tabs>
          <w:tab w:leader="none" w:pos="7300" w:val="left"/>
          <w:tab w:leader="none" w:pos="8340" w:val="left"/>
        </w:tabs>
        <w:rPr>
          <w:sz w:val="20"/>
          <w:szCs w:val="20"/>
          <w:color w:val="auto"/>
        </w:rPr>
      </w:pP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2021</w:t>
      </w:r>
      <w:r>
        <w:rPr>
          <w:sz w:val="20"/>
          <w:szCs w:val="20"/>
          <w:color w:val="auto"/>
        </w:rPr>
        <w:tab/>
      </w:r>
      <w:r>
        <w:rPr>
          <w:rFonts w:ascii="Times New Roman" w:cs="Times New Roman" w:eastAsia="Times New Roman" w:hAnsi="Times New Roman"/>
          <w:sz w:val="14"/>
          <w:szCs w:val="14"/>
          <w:b w:val="1"/>
          <w:bCs w:val="1"/>
          <w:color w:val="auto"/>
        </w:rPr>
        <w:t>2022</w:t>
      </w:r>
    </w:p>
    <w:tbl>
      <w:tblPr>
        <w:tblLayout w:type="fixed"/>
        <w:tblInd w:w="40" w:type="dxa"/>
        <w:tblCellMar>
          <w:top w:w="0" w:type="dxa"/>
          <w:left w:w="0" w:type="dxa"/>
          <w:bottom w:w="0" w:type="dxa"/>
          <w:right w:w="0" w:type="dxa"/>
        </w:tblCellMar>
      </w:tblPr>
      <w:tr>
        <w:trPr>
          <w:trHeight w:val="210"/>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rate for period</w:t>
            </w:r>
          </w:p>
        </w:tc>
        <w:tc>
          <w:tcPr>
            <w:tcW w:w="8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3.442</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3.230</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3.360</w:t>
            </w:r>
          </w:p>
        </w:tc>
      </w:tr>
      <w:tr>
        <w:trPr>
          <w:trHeight w:val="234"/>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at period-end</w:t>
            </w: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3.215</w:t>
            </w:r>
          </w:p>
        </w:tc>
        <w:tc>
          <w:tcPr>
            <w:tcW w:w="16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3.110</w:t>
            </w:r>
          </w:p>
        </w:tc>
        <w:tc>
          <w:tcPr>
            <w:tcW w:w="16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3.519</w:t>
            </w:r>
          </w:p>
        </w:tc>
      </w:tr>
    </w:tbl>
    <w:p>
      <w:pPr>
        <w:spacing w:after="0" w:line="179" w:lineRule="exact"/>
        <w:rPr>
          <w:sz w:val="20"/>
          <w:szCs w:val="20"/>
          <w:color w:val="auto"/>
        </w:rPr>
      </w:pPr>
    </w:p>
    <w:p>
      <w:pPr>
        <w:ind w:left="60" w:right="359"/>
        <w:spacing w:after="0" w:line="289" w:lineRule="auto"/>
        <w:rPr>
          <w:sz w:val="20"/>
          <w:szCs w:val="20"/>
          <w:color w:val="auto"/>
        </w:rPr>
      </w:pPr>
      <w:r>
        <w:rPr>
          <w:rFonts w:ascii="Times New Roman" w:cs="Times New Roman" w:eastAsia="Times New Roman" w:hAnsi="Times New Roman"/>
          <w:sz w:val="17"/>
          <w:szCs w:val="17"/>
          <w:color w:val="auto"/>
        </w:rPr>
        <w:t>To date, we have not engaged in hedging transactions. In the future, we may enter into currency hedging transactions to decrease the risk of financial exposure from fluctuations in the exchange rate of the U.S. dollar against the NIS. These measures, however, may not adequately protect us from material adverse effects due to the impact of inflation in Israel.</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02"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Our exposure to market risk is confined to our cash and cash equivalents. We consider all short term, highly liquid investments, which include short-term deposits with original maturities of three months or less from the date of purchase, that are not restricted as to withdrawal or use and are readily convertible to known amounts of cash, to be cash equivalents. The primary objective of our investment activities is to preserve principal while maximizing the interest income we receive from our investments, without increasing risk. We invest any cash balances primarily in bank deposits and investment grade interest-bearing instruments. We are exposed to market risks resulting from changes in interest rates. We do not use derivative financial instruments to limit exposure to interest rate risk. Our interest gains may decline in the future as a result of changes in the financial markets.</w:t>
      </w:r>
    </w:p>
    <w:p>
      <w:pPr>
        <w:spacing w:after="0" w:line="188"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the Index to Consolidated Financial Statements on Page F-1 attached hereto.</w:t>
      </w:r>
    </w:p>
    <w:p>
      <w:pPr>
        <w:spacing w:after="0" w:line="181"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 conducted an evaluation of the effectiveness of the design and operation of our disclosure controls and procedures as of the end of the period covered by this Form 10-K. The controls evaluation was conducted under the supervision and with the participation of management, including our Chief Executive Officer and Chief Financial Officer. Disclosure controls and procedures are controls and procedures designed to reasonably assure that information required to be disclosed in our reports filed under the Exchange Act, such as this Form 10-K, is recorded, processed, summarized and reported within the time periods specified in the Commission’s rules and forms. Disclosure controls and procedures are also designed to reasonably assure that such information is accumulated and communicated to our management, including the Chief Executive Officer and Chief Financial Officer, as appropriate to allow timely decisions regarding required disclosure.</w:t>
      </w:r>
    </w:p>
    <w:p>
      <w:pPr>
        <w:spacing w:after="0" w:line="151"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The evaluation of our disclosure controls and procedures included a review of the controls’ objectives and design, our implementation of the controls and their effect on the information generated for use in this Annual Report on Form 10-K. This type of evaluation will be performed on a quarterly basis so that the conclusions of management, including the Chief Executive Officer and Chief Financial Officer, concerning the effectiveness of the disclosure controls and procedures can be reported in our periodic reports on Form 10-Q and Form 10-K. The overall goals of these various evaluation activities are to monitor our disclosure controls and procedures, and to modify them as necessary. Our intent is to maintain the disclosure controls and procedures as dynamic systems that change as conditions warrant.</w:t>
      </w:r>
    </w:p>
    <w:p>
      <w:pPr>
        <w:spacing w:after="0" w:line="162" w:lineRule="exact"/>
        <w:rPr>
          <w:sz w:val="20"/>
          <w:szCs w:val="20"/>
          <w:color w:val="auto"/>
        </w:rPr>
      </w:pPr>
    </w:p>
    <w:p>
      <w:pPr>
        <w:jc w:val="both"/>
        <w:ind w:left="60" w:right="219"/>
        <w:spacing w:after="0" w:line="256" w:lineRule="auto"/>
        <w:rPr>
          <w:sz w:val="20"/>
          <w:szCs w:val="20"/>
          <w:color w:val="auto"/>
        </w:rPr>
      </w:pPr>
      <w:r>
        <w:rPr>
          <w:rFonts w:ascii="Times New Roman" w:cs="Times New Roman" w:eastAsia="Times New Roman" w:hAnsi="Times New Roman"/>
          <w:sz w:val="18"/>
          <w:szCs w:val="18"/>
          <w:color w:val="auto"/>
        </w:rPr>
        <w:t>Based on the controls evaluation, our Chief Executive Officer and Chief Financial Officer have concluded that, as of the end of the period covered by this Form 10-K, our disclosure controls and procedures were effective to provide reasonable assurance that information required to be disclosed in our Exchange Act reports is recorded, processed, summarized and reported within the time periods specified by the Commission, and that material information related to our company and our consolidated subsidiaries are made known to management, including the Chief Executive Officer and Chief Financial Officer, particularly during the period when our periodic reports are being prepared.</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89"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U.S. generally accepted accounting principles.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U.S. generally accepted accounting principles, and that receipts and expenditures of our company are being made only in accordance with authorizations of management and our directors; and (iii) provide reasonable assurance regarding prevention or timely detection of unauthorized acquisition, use or disposition of our assets that could have a material effect on our financial statements.</w:t>
      </w:r>
    </w:p>
    <w:p>
      <w:pPr>
        <w:spacing w:after="0" w:line="167"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Management assessed our internal control over financial reporting as of December 31, 2022, the end of our fiscal year. Management based its assessment on criteria established in Internal Control—Integrated Framework (2013) issued by the Committee of Sponsoring Organizations of the Treadway Commission (COSO). Management’s assessment included evaluation of elements such as the design and operating effectiveness of key financial reporting controls, process documentation, accounting policies and our overall control environment.</w:t>
      </w:r>
    </w:p>
    <w:p>
      <w:pPr>
        <w:spacing w:after="0" w:line="143"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Based on our assessment, management has concluded that our internal control over financial reporting was effective as of the end of the fiscal year to provide reasonable assurance regarding the reliability of financial reporting and the preparation of financial statements for external reporting purposes in accordance with U.S. generally accepted accounting principles. We reviewed the results of management’s assessment with the Audit Committee of our Board of Directors.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02"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a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53" w:lineRule="exact"/>
        <w:rPr>
          <w:sz w:val="20"/>
          <w:szCs w:val="20"/>
          <w:color w:val="auto"/>
        </w:rPr>
      </w:pPr>
    </w:p>
    <w:p>
      <w:pPr>
        <w:ind w:left="60" w:right="3579"/>
        <w:spacing w:after="0" w:line="461" w:lineRule="auto"/>
        <w:rPr>
          <w:sz w:val="20"/>
          <w:szCs w:val="20"/>
          <w:color w:val="auto"/>
        </w:rPr>
      </w:pPr>
      <w:r>
        <w:rPr>
          <w:rFonts w:ascii="Times New Roman" w:cs="Times New Roman" w:eastAsia="Times New Roman" w:hAnsi="Times New Roman"/>
          <w:sz w:val="18"/>
          <w:szCs w:val="18"/>
          <w:b w:val="1"/>
          <w:bCs w:val="1"/>
          <w:color w:val="auto"/>
        </w:rPr>
        <w:t xml:space="preserve">Attestation Report of Independent Registered Public Accounting Firm </w:t>
      </w:r>
      <w:r>
        <w:rPr>
          <w:rFonts w:ascii="Times New Roman" w:cs="Times New Roman" w:eastAsia="Times New Roman" w:hAnsi="Times New Roman"/>
          <w:sz w:val="18"/>
          <w:szCs w:val="18"/>
          <w:color w:val="auto"/>
        </w:rPr>
        <w:t>Not applicable.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controls</w:t>
      </w:r>
    </w:p>
    <w:p>
      <w:pPr>
        <w:spacing w:after="0" w:line="189"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quarter ended December 31, 2022 that have materially affected, or that are reasonably likely to materially affect, our internal control over financial reporting.</w:t>
      </w:r>
    </w:p>
    <w:p>
      <w:pPr>
        <w:spacing w:after="0" w:line="13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ind w:left="6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89" w:lineRule="exact"/>
        <w:rPr>
          <w:sz w:val="20"/>
          <w:szCs w:val="20"/>
          <w:color w:val="auto"/>
        </w:rPr>
      </w:pPr>
    </w:p>
    <w:p>
      <w:pPr>
        <w:ind w:left="60" w:right="399"/>
        <w:spacing w:after="0" w:line="266" w:lineRule="auto"/>
        <w:rPr>
          <w:sz w:val="20"/>
          <w:szCs w:val="20"/>
          <w:color w:val="auto"/>
        </w:rPr>
      </w:pPr>
      <w:r>
        <w:rPr>
          <w:rFonts w:ascii="Times New Roman" w:cs="Times New Roman" w:eastAsia="Times New Roman" w:hAnsi="Times New Roman"/>
          <w:sz w:val="18"/>
          <w:szCs w:val="18"/>
          <w:color w:val="auto"/>
        </w:rPr>
        <w:t>The information in our 2023 Proxy Statement regarding directors and executive officers appearing under the headings “Security Ownership of Certain Beneficial Owners and Management — Section 16(a) Beneficial Ownership Reporting Compliance” and “Election of Directors” is incorporated by reference in this section.</w:t>
      </w:r>
    </w:p>
    <w:p>
      <w:pPr>
        <w:spacing w:after="0" w:line="145"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89"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The information appearing in our 2023 Proxy Statement under the headings “Director Compensation,” “Compensation Discussion and Analysis,” “Report of the Compensation Committee,” and “Executive Compensation” is incorporated by reference in this section.</w:t>
      </w:r>
    </w:p>
    <w:p>
      <w:pPr>
        <w:spacing w:after="0" w:line="131"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02"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The information appearing in our 2023 Proxy Statement under the heading “Security Ownership of Certain Beneficial Owners and Management” is incorporated by reference in this section.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02" w:lineRule="exact"/>
        <w:rPr>
          <w:sz w:val="20"/>
          <w:szCs w:val="20"/>
          <w:color w:val="auto"/>
        </w:rPr>
      </w:pPr>
    </w:p>
    <w:p>
      <w:pPr>
        <w:ind w:left="60" w:right="779"/>
        <w:spacing w:after="0" w:line="312" w:lineRule="auto"/>
        <w:rPr>
          <w:sz w:val="20"/>
          <w:szCs w:val="20"/>
          <w:color w:val="auto"/>
        </w:rPr>
      </w:pPr>
      <w:r>
        <w:rPr>
          <w:rFonts w:ascii="Times New Roman" w:cs="Times New Roman" w:eastAsia="Times New Roman" w:hAnsi="Times New Roman"/>
          <w:sz w:val="17"/>
          <w:szCs w:val="17"/>
          <w:color w:val="auto"/>
        </w:rPr>
        <w:t>The information appearing in our 2023 Proxy Statement under the headings “Election of Directors—Corporate Governance” and “—Certain Relationships and Related Transactions” is incorporated by reference in this section.</w:t>
      </w:r>
    </w:p>
    <w:p>
      <w:pPr>
        <w:spacing w:after="0" w:line="95" w:lineRule="exact"/>
        <w:rPr>
          <w:sz w:val="20"/>
          <w:szCs w:val="20"/>
          <w:color w:val="auto"/>
        </w:rPr>
      </w:pPr>
    </w:p>
    <w:p>
      <w:pPr>
        <w:ind w:left="6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89"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 xml:space="preserve">Our independent registered public accounting firm is </w:t>
      </w:r>
      <w:r>
        <w:rPr>
          <w:rFonts w:ascii="Times New Roman" w:cs="Times New Roman" w:eastAsia="Times New Roman" w:hAnsi="Times New Roman"/>
          <w:sz w:val="18"/>
          <w:szCs w:val="18"/>
          <w:u w:val="single" w:color="auto"/>
          <w:color w:val="0000EE"/>
        </w:rPr>
        <w:t>Kesselman &amp; Kesselman, Certified Public Accountants (Isr.),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member of PricewaterhouseCoopers International Limited,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Tel Aviv, Israel, PCAOB ID. No. 1309.</w:t>
      </w:r>
    </w:p>
    <w:p>
      <w:pPr>
        <w:spacing w:after="0" w:line="135"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The information appearing in our 2023 Proxy Statement under the heading “Ratification of Appointment of Independent Registered Public Accounting Firm” is incorporated by reference in this section.</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183" w:lineRule="exact"/>
        <w:rPr>
          <w:sz w:val="20"/>
          <w:szCs w:val="20"/>
          <w:color w:val="auto"/>
        </w:rPr>
      </w:pPr>
    </w:p>
    <w:p>
      <w:pPr>
        <w:ind w:left="60" w:right="279" w:firstLine="638"/>
        <w:spacing w:after="0" w:line="284" w:lineRule="auto"/>
        <w:tabs>
          <w:tab w:leader="none" w:pos="88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The following Consolidated Financial Statements of Protalix BioTherapeutics, Inc.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Item 8 of this Annual Report on Form 10-K:</w:t>
      </w:r>
    </w:p>
    <w:p>
      <w:pPr>
        <w:spacing w:after="0" w:line="129"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top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name: Kesselman &amp; Kesselman C.P.A.s and</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0000EE"/>
            </w:tcBorders>
          </w:tcPr>
          <w:p>
            <w:pPr>
              <w:spacing w:after="0"/>
              <w:rPr>
                <w:sz w:val="20"/>
                <w:szCs w:val="20"/>
                <w:color w:val="auto"/>
              </w:rPr>
            </w:pPr>
          </w:p>
        </w:tc>
        <w:tc>
          <w:tcPr>
            <w:tcW w:w="4200" w:type="dxa"/>
            <w:vAlign w:val="bottom"/>
            <w:tcBorders>
              <w:top w:val="single" w:sz="8" w:color="0000EE"/>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PCAOB ID: 1309)</w:t>
            </w:r>
          </w:p>
        </w:tc>
        <w:tc>
          <w:tcPr>
            <w:tcW w:w="4060" w:type="dxa"/>
            <w:vAlign w:val="bottom"/>
            <w:tcBorders>
              <w:top w:val="single" w:sz="8" w:color="CCEEFF"/>
            </w:tcBorders>
            <w:gridSpan w:val="5"/>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5"/>
              </w:rPr>
              <w:t>F-2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6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2021 and 2022</w:t>
            </w:r>
          </w:p>
        </w:tc>
        <w:tc>
          <w:tcPr>
            <w:tcW w:w="140" w:type="dxa"/>
            <w:vAlign w:val="bottom"/>
          </w:tcPr>
          <w:p>
            <w:pPr>
              <w:spacing w:after="0"/>
              <w:rPr>
                <w:sz w:val="15"/>
                <w:szCs w:val="15"/>
                <w:color w:val="auto"/>
              </w:rPr>
            </w:pPr>
          </w:p>
        </w:tc>
        <w:tc>
          <w:tcPr>
            <w:tcW w:w="4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26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2020, 2021 and 2022</w:t>
            </w: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6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Capital Deficiency for the years ended December 31, 2020, 2021 and</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140" w:type="dxa"/>
            <w:vAlign w:val="bottom"/>
            <w:tcBorders>
              <w:top w:val="single" w:sz="8" w:color="0000EE"/>
            </w:tcBorders>
            <w:gridSpan w:val="4"/>
          </w:tcPr>
          <w:p>
            <w:pPr>
              <w:jc w:val="right"/>
              <w:ind w:right="2660"/>
              <w:spacing w:after="0" w:line="196" w:lineRule="exact"/>
              <w:rPr>
                <w:sz w:val="20"/>
                <w:szCs w:val="20"/>
                <w:color w:val="auto"/>
              </w:rPr>
            </w:pPr>
            <w:r>
              <w:rPr>
                <w:rFonts w:ascii="Times New Roman" w:cs="Times New Roman" w:eastAsia="Times New Roman" w:hAnsi="Times New Roman"/>
                <w:sz w:val="18"/>
                <w:szCs w:val="18"/>
                <w:color w:val="0000EE"/>
              </w:rPr>
              <w:t>2022</w:t>
            </w:r>
          </w:p>
        </w:tc>
        <w:tc>
          <w:tcPr>
            <w:tcW w:w="10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6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2020, 2021 and 2022</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w w:val="95"/>
              </w:rPr>
              <w:t>F-7</w:t>
            </w:r>
          </w:p>
        </w:tc>
        <w:tc>
          <w:tcPr>
            <w:tcW w:w="0" w:type="dxa"/>
            <w:vAlign w:val="bottom"/>
          </w:tcPr>
          <w:p>
            <w:pPr>
              <w:spacing w:after="0"/>
              <w:rPr>
                <w:sz w:val="1"/>
                <w:szCs w:val="1"/>
                <w:color w:val="auto"/>
              </w:rPr>
            </w:pPr>
          </w:p>
        </w:tc>
      </w:tr>
      <w:tr>
        <w:trPr>
          <w:trHeight w:val="175"/>
        </w:trPr>
        <w:tc>
          <w:tcPr>
            <w:tcW w:w="20" w:type="dxa"/>
            <w:vAlign w:val="bottom"/>
            <w:tcBorders>
              <w:top w:val="single" w:sz="8" w:color="0000EE"/>
            </w:tcBorders>
          </w:tcPr>
          <w:p>
            <w:pPr>
              <w:spacing w:after="0"/>
              <w:rPr>
                <w:sz w:val="15"/>
                <w:szCs w:val="15"/>
                <w:color w:val="auto"/>
              </w:rPr>
            </w:pPr>
          </w:p>
        </w:tc>
        <w:tc>
          <w:tcPr>
            <w:tcW w:w="688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380" w:type="dxa"/>
            <w:vAlign w:val="bottom"/>
            <w:tcBorders>
              <w:top w:val="single" w:sz="8" w:color="CCEEFF"/>
            </w:tcBorders>
            <w:gridSpan w:val="2"/>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ind w:left="220"/>
              <w:spacing w:after="0" w:line="176" w:lineRule="exact"/>
              <w:rPr>
                <w:sz w:val="20"/>
                <w:szCs w:val="20"/>
                <w:color w:val="auto"/>
              </w:rPr>
            </w:pPr>
            <w:r>
              <w:rPr>
                <w:rFonts w:ascii="Times New Roman" w:cs="Times New Roman" w:eastAsia="Times New Roman" w:hAnsi="Times New Roman"/>
                <w:sz w:val="18"/>
                <w:szCs w:val="18"/>
                <w:color w:val="auto"/>
                <w:w w:val="95"/>
              </w:rPr>
              <w:t>F-9</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60" w:right="239" w:firstLine="638"/>
        <w:spacing w:after="0" w:line="315" w:lineRule="auto"/>
        <w:tabs>
          <w:tab w:leader="none" w:pos="888"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Financial Statement Schedule. </w:t>
      </w:r>
      <w:r>
        <w:rPr>
          <w:rFonts w:ascii="Times New Roman" w:cs="Times New Roman" w:eastAsia="Times New Roman" w:hAnsi="Times New Roman"/>
          <w:sz w:val="17"/>
          <w:szCs w:val="17"/>
          <w:color w:val="auto"/>
        </w:rPr>
        <w:t>Financial statement schedules have been omitted since they are either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required, are not applicable or the required information is shown in the consolidated financial statements or related notes.</w:t>
      </w:r>
    </w:p>
    <w:p>
      <w:pPr>
        <w:spacing w:after="0" w:line="107" w:lineRule="exact"/>
        <w:rPr>
          <w:rFonts w:ascii="Times New Roman" w:cs="Times New Roman" w:eastAsia="Times New Roman" w:hAnsi="Times New Roman"/>
          <w:sz w:val="17"/>
          <w:szCs w:val="17"/>
          <w:color w:val="auto"/>
        </w:rPr>
      </w:pPr>
    </w:p>
    <w:p>
      <w:pPr>
        <w:ind w:left="880" w:hanging="182"/>
        <w:spacing w:after="0"/>
        <w:tabs>
          <w:tab w:leader="none" w:pos="8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32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80" w:type="dxa"/>
            <w:vAlign w:val="bottom"/>
            <w:gridSpan w:val="1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File</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68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68"/>
        </w:trPr>
        <w:tc>
          <w:tcPr>
            <w:tcW w:w="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80" w:type="dxa"/>
            <w:vAlign w:val="bottom"/>
            <w:gridSpan w:val="13"/>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68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94"/>
        </w:trPr>
        <w:tc>
          <w:tcPr>
            <w:tcW w:w="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1.1</w:t>
            </w:r>
          </w:p>
        </w:tc>
        <w:tc>
          <w:tcPr>
            <w:tcW w:w="2560" w:type="dxa"/>
            <w:vAlign w:val="bottom"/>
            <w:tcBorders>
              <w:bottom w:val="single" w:sz="8" w:color="0000EE"/>
            </w:tcBorders>
            <w:gridSpan w:val="11"/>
          </w:tcPr>
          <w:p>
            <w:pPr>
              <w:spacing w:after="0" w:line="194"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At the Market Offering Agreement,</w:t>
              </w:r>
            </w:hyperlink>
          </w:p>
        </w:tc>
        <w:tc>
          <w:tcPr>
            <w:tcW w:w="420" w:type="dxa"/>
            <w:vAlign w:val="bottom"/>
            <w:gridSpan w:val="4"/>
          </w:tcPr>
          <w:p>
            <w:pPr>
              <w:spacing w:after="0"/>
              <w:rPr>
                <w:sz w:val="16"/>
                <w:szCs w:val="16"/>
                <w:color w:val="auto"/>
              </w:rPr>
            </w:pPr>
          </w:p>
        </w:tc>
        <w:tc>
          <w:tcPr>
            <w:tcW w:w="9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8-K</w:t>
            </w:r>
          </w:p>
        </w:tc>
        <w:tc>
          <w:tcPr>
            <w:tcW w:w="10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001-33357</w:t>
            </w:r>
          </w:p>
        </w:tc>
        <w:tc>
          <w:tcPr>
            <w:tcW w:w="8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1.1</w:t>
            </w:r>
          </w:p>
        </w:tc>
        <w:tc>
          <w:tcPr>
            <w:tcW w:w="14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July 2, 2021</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980" w:type="dxa"/>
            <w:vAlign w:val="bottom"/>
            <w:gridSpan w:val="15"/>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dated July 2, 2021, between the</w:t>
              </w:r>
            </w:hyperlink>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980" w:type="dxa"/>
            <w:vAlign w:val="bottom"/>
            <w:gridSpan w:val="15"/>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Company and H.C. Wainwright &amp; Co.,</w:t>
              </w:r>
            </w:hyperlink>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3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96">
              <w:r>
                <w:rPr>
                  <w:rFonts w:ascii="Times New Roman" w:cs="Times New Roman" w:eastAsia="Times New Roman" w:hAnsi="Times New Roman"/>
                  <w:sz w:val="18"/>
                  <w:szCs w:val="18"/>
                  <w:color w:val="0000EE"/>
                  <w:w w:val="93"/>
                </w:rPr>
                <w:t>LLC</w:t>
              </w:r>
            </w:hyperlink>
          </w:p>
        </w:tc>
        <w:tc>
          <w:tcPr>
            <w:tcW w:w="2460" w:type="dxa"/>
            <w:vAlign w:val="bottom"/>
            <w:tcBorders>
              <w:top w:val="single" w:sz="8" w:color="0000EE"/>
            </w:tcBorders>
            <w:gridSpan w:val="13"/>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4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Certificate of Incorporation of the</w:t>
              </w:r>
            </w:hyperlink>
          </w:p>
        </w:tc>
        <w:tc>
          <w:tcPr>
            <w:tcW w:w="540" w:type="dxa"/>
            <w:vAlign w:val="bottom"/>
            <w:gridSpan w:val="6"/>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001-33357</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 2016</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7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97">
              <w:r>
                <w:rPr>
                  <w:rFonts w:ascii="Times New Roman" w:cs="Times New Roman" w:eastAsia="Times New Roman" w:hAnsi="Times New Roman"/>
                  <w:sz w:val="18"/>
                  <w:szCs w:val="18"/>
                  <w:color w:val="0000EE"/>
                  <w:w w:val="97"/>
                </w:rPr>
                <w:t>Company</w:t>
              </w:r>
            </w:hyperlink>
          </w:p>
        </w:tc>
        <w:tc>
          <w:tcPr>
            <w:tcW w:w="2280" w:type="dxa"/>
            <w:vAlign w:val="bottom"/>
            <w:gridSpan w:val="13"/>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980" w:type="dxa"/>
            <w:vAlign w:val="bottom"/>
            <w:gridSpan w:val="15"/>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Amendment to Certificate of</w:t>
              </w:r>
            </w:hyperlink>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Def 14A</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001-33357</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Appen.</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1, 2016</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2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Incorporation of the Company</w:t>
              </w:r>
            </w:hyperlink>
          </w:p>
        </w:tc>
        <w:tc>
          <w:tcPr>
            <w:tcW w:w="720" w:type="dxa"/>
            <w:vAlign w:val="bottom"/>
            <w:gridSpan w:val="7"/>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A</w:t>
            </w:r>
          </w:p>
        </w:tc>
        <w:tc>
          <w:tcPr>
            <w:tcW w:w="1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2980" w:type="dxa"/>
            <w:vAlign w:val="bottom"/>
            <w:gridSpan w:val="15"/>
          </w:tcPr>
          <w:p>
            <w:pPr>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Second Amendment to Certificate of</w:t>
              </w:r>
            </w:hyperlink>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Def 14A</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001-33357</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Appen.</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17,</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26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Incorporation of the Company</w:t>
              </w:r>
            </w:hyperlink>
          </w:p>
        </w:tc>
        <w:tc>
          <w:tcPr>
            <w:tcW w:w="380" w:type="dxa"/>
            <w:vAlign w:val="bottom"/>
            <w:tcBorders>
              <w:top w:val="single" w:sz="8" w:color="0000EE"/>
            </w:tcBorders>
            <w:gridSpan w:val="5"/>
          </w:tcPr>
          <w:p>
            <w:pPr>
              <w:spacing w:after="0"/>
              <w:rPr>
                <w:sz w:val="17"/>
                <w:szCs w:val="17"/>
                <w:color w:val="auto"/>
              </w:rPr>
            </w:pPr>
          </w:p>
        </w:tc>
        <w:tc>
          <w:tcPr>
            <w:tcW w:w="34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A</w:t>
            </w:r>
          </w:p>
        </w:tc>
        <w:tc>
          <w:tcPr>
            <w:tcW w:w="14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2018</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25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Third Amendment to Certificate of</w:t>
              </w:r>
            </w:hyperlink>
          </w:p>
        </w:tc>
        <w:tc>
          <w:tcPr>
            <w:tcW w:w="460" w:type="dxa"/>
            <w:vAlign w:val="bottom"/>
            <w:gridSpan w:val="5"/>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001-33357</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20,</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2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Incorporation of the Company</w:t>
              </w:r>
            </w:hyperlink>
          </w:p>
        </w:tc>
        <w:tc>
          <w:tcPr>
            <w:tcW w:w="720" w:type="dxa"/>
            <w:vAlign w:val="bottom"/>
            <w:gridSpan w:val="7"/>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2019</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26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Fourth Amendment to Certificate of</w:t>
              </w:r>
            </w:hyperlink>
          </w:p>
        </w:tc>
        <w:tc>
          <w:tcPr>
            <w:tcW w:w="380" w:type="dxa"/>
            <w:vAlign w:val="bottom"/>
            <w:gridSpan w:val="3"/>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001-33357</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15, 2022</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1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101">
              <w:r>
                <w:rPr>
                  <w:rFonts w:ascii="Times New Roman" w:cs="Times New Roman" w:eastAsia="Times New Roman" w:hAnsi="Times New Roman"/>
                  <w:sz w:val="18"/>
                  <w:szCs w:val="18"/>
                  <w:color w:val="0000EE"/>
                  <w:w w:val="98"/>
                </w:rPr>
                <w:t>Incorporation of the Company</w:t>
              </w:r>
            </w:hyperlink>
          </w:p>
        </w:tc>
        <w:tc>
          <w:tcPr>
            <w:tcW w:w="800" w:type="dxa"/>
            <w:vAlign w:val="bottom"/>
            <w:gridSpan w:val="8"/>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2980" w:type="dxa"/>
            <w:vAlign w:val="bottom"/>
            <w:gridSpan w:val="15"/>
          </w:tcPr>
          <w:p>
            <w:pPr>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Bylaws of the Company</w:t>
              </w:r>
            </w:hyperlink>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001-33357</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17,</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860" w:type="dxa"/>
            <w:vAlign w:val="bottom"/>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62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980" w:type="dxa"/>
            <w:vAlign w:val="bottom"/>
            <w:gridSpan w:val="15"/>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Form of Restricted Stock</w:t>
              </w:r>
            </w:hyperlink>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001-33357</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18, 2012</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Agreement/Notice</w:t>
              </w:r>
            </w:hyperlink>
          </w:p>
        </w:tc>
        <w:tc>
          <w:tcPr>
            <w:tcW w:w="1180" w:type="dxa"/>
            <w:vAlign w:val="bottom"/>
            <w:gridSpan w:val="10"/>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2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6"/>
              </w:rPr>
            </w:pPr>
            <w:hyperlink r:id="rId105">
              <w:r>
                <w:rPr>
                  <w:rFonts w:ascii="Times New Roman" w:cs="Times New Roman" w:eastAsia="Times New Roman" w:hAnsi="Times New Roman"/>
                  <w:sz w:val="18"/>
                  <w:szCs w:val="18"/>
                  <w:color w:val="0000EE"/>
                  <w:w w:val="96"/>
                </w:rPr>
                <w:t>Form of Warrant</w:t>
              </w:r>
            </w:hyperlink>
          </w:p>
        </w:tc>
        <w:tc>
          <w:tcPr>
            <w:tcW w:w="1760" w:type="dxa"/>
            <w:vAlign w:val="bottom"/>
            <w:gridSpan w:val="26"/>
          </w:tcPr>
          <w:p>
            <w:pPr>
              <w:spacing w:after="0"/>
              <w:rPr>
                <w:sz w:val="17"/>
                <w:szCs w:val="17"/>
                <w:color w:val="auto"/>
              </w:rPr>
            </w:pPr>
          </w:p>
        </w:tc>
        <w:tc>
          <w:tcPr>
            <w:tcW w:w="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001-33357</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9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March 12, 2020</w:t>
            </w: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24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Form of Stock Option Agreement</w:t>
              </w:r>
            </w:hyperlink>
          </w:p>
        </w:tc>
        <w:tc>
          <w:tcPr>
            <w:tcW w:w="520" w:type="dxa"/>
            <w:vAlign w:val="bottom"/>
            <w:gridSpan w:val="16"/>
          </w:tcPr>
          <w:p>
            <w:pPr>
              <w:spacing w:after="0"/>
              <w:rPr>
                <w:sz w:val="24"/>
                <w:szCs w:val="24"/>
                <w:color w:val="auto"/>
              </w:rPr>
            </w:pP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10-Q</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001-33357</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19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August 10, 2020</w:t>
            </w:r>
          </w:p>
        </w:tc>
      </w:tr>
      <w:tr>
        <w:trPr>
          <w:trHeight w:val="196"/>
        </w:trPr>
        <w:tc>
          <w:tcPr>
            <w:tcW w:w="860" w:type="dxa"/>
            <w:vAlign w:val="bottom"/>
          </w:tcPr>
          <w:p>
            <w:pPr>
              <w:spacing w:after="0"/>
              <w:rPr>
                <w:sz w:val="17"/>
                <w:szCs w:val="17"/>
                <w:color w:val="auto"/>
              </w:rPr>
            </w:pPr>
          </w:p>
        </w:tc>
        <w:tc>
          <w:tcPr>
            <w:tcW w:w="2960" w:type="dxa"/>
            <w:vAlign w:val="bottom"/>
            <w:gridSpan w:val="30"/>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(Executives)</w:t>
              </w:r>
            </w:hyperlink>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24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Form of Stock Option Agreement</w:t>
              </w:r>
            </w:hyperlink>
          </w:p>
        </w:tc>
        <w:tc>
          <w:tcPr>
            <w:tcW w:w="520" w:type="dxa"/>
            <w:vAlign w:val="bottom"/>
            <w:gridSpan w:val="16"/>
          </w:tcPr>
          <w:p>
            <w:pPr>
              <w:spacing w:after="0"/>
              <w:rPr>
                <w:sz w:val="24"/>
                <w:szCs w:val="24"/>
                <w:color w:val="auto"/>
              </w:rPr>
            </w:pP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10-Q</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001-33357</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19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August 10, 2020</w:t>
            </w:r>
          </w:p>
        </w:tc>
      </w:tr>
      <w:tr>
        <w:trPr>
          <w:trHeight w:val="196"/>
        </w:trPr>
        <w:tc>
          <w:tcPr>
            <w:tcW w:w="860" w:type="dxa"/>
            <w:vAlign w:val="bottom"/>
          </w:tcPr>
          <w:p>
            <w:pPr>
              <w:spacing w:after="0"/>
              <w:rPr>
                <w:sz w:val="17"/>
                <w:szCs w:val="17"/>
                <w:color w:val="auto"/>
              </w:rPr>
            </w:pPr>
          </w:p>
        </w:tc>
        <w:tc>
          <w:tcPr>
            <w:tcW w:w="7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107">
              <w:r>
                <w:rPr>
                  <w:rFonts w:ascii="Times New Roman" w:cs="Times New Roman" w:eastAsia="Times New Roman" w:hAnsi="Times New Roman"/>
                  <w:sz w:val="18"/>
                  <w:szCs w:val="18"/>
                  <w:color w:val="0000EE"/>
                  <w:w w:val="97"/>
                </w:rPr>
                <w:t>(Standard)</w:t>
              </w:r>
            </w:hyperlink>
          </w:p>
        </w:tc>
        <w:tc>
          <w:tcPr>
            <w:tcW w:w="2200" w:type="dxa"/>
            <w:vAlign w:val="bottom"/>
            <w:gridSpan w:val="29"/>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28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Indenture, dated as of August 24, 2021,</w:t>
              </w:r>
            </w:hyperlink>
          </w:p>
        </w:tc>
        <w:tc>
          <w:tcPr>
            <w:tcW w:w="120" w:type="dxa"/>
            <w:vAlign w:val="bottom"/>
            <w:gridSpan w:val="6"/>
          </w:tcPr>
          <w:p>
            <w:pPr>
              <w:spacing w:after="0"/>
              <w:rPr>
                <w:sz w:val="24"/>
                <w:szCs w:val="24"/>
                <w:color w:val="auto"/>
              </w:rPr>
            </w:pPr>
          </w:p>
        </w:tc>
        <w:tc>
          <w:tcPr>
            <w:tcW w:w="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001-33357</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9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August 26, 2021</w:t>
            </w:r>
          </w:p>
        </w:tc>
      </w:tr>
      <w:tr>
        <w:trPr>
          <w:trHeight w:val="196"/>
        </w:trPr>
        <w:tc>
          <w:tcPr>
            <w:tcW w:w="860" w:type="dxa"/>
            <w:vAlign w:val="bottom"/>
          </w:tcPr>
          <w:p>
            <w:pPr>
              <w:spacing w:after="0"/>
              <w:rPr>
                <w:sz w:val="17"/>
                <w:szCs w:val="17"/>
                <w:color w:val="auto"/>
              </w:rPr>
            </w:pPr>
          </w:p>
        </w:tc>
        <w:tc>
          <w:tcPr>
            <w:tcW w:w="286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between Protalix BioTherapeutics, Inc.,</w:t>
              </w:r>
            </w:hyperlink>
          </w:p>
        </w:tc>
        <w:tc>
          <w:tcPr>
            <w:tcW w:w="100" w:type="dxa"/>
            <w:vAlign w:val="bottom"/>
            <w:gridSpan w:val="5"/>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96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8"/>
              </w:rPr>
            </w:pPr>
            <w:hyperlink r:id="rId108">
              <w:r>
                <w:rPr>
                  <w:rFonts w:ascii="Times New Roman" w:cs="Times New Roman" w:eastAsia="Times New Roman" w:hAnsi="Times New Roman"/>
                  <w:sz w:val="18"/>
                  <w:szCs w:val="18"/>
                  <w:color w:val="0000EE"/>
                  <w:w w:val="98"/>
                </w:rPr>
                <w:t>the guarantors party thereto, The Bank of</w:t>
              </w:r>
            </w:hyperlink>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94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8"/>
              </w:rPr>
            </w:pPr>
            <w:hyperlink r:id="rId108">
              <w:r>
                <w:rPr>
                  <w:rFonts w:ascii="Times New Roman" w:cs="Times New Roman" w:eastAsia="Times New Roman" w:hAnsi="Times New Roman"/>
                  <w:sz w:val="18"/>
                  <w:szCs w:val="18"/>
                  <w:color w:val="0000EE"/>
                  <w:w w:val="98"/>
                </w:rPr>
                <w:t>New York Mellon Trust Company, N.A.,</w:t>
              </w:r>
            </w:hyperlink>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92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as trustee and Wilmington Savings Fund</w:t>
              </w:r>
            </w:hyperlink>
          </w:p>
        </w:tc>
        <w:tc>
          <w:tcPr>
            <w:tcW w:w="4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960" w:type="dxa"/>
            <w:vAlign w:val="bottom"/>
            <w:gridSpan w:val="30"/>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Society, FSB, as collateral agent</w:t>
              </w:r>
            </w:hyperlink>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226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Form of Exchange Note (2024)</w:t>
              </w:r>
            </w:hyperlink>
          </w:p>
        </w:tc>
        <w:tc>
          <w:tcPr>
            <w:tcW w:w="60" w:type="dxa"/>
            <w:vAlign w:val="bottom"/>
            <w:tcBorders>
              <w:top w:val="single" w:sz="8" w:color="0000EE"/>
            </w:tcBorders>
          </w:tcPr>
          <w:p>
            <w:pPr>
              <w:spacing w:after="0"/>
              <w:rPr>
                <w:sz w:val="24"/>
                <w:szCs w:val="24"/>
                <w:color w:val="auto"/>
              </w:rPr>
            </w:pPr>
          </w:p>
        </w:tc>
        <w:tc>
          <w:tcPr>
            <w:tcW w:w="640" w:type="dxa"/>
            <w:vAlign w:val="bottom"/>
            <w:gridSpan w:val="19"/>
          </w:tcPr>
          <w:p>
            <w:pPr>
              <w:spacing w:after="0"/>
              <w:rPr>
                <w:sz w:val="24"/>
                <w:szCs w:val="24"/>
                <w:color w:val="auto"/>
              </w:rPr>
            </w:pPr>
          </w:p>
        </w:tc>
        <w:tc>
          <w:tcPr>
            <w:tcW w:w="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001-33357</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9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August 26, 2021</w:t>
            </w: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296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40" w:type="dxa"/>
            <w:vAlign w:val="bottom"/>
          </w:tcPr>
          <w:p>
            <w:pPr>
              <w:ind w:left="1820"/>
              <w:spacing w:after="0"/>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86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66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86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Lease Agreement between Protalix Ltd.</w:t>
              </w:r>
            </w:hyperlink>
          </w:p>
        </w:tc>
        <w:tc>
          <w:tcPr>
            <w:tcW w:w="100" w:type="dxa"/>
            <w:vAlign w:val="bottom"/>
            <w:gridSpan w:val="5"/>
          </w:tcPr>
          <w:p>
            <w:pPr>
              <w:spacing w:after="0"/>
              <w:rPr>
                <w:sz w:val="24"/>
                <w:szCs w:val="24"/>
                <w:color w:val="auto"/>
              </w:rPr>
            </w:pPr>
          </w:p>
        </w:tc>
        <w:tc>
          <w:tcPr>
            <w:tcW w:w="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001-33357</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9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January 8, 2007</w:t>
            </w:r>
          </w:p>
        </w:tc>
      </w:tr>
      <w:tr>
        <w:trPr>
          <w:trHeight w:val="196"/>
        </w:trPr>
        <w:tc>
          <w:tcPr>
            <w:tcW w:w="860" w:type="dxa"/>
            <w:vAlign w:val="bottom"/>
          </w:tcPr>
          <w:p>
            <w:pPr>
              <w:spacing w:after="0"/>
              <w:rPr>
                <w:sz w:val="17"/>
                <w:szCs w:val="17"/>
                <w:color w:val="auto"/>
              </w:rPr>
            </w:pPr>
          </w:p>
        </w:tc>
        <w:tc>
          <w:tcPr>
            <w:tcW w:w="2960" w:type="dxa"/>
            <w:vAlign w:val="bottom"/>
            <w:gridSpan w:val="30"/>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and Angel Science Park (99) Ltd., dated</w:t>
              </w:r>
            </w:hyperlink>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as of October 28, 2003 as amended on</w:t>
              </w:r>
            </w:hyperlink>
          </w:p>
        </w:tc>
        <w:tc>
          <w:tcPr>
            <w:tcW w:w="120" w:type="dxa"/>
            <w:vAlign w:val="bottom"/>
            <w:tcBorders>
              <w:top w:val="single" w:sz="8" w:color="0000EE"/>
            </w:tcBorders>
            <w:gridSpan w:val="5"/>
          </w:tcPr>
          <w:p>
            <w:pPr>
              <w:spacing w:after="0"/>
              <w:rPr>
                <w:sz w:val="17"/>
                <w:szCs w:val="17"/>
                <w:color w:val="auto"/>
              </w:rPr>
            </w:pPr>
          </w:p>
        </w:tc>
        <w:tc>
          <w:tcPr>
            <w:tcW w:w="80" w:type="dxa"/>
            <w:vAlign w:val="bottom"/>
            <w:gridSpan w:val="4"/>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960" w:type="dxa"/>
            <w:vAlign w:val="bottom"/>
            <w:gridSpan w:val="30"/>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April 18, 2005</w:t>
              </w:r>
            </w:hyperlink>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660" w:type="dxa"/>
            <w:vAlign w:val="bottom"/>
            <w:tcBorders>
              <w:left w:val="single" w:sz="8" w:color="0000EE"/>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22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Unprotected Lease Agreement</w:t>
              </w:r>
            </w:hyperlink>
          </w:p>
        </w:tc>
        <w:tc>
          <w:tcPr>
            <w:tcW w:w="760" w:type="dxa"/>
            <w:vAlign w:val="bottom"/>
            <w:gridSpan w:val="21"/>
          </w:tcPr>
          <w:p>
            <w:pPr>
              <w:spacing w:after="0"/>
              <w:rPr>
                <w:sz w:val="24"/>
                <w:szCs w:val="24"/>
                <w:color w:val="auto"/>
              </w:rPr>
            </w:pP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10-K</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001-33357</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19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March 17, 2008</w:t>
            </w: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2960" w:type="dxa"/>
            <w:vAlign w:val="bottom"/>
            <w:gridSpan w:val="30"/>
          </w:tcPr>
          <w:p>
            <w:pPr>
              <w:spacing w:after="0"/>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Amended and Restated Agreement</w:t>
              </w:r>
            </w:hyperlink>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10-Q</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001-33357</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May 14, 2021</w:t>
            </w:r>
          </w:p>
        </w:tc>
      </w:tr>
      <w:tr>
        <w:trPr>
          <w:trHeight w:val="20"/>
        </w:trPr>
        <w:tc>
          <w:tcPr>
            <w:tcW w:w="86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66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7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between Protalix Ltd. and Comercio e</w:t>
              </w:r>
            </w:hyperlink>
          </w:p>
        </w:tc>
        <w:tc>
          <w:tcPr>
            <w:tcW w:w="220" w:type="dxa"/>
            <w:vAlign w:val="bottom"/>
            <w:gridSpan w:val="10"/>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5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Serviços Ltda. dated June 17, 2013</w:t>
              </w:r>
            </w:hyperlink>
          </w:p>
        </w:tc>
        <w:tc>
          <w:tcPr>
            <w:tcW w:w="440" w:type="dxa"/>
            <w:vAlign w:val="bottom"/>
            <w:gridSpan w:val="14"/>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960" w:type="dxa"/>
            <w:vAlign w:val="bottom"/>
            <w:gridSpan w:val="30"/>
          </w:tcPr>
          <w:p>
            <w:pPr>
              <w:spacing w:after="0"/>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Technology Transfer and Supply</w:t>
              </w:r>
            </w:hyperlink>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10-Q</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001-33357</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9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May 14, 2021</w:t>
            </w:r>
          </w:p>
        </w:tc>
      </w:tr>
      <w:tr>
        <w:trPr>
          <w:trHeight w:val="20"/>
        </w:trPr>
        <w:tc>
          <w:tcPr>
            <w:tcW w:w="86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66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90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Agreement made as of June 18, 2013 by</w:t>
              </w:r>
            </w:hyperlink>
          </w:p>
        </w:tc>
        <w:tc>
          <w:tcPr>
            <w:tcW w:w="60" w:type="dxa"/>
            <w:vAlign w:val="bottom"/>
            <w:gridSpan w:val="3"/>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960" w:type="dxa"/>
            <w:vAlign w:val="bottom"/>
            <w:gridSpan w:val="30"/>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and between Protalix Ltd. and Fundação</w:t>
              </w:r>
            </w:hyperlink>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90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Oswaldo Cruz</w:t>
              </w:r>
            </w:hyperlink>
          </w:p>
        </w:tc>
        <w:tc>
          <w:tcPr>
            <w:tcW w:w="60" w:type="dxa"/>
            <w:vAlign w:val="bottom"/>
            <w:gridSpan w:val="3"/>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27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Binding Term Sheet between Protalix</w:t>
              </w:r>
            </w:hyperlink>
          </w:p>
        </w:tc>
        <w:tc>
          <w:tcPr>
            <w:tcW w:w="240" w:type="dxa"/>
            <w:vAlign w:val="bottom"/>
            <w:gridSpan w:val="11"/>
          </w:tcPr>
          <w:p>
            <w:pPr>
              <w:spacing w:after="0"/>
              <w:rPr>
                <w:sz w:val="24"/>
                <w:szCs w:val="24"/>
                <w:color w:val="auto"/>
              </w:rPr>
            </w:pP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10-Q</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001-33357</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9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May 14, 2021</w:t>
            </w:r>
          </w:p>
        </w:tc>
      </w:tr>
      <w:tr>
        <w:trPr>
          <w:trHeight w:val="196"/>
        </w:trPr>
        <w:tc>
          <w:tcPr>
            <w:tcW w:w="860" w:type="dxa"/>
            <w:vAlign w:val="bottom"/>
          </w:tcPr>
          <w:p>
            <w:pPr>
              <w:spacing w:after="0"/>
              <w:rPr>
                <w:sz w:val="17"/>
                <w:szCs w:val="17"/>
                <w:color w:val="auto"/>
              </w:rPr>
            </w:pPr>
          </w:p>
        </w:tc>
        <w:tc>
          <w:tcPr>
            <w:tcW w:w="2960" w:type="dxa"/>
            <w:vAlign w:val="bottom"/>
            <w:gridSpan w:val="30"/>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Ltd. and Chiesi Farmaceutici S.p.A.</w:t>
              </w:r>
            </w:hyperlink>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2420" w:type="dxa"/>
            <w:vAlign w:val="bottom"/>
            <w:tcBorders>
              <w:top w:val="single" w:sz="8" w:color="0000EE"/>
              <w:bottom w:val="single" w:sz="8" w:color="0000EE"/>
            </w:tcBorders>
            <w:gridSpan w:val="13"/>
          </w:tcPr>
          <w:p>
            <w:pPr>
              <w:spacing w:after="0"/>
              <w:rPr>
                <w:rFonts w:ascii="Times New Roman" w:cs="Times New Roman" w:eastAsia="Times New Roman" w:hAnsi="Times New Roman"/>
                <w:sz w:val="18"/>
                <w:szCs w:val="18"/>
                <w:color w:val="0000EE"/>
                <w:w w:val="98"/>
              </w:rPr>
            </w:pPr>
            <w:hyperlink r:id="rId115">
              <w:r>
                <w:rPr>
                  <w:rFonts w:ascii="Times New Roman" w:cs="Times New Roman" w:eastAsia="Times New Roman" w:hAnsi="Times New Roman"/>
                  <w:sz w:val="18"/>
                  <w:szCs w:val="18"/>
                  <w:color w:val="0000EE"/>
                  <w:w w:val="98"/>
                </w:rPr>
                <w:t>Amended and Restated Exclusive</w:t>
              </w:r>
            </w:hyperlink>
          </w:p>
        </w:tc>
        <w:tc>
          <w:tcPr>
            <w:tcW w:w="160" w:type="dxa"/>
            <w:vAlign w:val="bottom"/>
            <w:tcBorders>
              <w:top w:val="single" w:sz="8" w:color="0000EE"/>
            </w:tcBorders>
            <w:gridSpan w:val="4"/>
          </w:tcPr>
          <w:p>
            <w:pPr>
              <w:spacing w:after="0"/>
              <w:rPr>
                <w:sz w:val="24"/>
                <w:szCs w:val="24"/>
                <w:color w:val="auto"/>
              </w:rPr>
            </w:pPr>
          </w:p>
        </w:tc>
        <w:tc>
          <w:tcPr>
            <w:tcW w:w="380" w:type="dxa"/>
            <w:vAlign w:val="bottom"/>
            <w:gridSpan w:val="13"/>
          </w:tcPr>
          <w:p>
            <w:pPr>
              <w:spacing w:after="0"/>
              <w:rPr>
                <w:sz w:val="24"/>
                <w:szCs w:val="24"/>
                <w:color w:val="auto"/>
              </w:rPr>
            </w:pP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10-Q/A</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001-33357</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December 11,</w:t>
            </w:r>
          </w:p>
        </w:tc>
      </w:tr>
      <w:tr>
        <w:trPr>
          <w:trHeight w:val="196"/>
        </w:trPr>
        <w:tc>
          <w:tcPr>
            <w:tcW w:w="860" w:type="dxa"/>
            <w:vAlign w:val="bottom"/>
          </w:tcPr>
          <w:p>
            <w:pPr>
              <w:spacing w:after="0"/>
              <w:rPr>
                <w:sz w:val="17"/>
                <w:szCs w:val="17"/>
                <w:color w:val="auto"/>
              </w:rPr>
            </w:pPr>
          </w:p>
        </w:tc>
        <w:tc>
          <w:tcPr>
            <w:tcW w:w="2960" w:type="dxa"/>
            <w:vAlign w:val="bottom"/>
            <w:gridSpan w:val="30"/>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License and Supply Agreement by and</w:t>
              </w:r>
            </w:hyperlink>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tcPr>
          <w:p>
            <w:pPr>
              <w:jc w:val="center"/>
              <w:ind w:right="370"/>
              <w:spacing w:after="0" w:line="196" w:lineRule="exact"/>
              <w:rPr>
                <w:sz w:val="20"/>
                <w:szCs w:val="20"/>
                <w:color w:val="auto"/>
              </w:rPr>
            </w:pPr>
            <w:r>
              <w:rPr>
                <w:rFonts w:ascii="Times New Roman" w:cs="Times New Roman" w:eastAsia="Times New Roman" w:hAnsi="Times New Roman"/>
                <w:sz w:val="18"/>
                <w:szCs w:val="18"/>
                <w:color w:val="auto"/>
                <w:w w:val="99"/>
              </w:rPr>
              <w:t>2015</w:t>
            </w:r>
          </w:p>
        </w:tc>
      </w:tr>
      <w:tr>
        <w:trPr>
          <w:trHeight w:val="196"/>
        </w:trPr>
        <w:tc>
          <w:tcPr>
            <w:tcW w:w="860" w:type="dxa"/>
            <w:vAlign w:val="bottom"/>
          </w:tcPr>
          <w:p>
            <w:pPr>
              <w:spacing w:after="0"/>
              <w:rPr>
                <w:sz w:val="17"/>
                <w:szCs w:val="17"/>
                <w:color w:val="auto"/>
              </w:rPr>
            </w:pPr>
          </w:p>
        </w:tc>
        <w:tc>
          <w:tcPr>
            <w:tcW w:w="270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between Pfizer Inc. and Protalix Ltd.,</w:t>
              </w:r>
            </w:hyperlink>
          </w:p>
        </w:tc>
        <w:tc>
          <w:tcPr>
            <w:tcW w:w="80" w:type="dxa"/>
            <w:vAlign w:val="bottom"/>
            <w:tcBorders>
              <w:top w:val="single" w:sz="8" w:color="0000EE"/>
            </w:tcBorders>
            <w:gridSpan w:val="4"/>
          </w:tcPr>
          <w:p>
            <w:pPr>
              <w:spacing w:after="0"/>
              <w:rPr>
                <w:sz w:val="17"/>
                <w:szCs w:val="17"/>
                <w:color w:val="auto"/>
              </w:rPr>
            </w:pPr>
          </w:p>
        </w:tc>
        <w:tc>
          <w:tcPr>
            <w:tcW w:w="180" w:type="dxa"/>
            <w:vAlign w:val="bottom"/>
            <w:gridSpan w:val="8"/>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960" w:type="dxa"/>
            <w:vAlign w:val="bottom"/>
            <w:gridSpan w:val="30"/>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dated October 12, 2015</w:t>
              </w:r>
            </w:hyperlink>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680" w:type="dxa"/>
            <w:vAlign w:val="bottom"/>
            <w:gridSpan w:val="5"/>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gridSpan w:val="1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2960" w:type="dxa"/>
            <w:vAlign w:val="bottom"/>
            <w:gridSpan w:val="30"/>
          </w:tcPr>
          <w:p>
            <w:pPr>
              <w:spacing w:after="0"/>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Exclusive License and Supply</w:t>
              </w:r>
            </w:hyperlink>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10-K</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001-33357</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19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March 6, 2018</w:t>
            </w:r>
          </w:p>
        </w:tc>
      </w:tr>
      <w:tr>
        <w:trPr>
          <w:trHeight w:val="20"/>
        </w:trPr>
        <w:tc>
          <w:tcPr>
            <w:tcW w:w="860" w:type="dxa"/>
            <w:vAlign w:val="bottom"/>
          </w:tcPr>
          <w:p>
            <w:pPr>
              <w:spacing w:after="0" w:line="20" w:lineRule="exact"/>
              <w:rPr>
                <w:sz w:val="1"/>
                <w:szCs w:val="1"/>
                <w:color w:val="auto"/>
              </w:rPr>
            </w:pPr>
          </w:p>
        </w:tc>
        <w:tc>
          <w:tcPr>
            <w:tcW w:w="1940" w:type="dxa"/>
            <w:vAlign w:val="bottom"/>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60" w:type="dxa"/>
            <w:vAlign w:val="bottom"/>
            <w:gridSpan w:val="1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96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8"/>
              </w:rPr>
            </w:pPr>
            <w:hyperlink r:id="rId116">
              <w:r>
                <w:rPr>
                  <w:rFonts w:ascii="Times New Roman" w:cs="Times New Roman" w:eastAsia="Times New Roman" w:hAnsi="Times New Roman"/>
                  <w:sz w:val="18"/>
                  <w:szCs w:val="18"/>
                  <w:color w:val="0000EE"/>
                  <w:w w:val="98"/>
                </w:rPr>
                <w:t>Agreement dated as of October 17, 2017,</w:t>
              </w:r>
            </w:hyperlink>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8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made by and between Protalix Ltd. and</w:t>
              </w:r>
            </w:hyperlink>
          </w:p>
        </w:tc>
        <w:tc>
          <w:tcPr>
            <w:tcW w:w="140" w:type="dxa"/>
            <w:vAlign w:val="bottom"/>
            <w:gridSpan w:val="7"/>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9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116">
              <w:r>
                <w:rPr>
                  <w:rFonts w:ascii="Times New Roman" w:cs="Times New Roman" w:eastAsia="Times New Roman" w:hAnsi="Times New Roman"/>
                  <w:sz w:val="18"/>
                  <w:szCs w:val="18"/>
                  <w:color w:val="0000EE"/>
                  <w:w w:val="98"/>
                </w:rPr>
                <w:t>Chiesi Farmaceutici S.p.A.</w:t>
              </w:r>
            </w:hyperlink>
          </w:p>
        </w:tc>
        <w:tc>
          <w:tcPr>
            <w:tcW w:w="1020" w:type="dxa"/>
            <w:vAlign w:val="bottom"/>
            <w:gridSpan w:val="24"/>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25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Exclusive U.S. License and Supply</w:t>
              </w:r>
            </w:hyperlink>
          </w:p>
        </w:tc>
        <w:tc>
          <w:tcPr>
            <w:tcW w:w="580" w:type="dxa"/>
            <w:vAlign w:val="bottom"/>
            <w:gridSpan w:val="15"/>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001-33357</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3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November 7,</w:t>
            </w:r>
          </w:p>
        </w:tc>
      </w:tr>
      <w:tr>
        <w:trPr>
          <w:trHeight w:val="196"/>
        </w:trPr>
        <w:tc>
          <w:tcPr>
            <w:tcW w:w="860" w:type="dxa"/>
            <w:vAlign w:val="bottom"/>
          </w:tcPr>
          <w:p>
            <w:pPr>
              <w:spacing w:after="0"/>
              <w:rPr>
                <w:sz w:val="17"/>
                <w:szCs w:val="17"/>
                <w:color w:val="auto"/>
              </w:rPr>
            </w:pPr>
          </w:p>
        </w:tc>
        <w:tc>
          <w:tcPr>
            <w:tcW w:w="3120" w:type="dxa"/>
            <w:vAlign w:val="bottom"/>
            <w:gridSpan w:val="30"/>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Agreement dated as of July 23, 2018,</w:t>
              </w:r>
            </w:hyperlink>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9"/>
              </w:rPr>
              <w:t>2018</w:t>
            </w:r>
          </w:p>
        </w:tc>
      </w:tr>
      <w:tr>
        <w:trPr>
          <w:trHeight w:val="20"/>
        </w:trPr>
        <w:tc>
          <w:tcPr>
            <w:tcW w:w="8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8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made by and between Protalix Ltd. and</w:t>
              </w:r>
            </w:hyperlink>
          </w:p>
        </w:tc>
        <w:tc>
          <w:tcPr>
            <w:tcW w:w="280" w:type="dxa"/>
            <w:vAlign w:val="bottom"/>
            <w:gridSpan w:val="6"/>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9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18">
              <w:r>
                <w:rPr>
                  <w:rFonts w:ascii="Times New Roman" w:cs="Times New Roman" w:eastAsia="Times New Roman" w:hAnsi="Times New Roman"/>
                  <w:sz w:val="18"/>
                  <w:szCs w:val="18"/>
                  <w:color w:val="0000EE"/>
                  <w:w w:val="98"/>
                </w:rPr>
                <w:t>Chiesi Farmaceutici S.p.A.</w:t>
              </w:r>
            </w:hyperlink>
          </w:p>
        </w:tc>
        <w:tc>
          <w:tcPr>
            <w:tcW w:w="1180" w:type="dxa"/>
            <w:vAlign w:val="bottom"/>
            <w:gridSpan w:val="25"/>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290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Employment Agreement made effective</w:t>
              </w:r>
            </w:hyperlink>
          </w:p>
        </w:tc>
        <w:tc>
          <w:tcPr>
            <w:tcW w:w="220" w:type="dxa"/>
            <w:vAlign w:val="bottom"/>
            <w:gridSpan w:val="3"/>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001-33357</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3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May 21, 2019</w:t>
            </w:r>
          </w:p>
        </w:tc>
      </w:tr>
      <w:tr>
        <w:trPr>
          <w:trHeight w:val="196"/>
        </w:trPr>
        <w:tc>
          <w:tcPr>
            <w:tcW w:w="860" w:type="dxa"/>
            <w:vAlign w:val="bottom"/>
          </w:tcPr>
          <w:p>
            <w:pPr>
              <w:spacing w:after="0"/>
              <w:rPr>
                <w:sz w:val="17"/>
                <w:szCs w:val="17"/>
                <w:color w:val="auto"/>
              </w:rPr>
            </w:pPr>
          </w:p>
        </w:tc>
        <w:tc>
          <w:tcPr>
            <w:tcW w:w="3120" w:type="dxa"/>
            <w:vAlign w:val="bottom"/>
            <w:gridSpan w:val="30"/>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as of May 20, 2019, by and between</w:t>
              </w:r>
            </w:hyperlink>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60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Protalix Ltd. and Mr. Dror Bashan</w:t>
              </w:r>
            </w:hyperlink>
          </w:p>
        </w:tc>
        <w:tc>
          <w:tcPr>
            <w:tcW w:w="520" w:type="dxa"/>
            <w:vAlign w:val="bottom"/>
            <w:gridSpan w:val="13"/>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290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Employment Agreement made effective</w:t>
              </w:r>
            </w:hyperlink>
          </w:p>
        </w:tc>
        <w:tc>
          <w:tcPr>
            <w:tcW w:w="220" w:type="dxa"/>
            <w:vAlign w:val="bottom"/>
            <w:gridSpan w:val="3"/>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001-33357</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3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July 29, 2019</w:t>
            </w:r>
          </w:p>
        </w:tc>
      </w:tr>
      <w:tr>
        <w:trPr>
          <w:trHeight w:val="196"/>
        </w:trPr>
        <w:tc>
          <w:tcPr>
            <w:tcW w:w="860" w:type="dxa"/>
            <w:vAlign w:val="bottom"/>
          </w:tcPr>
          <w:p>
            <w:pPr>
              <w:spacing w:after="0"/>
              <w:rPr>
                <w:sz w:val="17"/>
                <w:szCs w:val="17"/>
                <w:color w:val="auto"/>
              </w:rPr>
            </w:pPr>
          </w:p>
        </w:tc>
        <w:tc>
          <w:tcPr>
            <w:tcW w:w="25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as of July 28, 2019, by and between</w:t>
              </w:r>
            </w:hyperlink>
          </w:p>
        </w:tc>
        <w:tc>
          <w:tcPr>
            <w:tcW w:w="540" w:type="dxa"/>
            <w:vAlign w:val="bottom"/>
            <w:gridSpan w:val="14"/>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3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20">
              <w:r>
                <w:rPr>
                  <w:rFonts w:ascii="Times New Roman" w:cs="Times New Roman" w:eastAsia="Times New Roman" w:hAnsi="Times New Roman"/>
                  <w:sz w:val="18"/>
                  <w:szCs w:val="18"/>
                  <w:color w:val="0000EE"/>
                  <w:w w:val="98"/>
                </w:rPr>
                <w:t>Protalix Ltd. and Mr. Eyal Rubin</w:t>
              </w:r>
            </w:hyperlink>
          </w:p>
        </w:tc>
        <w:tc>
          <w:tcPr>
            <w:tcW w:w="740" w:type="dxa"/>
            <w:vAlign w:val="bottom"/>
            <w:gridSpan w:val="21"/>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288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Form of Securities Purchase Agreement</w:t>
              </w:r>
            </w:hyperlink>
          </w:p>
        </w:tc>
        <w:tc>
          <w:tcPr>
            <w:tcW w:w="240" w:type="dxa"/>
            <w:vAlign w:val="bottom"/>
            <w:gridSpan w:val="4"/>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001-33357</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3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March 12, 2020</w:t>
            </w: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9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r:id="rId24">
              <w:r>
                <w:rPr>
                  <w:rFonts w:ascii="Times New Roman" w:cs="Times New Roman" w:eastAsia="Times New Roman" w:hAnsi="Times New Roman"/>
                  <w:sz w:val="18"/>
                  <w:szCs w:val="18"/>
                  <w:color w:val="0000EE"/>
                  <w:w w:val="98"/>
                </w:rPr>
                <w:t>Amended and Restated Pro</w:t>
              </w:r>
            </w:hyperlink>
          </w:p>
        </w:tc>
        <w:tc>
          <w:tcPr>
            <w:tcW w:w="1160" w:type="dxa"/>
            <w:vAlign w:val="bottom"/>
            <w:gridSpan w:val="24"/>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333-266131</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3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July 14, 2022</w:t>
            </w:r>
          </w:p>
        </w:tc>
      </w:tr>
      <w:tr>
        <w:trPr>
          <w:trHeight w:val="196"/>
        </w:trPr>
        <w:tc>
          <w:tcPr>
            <w:tcW w:w="860" w:type="dxa"/>
            <w:vAlign w:val="bottom"/>
          </w:tcPr>
          <w:p>
            <w:pPr>
              <w:spacing w:after="0"/>
              <w:rPr>
                <w:sz w:val="17"/>
                <w:szCs w:val="17"/>
                <w:color w:val="auto"/>
              </w:rPr>
            </w:pPr>
          </w:p>
        </w:tc>
        <w:tc>
          <w:tcPr>
            <w:tcW w:w="3120" w:type="dxa"/>
            <w:vAlign w:val="bottom"/>
            <w:gridSpan w:val="30"/>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BioTherapeutics, Inc. 2006 Stock</w:t>
              </w:r>
            </w:hyperlink>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40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Incentive Plan, as amended</w:t>
              </w:r>
            </w:hyperlink>
          </w:p>
        </w:tc>
        <w:tc>
          <w:tcPr>
            <w:tcW w:w="720" w:type="dxa"/>
            <w:vAlign w:val="bottom"/>
            <w:gridSpan w:val="20"/>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25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8"/>
              </w:rPr>
            </w:pPr>
            <w:hyperlink r:id="rId122">
              <w:r>
                <w:rPr>
                  <w:rFonts w:ascii="Times New Roman" w:cs="Times New Roman" w:eastAsia="Times New Roman" w:hAnsi="Times New Roman"/>
                  <w:sz w:val="18"/>
                  <w:szCs w:val="18"/>
                  <w:color w:val="0000EE"/>
                  <w:w w:val="98"/>
                </w:rPr>
                <w:t>Employment Agreement with Yael</w:t>
              </w:r>
            </w:hyperlink>
          </w:p>
        </w:tc>
        <w:tc>
          <w:tcPr>
            <w:tcW w:w="620" w:type="dxa"/>
            <w:vAlign w:val="bottom"/>
            <w:gridSpan w:val="16"/>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001-33357</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3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June 8, 2020</w:t>
            </w:r>
          </w:p>
        </w:tc>
      </w:tr>
      <w:tr>
        <w:trPr>
          <w:trHeight w:val="196"/>
        </w:trPr>
        <w:tc>
          <w:tcPr>
            <w:tcW w:w="860" w:type="dxa"/>
            <w:vAlign w:val="bottom"/>
          </w:tcPr>
          <w:p>
            <w:pPr>
              <w:spacing w:after="0"/>
              <w:rPr>
                <w:sz w:val="17"/>
                <w:szCs w:val="17"/>
                <w:color w:val="auto"/>
              </w:rPr>
            </w:pPr>
          </w:p>
        </w:tc>
        <w:tc>
          <w:tcPr>
            <w:tcW w:w="3120" w:type="dxa"/>
            <w:vAlign w:val="bottom"/>
            <w:gridSpan w:val="30"/>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Hayon, Ph.D. dated June 7, 2020</w:t>
              </w:r>
            </w:hyperlink>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286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Form of Exchange Agreement, dated as</w:t>
              </w:r>
            </w:hyperlink>
          </w:p>
        </w:tc>
        <w:tc>
          <w:tcPr>
            <w:tcW w:w="260" w:type="dxa"/>
            <w:vAlign w:val="bottom"/>
            <w:gridSpan w:val="5"/>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001-33357</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3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August 12, 2021</w:t>
            </w:r>
          </w:p>
        </w:tc>
      </w:tr>
      <w:tr>
        <w:trPr>
          <w:trHeight w:val="196"/>
        </w:trPr>
        <w:tc>
          <w:tcPr>
            <w:tcW w:w="860" w:type="dxa"/>
            <w:vAlign w:val="bottom"/>
          </w:tcPr>
          <w:p>
            <w:pPr>
              <w:spacing w:after="0"/>
              <w:rPr>
                <w:sz w:val="17"/>
                <w:szCs w:val="17"/>
                <w:color w:val="auto"/>
              </w:rPr>
            </w:pPr>
          </w:p>
        </w:tc>
        <w:tc>
          <w:tcPr>
            <w:tcW w:w="25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of August 12, 2021 among Protalix</w:t>
              </w:r>
            </w:hyperlink>
          </w:p>
        </w:tc>
        <w:tc>
          <w:tcPr>
            <w:tcW w:w="580" w:type="dxa"/>
            <w:vAlign w:val="bottom"/>
            <w:gridSpan w:val="15"/>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7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BioTherapeutics, Inc. and the holders</w:t>
              </w:r>
            </w:hyperlink>
          </w:p>
        </w:tc>
        <w:tc>
          <w:tcPr>
            <w:tcW w:w="420" w:type="dxa"/>
            <w:vAlign w:val="bottom"/>
            <w:gridSpan w:val="11"/>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0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r:id="rId123">
              <w:r>
                <w:rPr>
                  <w:rFonts w:ascii="Times New Roman" w:cs="Times New Roman" w:eastAsia="Times New Roman" w:hAnsi="Times New Roman"/>
                  <w:sz w:val="18"/>
                  <w:szCs w:val="18"/>
                  <w:color w:val="0000EE"/>
                  <w:w w:val="97"/>
                </w:rPr>
                <w:t>named therein</w:t>
              </w:r>
            </w:hyperlink>
          </w:p>
        </w:tc>
        <w:tc>
          <w:tcPr>
            <w:tcW w:w="2100" w:type="dxa"/>
            <w:vAlign w:val="bottom"/>
            <w:gridSpan w:val="26"/>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26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7"/>
              </w:rPr>
            </w:pPr>
            <w:hyperlink r:id="rId124">
              <w:r>
                <w:rPr>
                  <w:rFonts w:ascii="Times New Roman" w:cs="Times New Roman" w:eastAsia="Times New Roman" w:hAnsi="Times New Roman"/>
                  <w:sz w:val="18"/>
                  <w:szCs w:val="18"/>
                  <w:color w:val="0000EE"/>
                  <w:w w:val="97"/>
                </w:rPr>
                <w:t>Amended and Restated U.S. Security</w:t>
              </w:r>
            </w:hyperlink>
          </w:p>
        </w:tc>
        <w:tc>
          <w:tcPr>
            <w:tcW w:w="460" w:type="dxa"/>
            <w:vAlign w:val="bottom"/>
            <w:gridSpan w:val="12"/>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001-33357</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3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August 26, 2021</w:t>
            </w:r>
          </w:p>
        </w:tc>
      </w:tr>
      <w:tr>
        <w:trPr>
          <w:trHeight w:val="196"/>
        </w:trPr>
        <w:tc>
          <w:tcPr>
            <w:tcW w:w="860" w:type="dxa"/>
            <w:vAlign w:val="bottom"/>
          </w:tcPr>
          <w:p>
            <w:pPr>
              <w:spacing w:after="0"/>
              <w:rPr>
                <w:sz w:val="17"/>
                <w:szCs w:val="17"/>
                <w:color w:val="auto"/>
              </w:rPr>
            </w:pPr>
          </w:p>
        </w:tc>
        <w:tc>
          <w:tcPr>
            <w:tcW w:w="3120" w:type="dxa"/>
            <w:vAlign w:val="bottom"/>
            <w:gridSpan w:val="30"/>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Agreement dated of August 24, 2021</w:t>
              </w:r>
            </w:hyperlink>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30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3120" w:type="dxa"/>
            <w:vAlign w:val="bottom"/>
            <w:gridSpan w:val="30"/>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among Protalix BioTherapeutics, Inc.,</w:t>
              </w:r>
            </w:hyperlink>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30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94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the guarantors party thereto, Wilmington</w:t>
              </w:r>
            </w:hyperlink>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92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8"/>
              </w:rPr>
            </w:pPr>
            <w:hyperlink r:id="rId124">
              <w:r>
                <w:rPr>
                  <w:rFonts w:ascii="Times New Roman" w:cs="Times New Roman" w:eastAsia="Times New Roman" w:hAnsi="Times New Roman"/>
                  <w:sz w:val="18"/>
                  <w:szCs w:val="18"/>
                  <w:color w:val="0000EE"/>
                  <w:w w:val="98"/>
                </w:rPr>
                <w:t>Savings Fund Society, FSB, as collateral</w:t>
              </w:r>
            </w:hyperlink>
          </w:p>
        </w:tc>
        <w:tc>
          <w:tcPr>
            <w:tcW w:w="20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4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agent and The Bank of New York</w:t>
              </w:r>
            </w:hyperlink>
          </w:p>
        </w:tc>
        <w:tc>
          <w:tcPr>
            <w:tcW w:w="660" w:type="dxa"/>
            <w:vAlign w:val="bottom"/>
            <w:gridSpan w:val="19"/>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8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8"/>
              </w:rPr>
            </w:pPr>
            <w:hyperlink r:id="rId124">
              <w:r>
                <w:rPr>
                  <w:rFonts w:ascii="Times New Roman" w:cs="Times New Roman" w:eastAsia="Times New Roman" w:hAnsi="Times New Roman"/>
                  <w:sz w:val="18"/>
                  <w:szCs w:val="18"/>
                  <w:color w:val="0000EE"/>
                  <w:w w:val="98"/>
                </w:rPr>
                <w:t>Mellon Trust Company, N.A., as Notes</w:t>
              </w:r>
            </w:hyperlink>
          </w:p>
        </w:tc>
        <w:tc>
          <w:tcPr>
            <w:tcW w:w="300" w:type="dxa"/>
            <w:vAlign w:val="bottom"/>
            <w:gridSpan w:val="7"/>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3120" w:type="dxa"/>
            <w:vAlign w:val="bottom"/>
            <w:gridSpan w:val="30"/>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Trustee</w:t>
              </w:r>
            </w:hyperlink>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3120" w:type="dxa"/>
            <w:vAlign w:val="bottom"/>
            <w:gridSpan w:val="30"/>
          </w:tcPr>
          <w:p>
            <w:pPr>
              <w:spacing w:after="0"/>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2021 Security Agreement/Debenture,</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001-33357</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3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August 26, 2021</w:t>
            </w:r>
          </w:p>
        </w:tc>
      </w:tr>
      <w:tr>
        <w:trPr>
          <w:trHeight w:val="196"/>
        </w:trPr>
        <w:tc>
          <w:tcPr>
            <w:tcW w:w="860" w:type="dxa"/>
            <w:vAlign w:val="bottom"/>
          </w:tcPr>
          <w:p>
            <w:pPr>
              <w:spacing w:after="0"/>
              <w:rPr>
                <w:sz w:val="17"/>
                <w:szCs w:val="17"/>
                <w:color w:val="auto"/>
              </w:rPr>
            </w:pPr>
          </w:p>
        </w:tc>
        <w:tc>
          <w:tcPr>
            <w:tcW w:w="250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made on August 24, 2021 between</w:t>
              </w:r>
            </w:hyperlink>
          </w:p>
        </w:tc>
        <w:tc>
          <w:tcPr>
            <w:tcW w:w="160" w:type="dxa"/>
            <w:vAlign w:val="bottom"/>
            <w:tcBorders>
              <w:top w:val="single" w:sz="8" w:color="0000EE"/>
            </w:tcBorders>
            <w:gridSpan w:val="4"/>
          </w:tcPr>
          <w:p>
            <w:pPr>
              <w:spacing w:after="0"/>
              <w:rPr>
                <w:sz w:val="17"/>
                <w:szCs w:val="17"/>
                <w:color w:val="auto"/>
              </w:rPr>
            </w:pPr>
          </w:p>
        </w:tc>
        <w:tc>
          <w:tcPr>
            <w:tcW w:w="460" w:type="dxa"/>
            <w:vAlign w:val="bottom"/>
            <w:gridSpan w:val="12"/>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3120" w:type="dxa"/>
            <w:vAlign w:val="bottom"/>
            <w:gridSpan w:val="30"/>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Protalix Ltd. and Altshuler Shaham</w:t>
              </w:r>
            </w:hyperlink>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125">
              <w:r>
                <w:rPr>
                  <w:rFonts w:ascii="Times New Roman" w:cs="Times New Roman" w:eastAsia="Times New Roman" w:hAnsi="Times New Roman"/>
                  <w:sz w:val="18"/>
                  <w:szCs w:val="18"/>
                  <w:color w:val="0000EE"/>
                  <w:w w:val="98"/>
                </w:rPr>
                <w:t>Trusts Ltd., as security trustee</w:t>
              </w:r>
            </w:hyperlink>
          </w:p>
        </w:tc>
        <w:tc>
          <w:tcPr>
            <w:tcW w:w="380" w:type="dxa"/>
            <w:vAlign w:val="bottom"/>
            <w:tcBorders>
              <w:top w:val="single" w:sz="8" w:color="0000EE"/>
            </w:tcBorders>
            <w:gridSpan w:val="8"/>
          </w:tcPr>
          <w:p>
            <w:pPr>
              <w:spacing w:after="0"/>
              <w:rPr>
                <w:sz w:val="17"/>
                <w:szCs w:val="17"/>
                <w:color w:val="auto"/>
              </w:rPr>
            </w:pPr>
          </w:p>
        </w:tc>
        <w:tc>
          <w:tcPr>
            <w:tcW w:w="580" w:type="dxa"/>
            <w:vAlign w:val="bottom"/>
            <w:gridSpan w:val="15"/>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6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25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Fill/Finish Agreement effective on</w:t>
              </w:r>
            </w:hyperlink>
          </w:p>
        </w:tc>
        <w:tc>
          <w:tcPr>
            <w:tcW w:w="620" w:type="dxa"/>
            <w:vAlign w:val="bottom"/>
            <w:gridSpan w:val="17"/>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001-33357</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3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November 14,</w:t>
            </w:r>
          </w:p>
        </w:tc>
      </w:tr>
      <w:tr>
        <w:trPr>
          <w:trHeight w:val="196"/>
        </w:trPr>
        <w:tc>
          <w:tcPr>
            <w:tcW w:w="860" w:type="dxa"/>
            <w:vAlign w:val="bottom"/>
          </w:tcPr>
          <w:p>
            <w:pPr>
              <w:spacing w:after="0"/>
              <w:rPr>
                <w:sz w:val="17"/>
                <w:szCs w:val="17"/>
                <w:color w:val="auto"/>
              </w:rPr>
            </w:pPr>
          </w:p>
        </w:tc>
        <w:tc>
          <w:tcPr>
            <w:tcW w:w="28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August 29, 2022 made by and between</w:t>
              </w:r>
            </w:hyperlink>
          </w:p>
        </w:tc>
        <w:tc>
          <w:tcPr>
            <w:tcW w:w="320" w:type="dxa"/>
            <w:vAlign w:val="bottom"/>
            <w:gridSpan w:val="8"/>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9"/>
              </w:rPr>
              <w:t>2022</w:t>
            </w:r>
          </w:p>
        </w:tc>
      </w:tr>
      <w:tr>
        <w:trPr>
          <w:trHeight w:val="196"/>
        </w:trPr>
        <w:tc>
          <w:tcPr>
            <w:tcW w:w="860" w:type="dxa"/>
            <w:vAlign w:val="bottom"/>
          </w:tcPr>
          <w:p>
            <w:pPr>
              <w:spacing w:after="0"/>
              <w:rPr>
                <w:sz w:val="17"/>
                <w:szCs w:val="17"/>
                <w:color w:val="auto"/>
              </w:rPr>
            </w:pPr>
          </w:p>
        </w:tc>
        <w:tc>
          <w:tcPr>
            <w:tcW w:w="28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Chiesi Farmaceutici S.p.A and Protalix</w:t>
              </w:r>
            </w:hyperlink>
          </w:p>
        </w:tc>
        <w:tc>
          <w:tcPr>
            <w:tcW w:w="300" w:type="dxa"/>
            <w:vAlign w:val="bottom"/>
            <w:gridSpan w:val="7"/>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3120" w:type="dxa"/>
            <w:vAlign w:val="bottom"/>
            <w:gridSpan w:val="30"/>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Ltd.</w:t>
              </w:r>
            </w:hyperlink>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580" w:type="dxa"/>
            <w:vAlign w:val="bottom"/>
            <w:gridSpan w:val="9"/>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3120" w:type="dxa"/>
            <w:vAlign w:val="bottom"/>
            <w:gridSpan w:val="30"/>
          </w:tcPr>
          <w:p>
            <w:pPr>
              <w:spacing w:after="0"/>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Letter Agreement dated August 29, 2022</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001-33357</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3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November 14,</w:t>
            </w:r>
          </w:p>
        </w:tc>
      </w:tr>
      <w:tr>
        <w:trPr>
          <w:trHeight w:val="196"/>
        </w:trPr>
        <w:tc>
          <w:tcPr>
            <w:tcW w:w="86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from Chiesi Farmaceutici S.p.A to</w:t>
              </w:r>
            </w:hyperlink>
          </w:p>
        </w:tc>
        <w:tc>
          <w:tcPr>
            <w:tcW w:w="460" w:type="dxa"/>
            <w:vAlign w:val="bottom"/>
            <w:tcBorders>
              <w:top w:val="single" w:sz="8" w:color="0000EE"/>
            </w:tcBorders>
            <w:gridSpan w:val="17"/>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9"/>
              </w:rPr>
              <w:t>2022</w:t>
            </w:r>
          </w:p>
        </w:tc>
      </w:tr>
      <w:tr>
        <w:trPr>
          <w:trHeight w:val="196"/>
        </w:trPr>
        <w:tc>
          <w:tcPr>
            <w:tcW w:w="860" w:type="dxa"/>
            <w:vAlign w:val="bottom"/>
          </w:tcPr>
          <w:p>
            <w:pPr>
              <w:spacing w:after="0"/>
              <w:rPr>
                <w:sz w:val="17"/>
                <w:szCs w:val="17"/>
                <w:color w:val="auto"/>
              </w:rPr>
            </w:pPr>
          </w:p>
        </w:tc>
        <w:tc>
          <w:tcPr>
            <w:tcW w:w="3120" w:type="dxa"/>
            <w:vAlign w:val="bottom"/>
            <w:gridSpan w:val="30"/>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Protalix Ltd.</w:t>
              </w:r>
            </w:hyperlink>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1860" w:type="dxa"/>
            <w:vAlign w:val="bottom"/>
            <w:gridSpan w:val="18"/>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27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Letter Amendment dated May 2, 2022</w:t>
              </w:r>
            </w:hyperlink>
          </w:p>
        </w:tc>
        <w:tc>
          <w:tcPr>
            <w:tcW w:w="360" w:type="dxa"/>
            <w:vAlign w:val="bottom"/>
            <w:gridSpan w:val="9"/>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001-33357</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13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May 2, 2022</w:t>
            </w: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3120" w:type="dxa"/>
            <w:vAlign w:val="bottom"/>
            <w:gridSpan w:val="30"/>
          </w:tcPr>
          <w:p>
            <w:pPr>
              <w:spacing w:after="0"/>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Subsidiaries</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001-33357</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13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February 26,</w:t>
            </w:r>
          </w:p>
        </w:tc>
      </w:tr>
      <w:tr>
        <w:trPr>
          <w:trHeight w:val="236"/>
        </w:trPr>
        <w:tc>
          <w:tcPr>
            <w:tcW w:w="860" w:type="dxa"/>
            <w:vAlign w:val="bottom"/>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2010</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26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Consent of Kesselman &amp; Kesselman,</w:t>
            </w:r>
          </w:p>
        </w:tc>
        <w:tc>
          <w:tcPr>
            <w:tcW w:w="2600" w:type="dxa"/>
            <w:vAlign w:val="bottom"/>
            <w:gridSpan w:val="8"/>
          </w:tcPr>
          <w:p>
            <w:pPr>
              <w:spacing w:after="0"/>
              <w:rPr>
                <w:sz w:val="17"/>
                <w:szCs w:val="17"/>
                <w:color w:val="auto"/>
              </w:rPr>
            </w:pPr>
          </w:p>
        </w:tc>
        <w:tc>
          <w:tcPr>
            <w:tcW w:w="244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860" w:type="dxa"/>
            <w:vAlign w:val="bottom"/>
          </w:tcPr>
          <w:p>
            <w:pPr>
              <w:spacing w:after="0"/>
              <w:rPr>
                <w:sz w:val="17"/>
                <w:szCs w:val="17"/>
                <w:color w:val="auto"/>
              </w:rPr>
            </w:pPr>
          </w:p>
        </w:tc>
        <w:tc>
          <w:tcPr>
            <w:tcW w:w="27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Certified Public Accountants (Isr.), A</w:t>
            </w:r>
          </w:p>
        </w:tc>
        <w:tc>
          <w:tcPr>
            <w:tcW w:w="2580" w:type="dxa"/>
            <w:vAlign w:val="bottom"/>
            <w:gridSpan w:val="7"/>
          </w:tcPr>
          <w:p>
            <w:pPr>
              <w:spacing w:after="0"/>
              <w:rPr>
                <w:sz w:val="17"/>
                <w:szCs w:val="17"/>
                <w:color w:val="auto"/>
              </w:rPr>
            </w:pPr>
          </w:p>
        </w:tc>
        <w:tc>
          <w:tcPr>
            <w:tcW w:w="24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6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member of PricewaterhouseCoopers</w:t>
            </w:r>
          </w:p>
        </w:tc>
        <w:tc>
          <w:tcPr>
            <w:tcW w:w="2660" w:type="dxa"/>
            <w:vAlign w:val="bottom"/>
            <w:gridSpan w:val="9"/>
          </w:tcPr>
          <w:p>
            <w:pPr>
              <w:spacing w:after="0"/>
              <w:rPr>
                <w:sz w:val="17"/>
                <w:szCs w:val="17"/>
                <w:color w:val="auto"/>
              </w:rPr>
            </w:pPr>
          </w:p>
        </w:tc>
        <w:tc>
          <w:tcPr>
            <w:tcW w:w="24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5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International Limited, independent</w:t>
            </w:r>
          </w:p>
        </w:tc>
        <w:tc>
          <w:tcPr>
            <w:tcW w:w="2780" w:type="dxa"/>
            <w:vAlign w:val="bottom"/>
            <w:gridSpan w:val="11"/>
          </w:tcPr>
          <w:p>
            <w:pPr>
              <w:spacing w:after="0"/>
              <w:rPr>
                <w:sz w:val="17"/>
                <w:szCs w:val="17"/>
                <w:color w:val="auto"/>
              </w:rPr>
            </w:pPr>
          </w:p>
        </w:tc>
        <w:tc>
          <w:tcPr>
            <w:tcW w:w="24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52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registered public accounting firm for the</w:t>
            </w:r>
          </w:p>
        </w:tc>
        <w:tc>
          <w:tcPr>
            <w:tcW w:w="24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74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Registrant</w:t>
            </w:r>
          </w:p>
        </w:tc>
        <w:tc>
          <w:tcPr>
            <w:tcW w:w="2160" w:type="dxa"/>
            <w:vAlign w:val="bottom"/>
            <w:tcBorders>
              <w:top w:val="single" w:sz="8" w:color="0000EE"/>
            </w:tcBorders>
            <w:gridSpan w:val="12"/>
          </w:tcPr>
          <w:p>
            <w:pPr>
              <w:spacing w:after="0"/>
              <w:rPr>
                <w:sz w:val="17"/>
                <w:szCs w:val="17"/>
                <w:color w:val="auto"/>
              </w:rPr>
            </w:pPr>
          </w:p>
        </w:tc>
        <w:tc>
          <w:tcPr>
            <w:tcW w:w="2380" w:type="dxa"/>
            <w:vAlign w:val="bottom"/>
            <w:gridSpan w:val="3"/>
          </w:tcPr>
          <w:p>
            <w:pPr>
              <w:spacing w:after="0"/>
              <w:rPr>
                <w:sz w:val="17"/>
                <w:szCs w:val="17"/>
                <w:color w:val="auto"/>
              </w:rPr>
            </w:pPr>
          </w:p>
        </w:tc>
        <w:tc>
          <w:tcPr>
            <w:tcW w:w="2440" w:type="dxa"/>
            <w:vAlign w:val="bottom"/>
          </w:tcPr>
          <w:p>
            <w:pPr>
              <w:spacing w:after="0"/>
              <w:rPr>
                <w:sz w:val="17"/>
                <w:szCs w:val="17"/>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2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w:t>
            </w:r>
          </w:p>
        </w:tc>
        <w:tc>
          <w:tcPr>
            <w:tcW w:w="244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86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Rule 13a-14(a) as adopted</w:t>
            </w:r>
          </w:p>
        </w:tc>
        <w:tc>
          <w:tcPr>
            <w:tcW w:w="120" w:type="dxa"/>
            <w:vAlign w:val="bottom"/>
            <w:tcBorders>
              <w:top w:val="single" w:sz="8" w:color="0000EE"/>
            </w:tcBorders>
            <w:gridSpan w:val="2"/>
          </w:tcPr>
          <w:p>
            <w:pPr>
              <w:spacing w:after="0"/>
              <w:rPr>
                <w:sz w:val="17"/>
                <w:szCs w:val="17"/>
                <w:color w:val="auto"/>
              </w:rPr>
            </w:pPr>
          </w:p>
        </w:tc>
        <w:tc>
          <w:tcPr>
            <w:tcW w:w="2420" w:type="dxa"/>
            <w:vAlign w:val="bottom"/>
            <w:gridSpan w:val="4"/>
          </w:tcPr>
          <w:p>
            <w:pPr>
              <w:spacing w:after="0"/>
              <w:rPr>
                <w:sz w:val="17"/>
                <w:szCs w:val="17"/>
                <w:color w:val="auto"/>
              </w:rPr>
            </w:pPr>
          </w:p>
        </w:tc>
        <w:tc>
          <w:tcPr>
            <w:tcW w:w="24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9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302 of the Sarbanes-</w:t>
            </w:r>
          </w:p>
        </w:tc>
        <w:tc>
          <w:tcPr>
            <w:tcW w:w="2360" w:type="dxa"/>
            <w:vAlign w:val="bottom"/>
            <w:gridSpan w:val="2"/>
          </w:tcPr>
          <w:p>
            <w:pPr>
              <w:spacing w:after="0"/>
              <w:rPr>
                <w:sz w:val="17"/>
                <w:szCs w:val="17"/>
                <w:color w:val="auto"/>
              </w:rPr>
            </w:pPr>
          </w:p>
        </w:tc>
        <w:tc>
          <w:tcPr>
            <w:tcW w:w="24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3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Oxley Act of 2002</w:t>
            </w:r>
          </w:p>
        </w:tc>
        <w:tc>
          <w:tcPr>
            <w:tcW w:w="3940" w:type="dxa"/>
            <w:vAlign w:val="bottom"/>
            <w:gridSpan w:val="12"/>
          </w:tcPr>
          <w:p>
            <w:pPr>
              <w:spacing w:after="0"/>
              <w:rPr>
                <w:sz w:val="17"/>
                <w:szCs w:val="17"/>
                <w:color w:val="auto"/>
              </w:rPr>
            </w:pPr>
          </w:p>
        </w:tc>
        <w:tc>
          <w:tcPr>
            <w:tcW w:w="2440" w:type="dxa"/>
            <w:vAlign w:val="bottom"/>
          </w:tcPr>
          <w:p>
            <w:pPr>
              <w:spacing w:after="0"/>
              <w:rPr>
                <w:sz w:val="17"/>
                <w:szCs w:val="17"/>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8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Certification of Chief Financial Officer</w:t>
            </w:r>
          </w:p>
        </w:tc>
        <w:tc>
          <w:tcPr>
            <w:tcW w:w="2460" w:type="dxa"/>
            <w:vAlign w:val="bottom"/>
            <w:gridSpan w:val="5"/>
          </w:tcPr>
          <w:p>
            <w:pPr>
              <w:spacing w:after="0"/>
              <w:rPr>
                <w:sz w:val="24"/>
                <w:szCs w:val="24"/>
                <w:color w:val="auto"/>
              </w:rPr>
            </w:pPr>
          </w:p>
        </w:tc>
        <w:tc>
          <w:tcPr>
            <w:tcW w:w="244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860" w:type="dxa"/>
            <w:vAlign w:val="bottom"/>
          </w:tcPr>
          <w:p>
            <w:pPr>
              <w:spacing w:after="0"/>
              <w:rPr>
                <w:sz w:val="17"/>
                <w:szCs w:val="17"/>
                <w:color w:val="auto"/>
              </w:rPr>
            </w:pPr>
          </w:p>
        </w:tc>
        <w:tc>
          <w:tcPr>
            <w:tcW w:w="27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Rule 13a-14(a) as adopted</w:t>
            </w:r>
          </w:p>
        </w:tc>
        <w:tc>
          <w:tcPr>
            <w:tcW w:w="2540" w:type="dxa"/>
            <w:vAlign w:val="bottom"/>
            <w:gridSpan w:val="6"/>
          </w:tcPr>
          <w:p>
            <w:pPr>
              <w:spacing w:after="0"/>
              <w:rPr>
                <w:sz w:val="17"/>
                <w:szCs w:val="17"/>
                <w:color w:val="auto"/>
              </w:rPr>
            </w:pPr>
          </w:p>
        </w:tc>
        <w:tc>
          <w:tcPr>
            <w:tcW w:w="24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9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302 of the Sarbanes-</w:t>
            </w:r>
          </w:p>
        </w:tc>
        <w:tc>
          <w:tcPr>
            <w:tcW w:w="2360" w:type="dxa"/>
            <w:vAlign w:val="bottom"/>
            <w:gridSpan w:val="2"/>
          </w:tcPr>
          <w:p>
            <w:pPr>
              <w:spacing w:after="0"/>
              <w:rPr>
                <w:sz w:val="17"/>
                <w:szCs w:val="17"/>
                <w:color w:val="auto"/>
              </w:rPr>
            </w:pPr>
          </w:p>
        </w:tc>
        <w:tc>
          <w:tcPr>
            <w:tcW w:w="24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3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Oxley Act of 2002</w:t>
            </w:r>
          </w:p>
        </w:tc>
        <w:tc>
          <w:tcPr>
            <w:tcW w:w="3940" w:type="dxa"/>
            <w:vAlign w:val="bottom"/>
            <w:gridSpan w:val="12"/>
          </w:tcPr>
          <w:p>
            <w:pPr>
              <w:spacing w:after="0"/>
              <w:rPr>
                <w:sz w:val="17"/>
                <w:szCs w:val="17"/>
                <w:color w:val="auto"/>
              </w:rPr>
            </w:pPr>
          </w:p>
        </w:tc>
        <w:tc>
          <w:tcPr>
            <w:tcW w:w="2440" w:type="dxa"/>
            <w:vAlign w:val="bottom"/>
          </w:tcPr>
          <w:p>
            <w:pPr>
              <w:spacing w:after="0"/>
              <w:rPr>
                <w:sz w:val="17"/>
                <w:szCs w:val="17"/>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2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18 U.S.C. Section 1350, as adopted</w:t>
            </w:r>
          </w:p>
        </w:tc>
        <w:tc>
          <w:tcPr>
            <w:tcW w:w="244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86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9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906 of the Sarbanes-</w:t>
            </w:r>
          </w:p>
        </w:tc>
        <w:tc>
          <w:tcPr>
            <w:tcW w:w="2360" w:type="dxa"/>
            <w:vAlign w:val="bottom"/>
            <w:gridSpan w:val="2"/>
          </w:tcPr>
          <w:p>
            <w:pPr>
              <w:spacing w:after="0"/>
              <w:rPr>
                <w:sz w:val="17"/>
                <w:szCs w:val="17"/>
                <w:color w:val="auto"/>
              </w:rPr>
            </w:pPr>
          </w:p>
        </w:tc>
        <w:tc>
          <w:tcPr>
            <w:tcW w:w="24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9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Oxley Act of 2002, Certification of Chief</w:t>
            </w:r>
          </w:p>
        </w:tc>
        <w:tc>
          <w:tcPr>
            <w:tcW w:w="230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2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Officer</w:t>
            </w:r>
          </w:p>
        </w:tc>
        <w:tc>
          <w:tcPr>
            <w:tcW w:w="4000" w:type="dxa"/>
            <w:vAlign w:val="bottom"/>
            <w:gridSpan w:val="13"/>
          </w:tcPr>
          <w:p>
            <w:pPr>
              <w:spacing w:after="0"/>
              <w:rPr>
                <w:sz w:val="17"/>
                <w:szCs w:val="17"/>
                <w:color w:val="auto"/>
              </w:rPr>
            </w:pPr>
          </w:p>
        </w:tc>
        <w:tc>
          <w:tcPr>
            <w:tcW w:w="2440" w:type="dxa"/>
            <w:vAlign w:val="bottom"/>
          </w:tcPr>
          <w:p>
            <w:pPr>
              <w:spacing w:after="0"/>
              <w:rPr>
                <w:sz w:val="17"/>
                <w:szCs w:val="17"/>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2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18 U.S.C. Section 1350, as adopted</w:t>
            </w:r>
          </w:p>
        </w:tc>
        <w:tc>
          <w:tcPr>
            <w:tcW w:w="244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86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740" w:type="dxa"/>
            <w:vAlign w:val="bottom"/>
            <w:gridSpan w:val="1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9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906 of the Sarbanes-</w:t>
            </w:r>
          </w:p>
        </w:tc>
        <w:tc>
          <w:tcPr>
            <w:tcW w:w="2360" w:type="dxa"/>
            <w:vAlign w:val="bottom"/>
            <w:gridSpan w:val="2"/>
          </w:tcPr>
          <w:p>
            <w:pPr>
              <w:spacing w:after="0"/>
              <w:rPr>
                <w:sz w:val="17"/>
                <w:szCs w:val="17"/>
                <w:color w:val="auto"/>
              </w:rPr>
            </w:pPr>
          </w:p>
        </w:tc>
        <w:tc>
          <w:tcPr>
            <w:tcW w:w="24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9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Oxley Act of 2002, Certification of Chief</w:t>
            </w:r>
          </w:p>
        </w:tc>
        <w:tc>
          <w:tcPr>
            <w:tcW w:w="230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52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Financial Officer</w:t>
            </w:r>
          </w:p>
        </w:tc>
        <w:tc>
          <w:tcPr>
            <w:tcW w:w="244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4060" w:type="dxa"/>
            <w:vAlign w:val="bottom"/>
            <w:gridSpan w:val="14"/>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4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2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INSTANCE DOCUMENT - the</w:t>
            </w:r>
          </w:p>
        </w:tc>
        <w:tc>
          <w:tcPr>
            <w:tcW w:w="244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76"/>
              </w:rPr>
              <w:t>X</w:t>
            </w:r>
          </w:p>
        </w:tc>
      </w:tr>
      <w:tr>
        <w:trPr>
          <w:trHeight w:val="216"/>
        </w:trPr>
        <w:tc>
          <w:tcPr>
            <w:tcW w:w="860" w:type="dxa"/>
            <w:vAlign w:val="bottom"/>
          </w:tcPr>
          <w:p>
            <w:pPr>
              <w:spacing w:after="0"/>
              <w:rPr>
                <w:sz w:val="18"/>
                <w:szCs w:val="18"/>
                <w:color w:val="auto"/>
              </w:rPr>
            </w:pPr>
          </w:p>
        </w:tc>
        <w:tc>
          <w:tcPr>
            <w:tcW w:w="52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instance document does not appear in the</w:t>
            </w:r>
          </w:p>
        </w:tc>
        <w:tc>
          <w:tcPr>
            <w:tcW w:w="24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52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Interactive Data File because its XBRL</w:t>
            </w:r>
          </w:p>
        </w:tc>
        <w:tc>
          <w:tcPr>
            <w:tcW w:w="24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52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tags are embedded within the Inline</w:t>
            </w:r>
          </w:p>
        </w:tc>
        <w:tc>
          <w:tcPr>
            <w:tcW w:w="2440" w:type="dxa"/>
            <w:vAlign w:val="bottom"/>
          </w:tcPr>
          <w:p>
            <w:pPr>
              <w:spacing w:after="0"/>
              <w:rPr>
                <w:sz w:val="18"/>
                <w:szCs w:val="18"/>
                <w:color w:val="auto"/>
              </w:rPr>
            </w:pPr>
          </w:p>
        </w:tc>
      </w:tr>
      <w:tr>
        <w:trPr>
          <w:trHeight w:val="234"/>
        </w:trPr>
        <w:tc>
          <w:tcPr>
            <w:tcW w:w="860" w:type="dxa"/>
            <w:vAlign w:val="bottom"/>
          </w:tcPr>
          <w:p>
            <w:pPr>
              <w:spacing w:after="0"/>
              <w:rPr>
                <w:sz w:val="20"/>
                <w:szCs w:val="20"/>
                <w:color w:val="auto"/>
              </w:rPr>
            </w:pPr>
          </w:p>
        </w:tc>
        <w:tc>
          <w:tcPr>
            <w:tcW w:w="52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2440" w:type="dxa"/>
            <w:vAlign w:val="bottom"/>
          </w:tcPr>
          <w:p>
            <w:pPr>
              <w:spacing w:after="0"/>
              <w:rPr>
                <w:sz w:val="20"/>
                <w:szCs w:val="20"/>
                <w:color w:val="auto"/>
              </w:rPr>
            </w:pPr>
          </w:p>
        </w:tc>
      </w:tr>
      <w:tr>
        <w:trPr>
          <w:trHeight w:val="43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2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SHEMA FILE</w:t>
            </w:r>
          </w:p>
        </w:tc>
        <w:tc>
          <w:tcPr>
            <w:tcW w:w="244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76"/>
              </w:rPr>
              <w:t>X</w:t>
            </w:r>
          </w:p>
        </w:tc>
      </w:tr>
      <w:tr>
        <w:trPr>
          <w:trHeight w:val="43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2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CALCULATION FILE</w:t>
            </w:r>
          </w:p>
        </w:tc>
        <w:tc>
          <w:tcPr>
            <w:tcW w:w="244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76"/>
              </w:rPr>
              <w:t>X</w:t>
            </w:r>
          </w:p>
        </w:tc>
      </w:tr>
      <w:tr>
        <w:trPr>
          <w:trHeight w:val="43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2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DEFINITION FILE</w:t>
            </w:r>
          </w:p>
        </w:tc>
        <w:tc>
          <w:tcPr>
            <w:tcW w:w="244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76"/>
              </w:rPr>
              <w:t>X</w:t>
            </w:r>
          </w:p>
        </w:tc>
      </w:tr>
      <w:tr>
        <w:trPr>
          <w:trHeight w:val="43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2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LABEL FILE</w:t>
            </w:r>
          </w:p>
        </w:tc>
        <w:tc>
          <w:tcPr>
            <w:tcW w:w="244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76"/>
              </w:rPr>
              <w:t>X</w:t>
            </w:r>
          </w:p>
        </w:tc>
      </w:tr>
      <w:tr>
        <w:trPr>
          <w:trHeight w:val="43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2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PRESENTATION FILE</w:t>
            </w:r>
          </w:p>
        </w:tc>
        <w:tc>
          <w:tcPr>
            <w:tcW w:w="244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76"/>
              </w:rPr>
              <w:t>X</w:t>
            </w:r>
          </w:p>
        </w:tc>
      </w:tr>
      <w:tr>
        <w:trPr>
          <w:trHeight w:val="41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2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 -</w:t>
            </w:r>
          </w:p>
        </w:tc>
        <w:tc>
          <w:tcPr>
            <w:tcW w:w="244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76"/>
              </w:rPr>
              <w:t>X</w:t>
            </w:r>
          </w:p>
        </w:tc>
      </w:tr>
      <w:tr>
        <w:trPr>
          <w:trHeight w:val="216"/>
        </w:trPr>
        <w:tc>
          <w:tcPr>
            <w:tcW w:w="860" w:type="dxa"/>
            <w:vAlign w:val="bottom"/>
          </w:tcPr>
          <w:p>
            <w:pPr>
              <w:spacing w:after="0"/>
              <w:rPr>
                <w:sz w:val="18"/>
                <w:szCs w:val="18"/>
                <w:color w:val="auto"/>
              </w:rPr>
            </w:pPr>
          </w:p>
        </w:tc>
        <w:tc>
          <w:tcPr>
            <w:tcW w:w="52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formatted in Inline XBRL and included</w:t>
            </w:r>
          </w:p>
        </w:tc>
        <w:tc>
          <w:tcPr>
            <w:tcW w:w="2440" w:type="dxa"/>
            <w:vAlign w:val="bottom"/>
          </w:tcPr>
          <w:p>
            <w:pPr>
              <w:spacing w:after="0"/>
              <w:rPr>
                <w:sz w:val="18"/>
                <w:szCs w:val="18"/>
                <w:color w:val="auto"/>
              </w:rPr>
            </w:pPr>
          </w:p>
        </w:tc>
      </w:tr>
      <w:tr>
        <w:trPr>
          <w:trHeight w:val="234"/>
        </w:trPr>
        <w:tc>
          <w:tcPr>
            <w:tcW w:w="860" w:type="dxa"/>
            <w:vAlign w:val="bottom"/>
          </w:tcPr>
          <w:p>
            <w:pPr>
              <w:spacing w:after="0"/>
              <w:rPr>
                <w:sz w:val="20"/>
                <w:szCs w:val="20"/>
                <w:color w:val="auto"/>
              </w:rPr>
            </w:pPr>
          </w:p>
        </w:tc>
        <w:tc>
          <w:tcPr>
            <w:tcW w:w="52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as Exhibit 101</w:t>
            </w:r>
          </w:p>
        </w:tc>
        <w:tc>
          <w:tcPr>
            <w:tcW w:w="24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1">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78" w:lineRule="exact"/>
        <w:rPr>
          <w:sz w:val="20"/>
          <w:szCs w:val="20"/>
          <w:color w:val="auto"/>
        </w:rPr>
      </w:pPr>
    </w:p>
    <w:p>
      <w:pPr>
        <w:ind w:left="380" w:right="239" w:hanging="330"/>
        <w:spacing w:after="0" w:line="282" w:lineRule="auto"/>
        <w:tabs>
          <w:tab w:leader="none" w:pos="37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or compensation plans or arrangements in which directors or executive officers are eligible to participate.</w:t>
      </w:r>
    </w:p>
    <w:p>
      <w:pPr>
        <w:spacing w:after="0" w:line="54" w:lineRule="exact"/>
        <w:rPr>
          <w:sz w:val="20"/>
          <w:szCs w:val="20"/>
          <w:color w:val="auto"/>
        </w:rPr>
      </w:pPr>
    </w:p>
    <w:p>
      <w:pPr>
        <w:ind w:left="380" w:right="179" w:hanging="330"/>
        <w:spacing w:after="0" w:line="266" w:lineRule="auto"/>
        <w:tabs>
          <w:tab w:leader="none" w:pos="37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were omitted and have been filed separately with the Secretary of the Securities and Exchange Commission pursuant to the Registrant’s application requesting confidential treatment under Rule 24b-2 of the Exchange Act.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60" w:right="139"/>
        <w:spacing w:after="0" w:line="312"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as amended, the registrant has duly caused this report to be signed on its behalf by the undersigned, thereunto duly authorized, as of February 27, 2023.</w:t>
      </w:r>
    </w:p>
    <w:p>
      <w:pPr>
        <w:spacing w:after="0" w:line="12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PROTALIX BIOTHERAPEUTICS, INC.</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17145</wp:posOffset>
            </wp:positionV>
            <wp:extent cx="264858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4">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Dror Bashan</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8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Dror Bashan and Eyal Rubin, and each of them, as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that said attorneys-in-fact and agents, or any of them, or their or his substitute or substitutes, may lawfully do or cause to be done by virtue hereof.</w:t>
      </w:r>
    </w:p>
    <w:p>
      <w:pPr>
        <w:spacing w:after="0" w:line="148"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404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66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39"/>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Dror Bashan</w:t>
            </w:r>
          </w:p>
        </w:tc>
        <w:tc>
          <w:tcPr>
            <w:tcW w:w="40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President, Chief Executive Officer</w:t>
            </w:r>
          </w:p>
        </w:tc>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February 27, 2023</w:t>
            </w:r>
          </w:p>
        </w:tc>
      </w:tr>
      <w:tr>
        <w:trPr>
          <w:trHeight w:val="234"/>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Dror Bashan</w:t>
            </w:r>
          </w:p>
        </w:tc>
        <w:tc>
          <w:tcPr>
            <w:tcW w:w="40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(Principal Executive Officer) and Director</w:t>
            </w:r>
          </w:p>
        </w:tc>
        <w:tc>
          <w:tcPr>
            <w:tcW w:w="1660" w:type="dxa"/>
            <w:vAlign w:val="bottom"/>
          </w:tcPr>
          <w:p>
            <w:pPr>
              <w:spacing w:after="0"/>
              <w:rPr>
                <w:sz w:val="20"/>
                <w:szCs w:val="20"/>
                <w:color w:val="auto"/>
              </w:rPr>
            </w:pPr>
          </w:p>
        </w:tc>
      </w:tr>
      <w:tr>
        <w:trPr>
          <w:trHeight w:val="421"/>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Eyal Rubin</w:t>
            </w:r>
          </w:p>
        </w:tc>
        <w:tc>
          <w:tcPr>
            <w:tcW w:w="40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Chief Financial Officer, Treasurer and</w:t>
            </w:r>
          </w:p>
        </w:tc>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February 27, 2023</w:t>
            </w:r>
          </w:p>
        </w:tc>
      </w:tr>
      <w:tr>
        <w:trPr>
          <w:trHeight w:val="198"/>
        </w:trPr>
        <w:tc>
          <w:tcPr>
            <w:tcW w:w="26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Eyal Rubin</w:t>
            </w:r>
          </w:p>
        </w:tc>
        <w:tc>
          <w:tcPr>
            <w:tcW w:w="4040" w:type="dxa"/>
            <w:vAlign w:val="bottom"/>
          </w:tcPr>
          <w:p>
            <w:pPr>
              <w:jc w:val="center"/>
              <w:ind w:left="230"/>
              <w:spacing w:after="0" w:line="198" w:lineRule="exact"/>
              <w:rPr>
                <w:sz w:val="20"/>
                <w:szCs w:val="20"/>
                <w:color w:val="auto"/>
              </w:rPr>
            </w:pPr>
            <w:r>
              <w:rPr>
                <w:rFonts w:ascii="Times New Roman" w:cs="Times New Roman" w:eastAsia="Times New Roman" w:hAnsi="Times New Roman"/>
                <w:sz w:val="18"/>
                <w:szCs w:val="18"/>
                <w:color w:val="auto"/>
              </w:rPr>
              <w:t>Secretary (Principal Financial</w:t>
            </w:r>
          </w:p>
        </w:tc>
        <w:tc>
          <w:tcPr>
            <w:tcW w:w="1660" w:type="dxa"/>
            <w:vAlign w:val="bottom"/>
          </w:tcPr>
          <w:p>
            <w:pPr>
              <w:spacing w:after="0"/>
              <w:rPr>
                <w:sz w:val="17"/>
                <w:szCs w:val="17"/>
                <w:color w:val="auto"/>
              </w:rPr>
            </w:pPr>
          </w:p>
        </w:tc>
      </w:tr>
      <w:tr>
        <w:trPr>
          <w:trHeight w:val="234"/>
        </w:trPr>
        <w:tc>
          <w:tcPr>
            <w:tcW w:w="2620" w:type="dxa"/>
            <w:vAlign w:val="bottom"/>
          </w:tcPr>
          <w:p>
            <w:pPr>
              <w:spacing w:after="0"/>
              <w:rPr>
                <w:sz w:val="20"/>
                <w:szCs w:val="20"/>
                <w:color w:val="auto"/>
              </w:rPr>
            </w:pPr>
          </w:p>
        </w:tc>
        <w:tc>
          <w:tcPr>
            <w:tcW w:w="40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and Accounting Officer)</w:t>
            </w:r>
          </w:p>
        </w:tc>
        <w:tc>
          <w:tcPr>
            <w:tcW w:w="1660" w:type="dxa"/>
            <w:vAlign w:val="bottom"/>
          </w:tcPr>
          <w:p>
            <w:pPr>
              <w:spacing w:after="0"/>
              <w:rPr>
                <w:sz w:val="20"/>
                <w:szCs w:val="20"/>
                <w:color w:val="auto"/>
              </w:rPr>
            </w:pPr>
          </w:p>
        </w:tc>
      </w:tr>
      <w:tr>
        <w:trPr>
          <w:trHeight w:val="439"/>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Zeev Bronfeld</w:t>
            </w:r>
          </w:p>
        </w:tc>
        <w:tc>
          <w:tcPr>
            <w:tcW w:w="40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Chairman of the Board</w:t>
            </w:r>
          </w:p>
        </w:tc>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February 27, 2023</w:t>
            </w:r>
          </w:p>
        </w:tc>
      </w:tr>
      <w:tr>
        <w:trPr>
          <w:trHeight w:val="234"/>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Zeev Bronfeld</w:t>
            </w:r>
          </w:p>
        </w:tc>
        <w:tc>
          <w:tcPr>
            <w:tcW w:w="40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21"/>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Amos Bar Shalev</w:t>
            </w:r>
          </w:p>
        </w:tc>
        <w:tc>
          <w:tcPr>
            <w:tcW w:w="40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Director</w:t>
            </w:r>
          </w:p>
        </w:tc>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February 27, 2023</w:t>
            </w:r>
          </w:p>
        </w:tc>
      </w:tr>
      <w:tr>
        <w:trPr>
          <w:trHeight w:val="234"/>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Amos Bar Shalev</w:t>
            </w:r>
          </w:p>
        </w:tc>
        <w:tc>
          <w:tcPr>
            <w:tcW w:w="40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21"/>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Shmuel Ben Zvi</w:t>
            </w:r>
          </w:p>
        </w:tc>
        <w:tc>
          <w:tcPr>
            <w:tcW w:w="40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Director</w:t>
            </w:r>
          </w:p>
        </w:tc>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February 27, 2023</w:t>
            </w:r>
          </w:p>
        </w:tc>
      </w:tr>
      <w:tr>
        <w:trPr>
          <w:trHeight w:val="234"/>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Shmuel Ben Zvi, Ph.D.</w:t>
            </w:r>
          </w:p>
        </w:tc>
        <w:tc>
          <w:tcPr>
            <w:tcW w:w="40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21"/>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Pol F. Boudes</w:t>
            </w:r>
          </w:p>
        </w:tc>
        <w:tc>
          <w:tcPr>
            <w:tcW w:w="40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Director</w:t>
            </w:r>
          </w:p>
        </w:tc>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February 27, 2023</w:t>
            </w:r>
          </w:p>
        </w:tc>
      </w:tr>
      <w:tr>
        <w:trPr>
          <w:trHeight w:val="234"/>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Pol F. Boudes, M.D.</w:t>
            </w:r>
          </w:p>
        </w:tc>
        <w:tc>
          <w:tcPr>
            <w:tcW w:w="40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21"/>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Gwen A. Melincoff</w:t>
            </w:r>
          </w:p>
        </w:tc>
        <w:tc>
          <w:tcPr>
            <w:tcW w:w="40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Director</w:t>
            </w:r>
          </w:p>
        </w:tc>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February 27, 2023</w:t>
            </w:r>
          </w:p>
        </w:tc>
      </w:tr>
      <w:tr>
        <w:trPr>
          <w:trHeight w:val="234"/>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Gwen A. Melincoff</w:t>
            </w:r>
          </w:p>
        </w:tc>
        <w:tc>
          <w:tcPr>
            <w:tcW w:w="40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21"/>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Aharon Schwartz</w:t>
            </w:r>
          </w:p>
        </w:tc>
        <w:tc>
          <w:tcPr>
            <w:tcW w:w="40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Director</w:t>
            </w:r>
          </w:p>
        </w:tc>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February 27, 2023</w:t>
            </w:r>
          </w:p>
        </w:tc>
      </w:tr>
      <w:tr>
        <w:trPr>
          <w:trHeight w:val="234"/>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Aharon Schwartz, Ph.D.</w:t>
            </w:r>
          </w:p>
        </w:tc>
        <w:tc>
          <w:tcPr>
            <w:tcW w:w="4040" w:type="dxa"/>
            <w:vAlign w:val="bottom"/>
          </w:tcPr>
          <w:p>
            <w:pPr>
              <w:spacing w:after="0"/>
              <w:rPr>
                <w:sz w:val="20"/>
                <w:szCs w:val="20"/>
                <w:color w:val="auto"/>
              </w:rPr>
            </w:pPr>
          </w:p>
        </w:tc>
        <w:tc>
          <w:tcPr>
            <w:tcW w:w="16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2780" w:type="dxa"/>
            <w:vAlign w:val="bottom"/>
            <w:tcBorders>
              <w:bottom w:val="single" w:sz="8" w:color="CCEEFF"/>
            </w:tcBorders>
          </w:tcPr>
          <w:p>
            <w:pPr>
              <w:spacing w:after="0"/>
              <w:rPr>
                <w:sz w:val="20"/>
                <w:szCs w:val="20"/>
                <w:color w:val="auto"/>
              </w:rPr>
            </w:pPr>
          </w:p>
        </w:tc>
        <w:tc>
          <w:tcPr>
            <w:tcW w:w="1500" w:type="dxa"/>
            <w:vAlign w:val="bottom"/>
            <w:tcBorders>
              <w:bottom w:val="single" w:sz="8" w:color="CCEEFF"/>
            </w:tcBorders>
          </w:tcPr>
          <w:p>
            <w:pPr>
              <w:spacing w:after="0"/>
              <w:rPr>
                <w:sz w:val="20"/>
                <w:szCs w:val="20"/>
                <w:color w:val="auto"/>
              </w:rPr>
            </w:pPr>
          </w:p>
        </w:tc>
        <w:tc>
          <w:tcPr>
            <w:tcW w:w="152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56"/>
        </w:trPr>
        <w:tc>
          <w:tcPr>
            <w:tcW w:w="20" w:type="dxa"/>
            <w:vAlign w:val="bottom"/>
            <w:shd w:val="clear" w:color="auto" w:fill="CCEEFF"/>
          </w:tcPr>
          <w:p>
            <w:pPr>
              <w:spacing w:after="0"/>
              <w:rPr>
                <w:sz w:val="13"/>
                <w:szCs w:val="13"/>
                <w:color w:val="auto"/>
              </w:rPr>
            </w:pPr>
          </w:p>
        </w:tc>
        <w:tc>
          <w:tcPr>
            <w:tcW w:w="8240" w:type="dxa"/>
            <w:vAlign w:val="bottom"/>
            <w:gridSpan w:val="8"/>
            <w:shd w:val="clear" w:color="auto" w:fill="CCEEFF"/>
          </w:tcPr>
          <w:p>
            <w:pPr>
              <w:spacing w:after="0" w:line="136" w:lineRule="exact"/>
              <w:rPr>
                <w:sz w:val="20"/>
                <w:szCs w:val="20"/>
                <w:color w:val="auto"/>
              </w:rPr>
            </w:pPr>
            <w:r>
              <w:rPr>
                <w:rFonts w:ascii="Times New Roman" w:cs="Times New Roman" w:eastAsia="Times New Roman" w:hAnsi="Times New Roman"/>
                <w:sz w:val="15"/>
                <w:szCs w:val="15"/>
                <w:b w:val="1"/>
                <w:bCs w:val="1"/>
                <w:color w:val="0000EE"/>
              </w:rPr>
              <w:t xml:space="preserve">REPORT OF INDEPENDENT REGISTERED PUBLIC ACCOUNTING FIRM </w:t>
            </w:r>
            <w:r>
              <w:rPr>
                <w:rFonts w:ascii="Times New Roman" w:cs="Times New Roman" w:eastAsia="Times New Roman" w:hAnsi="Times New Roman"/>
                <w:sz w:val="15"/>
                <w:szCs w:val="15"/>
                <w:b w:val="1"/>
                <w:bCs w:val="1"/>
                <w:color w:val="000000"/>
              </w:rPr>
              <w:t>(PCAOB name:</w:t>
            </w:r>
          </w:p>
        </w:tc>
        <w:tc>
          <w:tcPr>
            <w:tcW w:w="6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F-2</w:t>
            </w:r>
          </w:p>
        </w:tc>
      </w:tr>
      <w:tr>
        <w:trPr>
          <w:trHeight w:val="237"/>
        </w:trPr>
        <w:tc>
          <w:tcPr>
            <w:tcW w:w="20" w:type="dxa"/>
            <w:vAlign w:val="bottom"/>
            <w:tcBorders>
              <w:top w:val="single" w:sz="8" w:color="CCEEFF"/>
            </w:tcBorders>
            <w:shd w:val="clear" w:color="auto" w:fill="CCEEFF"/>
          </w:tcPr>
          <w:p>
            <w:pPr>
              <w:spacing w:after="0"/>
              <w:rPr>
                <w:sz w:val="20"/>
                <w:szCs w:val="20"/>
                <w:color w:val="auto"/>
              </w:rPr>
            </w:pPr>
          </w:p>
        </w:tc>
        <w:tc>
          <w:tcPr>
            <w:tcW w:w="6160" w:type="dxa"/>
            <w:vAlign w:val="bottom"/>
            <w:tcBorders>
              <w:top w:val="single" w:sz="8" w:color="0000EE"/>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Kesselman &amp; Kesselman C.P.A.s and PCAOB ID: 1309)</w:t>
            </w:r>
          </w:p>
        </w:tc>
        <w:tc>
          <w:tcPr>
            <w:tcW w:w="2080" w:type="dxa"/>
            <w:vAlign w:val="bottom"/>
            <w:tcBorders>
              <w:top w:val="single" w:sz="8" w:color="CCEEFF"/>
            </w:tcBorders>
            <w:gridSpan w:val="4"/>
            <w:shd w:val="clear" w:color="auto" w:fill="CCEEFF"/>
          </w:tcPr>
          <w:p>
            <w:pPr>
              <w:spacing w:after="0"/>
              <w:rPr>
                <w:sz w:val="20"/>
                <w:szCs w:val="20"/>
                <w:color w:val="auto"/>
              </w:rPr>
            </w:pPr>
          </w:p>
        </w:tc>
        <w:tc>
          <w:tcPr>
            <w:tcW w:w="640" w:type="dxa"/>
            <w:vAlign w:val="bottom"/>
            <w:tcBorders>
              <w:top w:val="single" w:sz="8" w:color="CCEEFF"/>
            </w:tcBorders>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2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640" w:type="dxa"/>
            <w:vAlign w:val="bottom"/>
          </w:tcPr>
          <w:p>
            <w:pPr>
              <w:spacing w:after="0"/>
              <w:rPr>
                <w:sz w:val="18"/>
                <w:szCs w:val="18"/>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464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Balance Sheets as of December 31, 2021 and 2022</w:t>
            </w:r>
          </w:p>
        </w:tc>
        <w:tc>
          <w:tcPr>
            <w:tcW w:w="360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176"/>
        </w:trPr>
        <w:tc>
          <w:tcPr>
            <w:tcW w:w="20" w:type="dxa"/>
            <w:vAlign w:val="bottom"/>
          </w:tcPr>
          <w:p>
            <w:pPr>
              <w:spacing w:after="0"/>
              <w:rPr>
                <w:sz w:val="15"/>
                <w:szCs w:val="15"/>
                <w:color w:val="auto"/>
              </w:rPr>
            </w:pPr>
          </w:p>
        </w:tc>
        <w:tc>
          <w:tcPr>
            <w:tcW w:w="82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2020, 2021 and 2022</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78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78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Changes in Capital Deficiency for the years ended December 31, 2020, 2021 and</w:t>
            </w:r>
          </w:p>
        </w:tc>
        <w:tc>
          <w:tcPr>
            <w:tcW w:w="3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r>
      <w:tr>
        <w:trPr>
          <w:trHeight w:val="196"/>
        </w:trPr>
        <w:tc>
          <w:tcPr>
            <w:tcW w:w="316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2022</w:t>
            </w:r>
          </w:p>
        </w:tc>
        <w:tc>
          <w:tcPr>
            <w:tcW w:w="15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2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2020, 2021 and 2022</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78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2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F-9</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78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643255</wp:posOffset>
            </wp:positionV>
            <wp:extent cx="985520" cy="7029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7">
                      <a:extLst>
                        <a:ext uri="{28A0092B-C50C-407E-A947-70E740481C1C}"/>
                      </a:extLst>
                    </a:blip>
                    <a:srcRect/>
                    <a:stretch>
                      <a:fillRect/>
                    </a:stretch>
                  </pic:blipFill>
                  <pic:spPr bwMode="auto">
                    <a:xfrm>
                      <a:off x="0" y="0"/>
                      <a:ext cx="98552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right="2259" w:firstLine="2201"/>
        <w:spacing w:after="0" w:line="419"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Board of Directors and Stockholders of Protalix BioTherapeutics, Inc. </w:t>
      </w:r>
      <w:r>
        <w:rPr>
          <w:rFonts w:ascii="Georgia" w:cs="Georgia" w:eastAsia="Georgia" w:hAnsi="Georgia"/>
          <w:sz w:val="18"/>
          <w:szCs w:val="18"/>
          <w:b w:val="1"/>
          <w:bCs w:val="1"/>
          <w:i w:val="1"/>
          <w:iCs w:val="1"/>
          <w:color w:val="auto"/>
        </w:rPr>
        <w:t>Opinion on the Financial Statements</w:t>
      </w:r>
    </w:p>
    <w:p>
      <w:pPr>
        <w:spacing w:after="0" w:line="1" w:lineRule="exact"/>
        <w:rPr>
          <w:sz w:val="20"/>
          <w:szCs w:val="20"/>
          <w:color w:val="auto"/>
        </w:rPr>
      </w:pPr>
    </w:p>
    <w:p>
      <w:pPr>
        <w:jc w:val="both"/>
        <w:ind w:left="60" w:right="59"/>
        <w:spacing w:after="0" w:line="237" w:lineRule="auto"/>
        <w:rPr>
          <w:sz w:val="20"/>
          <w:szCs w:val="20"/>
          <w:color w:val="auto"/>
        </w:rPr>
      </w:pPr>
      <w:r>
        <w:rPr>
          <w:rFonts w:ascii="Georgia" w:cs="Georgia" w:eastAsia="Georgia" w:hAnsi="Georgia"/>
          <w:sz w:val="18"/>
          <w:szCs w:val="18"/>
          <w:color w:val="auto"/>
        </w:rPr>
        <w:t>We have audited the accompanying consolidated balance sheets of Protalix BioTherapeutics, Inc. and its subsidiaries (the “Company”) as of December 31, 2022 and 2021, and the related consolidated statements of operations, changes in capital deficiency and cash flows for each of the three years in the period ended December 31, 2022, including the related notes (collectively referred to as the “consolidated financial statements”). In our opinion, the consolidated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51" w:lineRule="exact"/>
        <w:rPr>
          <w:sz w:val="20"/>
          <w:szCs w:val="20"/>
          <w:color w:val="auto"/>
        </w:rPr>
      </w:pPr>
    </w:p>
    <w:p>
      <w:pPr>
        <w:ind w:left="60"/>
        <w:spacing w:after="0"/>
        <w:rPr>
          <w:sz w:val="20"/>
          <w:szCs w:val="20"/>
          <w:color w:val="auto"/>
        </w:rPr>
      </w:pPr>
      <w:r>
        <w:rPr>
          <w:rFonts w:ascii="Georgia" w:cs="Georgia" w:eastAsia="Georgia" w:hAnsi="Georgia"/>
          <w:sz w:val="18"/>
          <w:szCs w:val="18"/>
          <w:b w:val="1"/>
          <w:bCs w:val="1"/>
          <w:i w:val="1"/>
          <w:iCs w:val="1"/>
          <w:color w:val="auto"/>
        </w:rPr>
        <w:t>Basis for Opinion</w:t>
      </w:r>
    </w:p>
    <w:p>
      <w:pPr>
        <w:spacing w:after="0" w:line="148" w:lineRule="exact"/>
        <w:rPr>
          <w:sz w:val="20"/>
          <w:szCs w:val="20"/>
          <w:color w:val="auto"/>
        </w:rPr>
      </w:pPr>
    </w:p>
    <w:p>
      <w:pPr>
        <w:jc w:val="both"/>
        <w:ind w:left="60" w:right="59"/>
        <w:spacing w:after="0" w:line="237" w:lineRule="auto"/>
        <w:rPr>
          <w:sz w:val="20"/>
          <w:szCs w:val="20"/>
          <w:color w:val="auto"/>
        </w:rPr>
      </w:pPr>
      <w:r>
        <w:rPr>
          <w:rFonts w:ascii="Georgia" w:cs="Georgia" w:eastAsia="Georgia" w:hAnsi="Georgia"/>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8" w:lineRule="exact"/>
        <w:rPr>
          <w:sz w:val="20"/>
          <w:szCs w:val="20"/>
          <w:color w:val="auto"/>
        </w:rPr>
      </w:pPr>
    </w:p>
    <w:p>
      <w:pPr>
        <w:jc w:val="both"/>
        <w:ind w:left="60" w:right="59"/>
        <w:spacing w:after="0" w:line="237" w:lineRule="auto"/>
        <w:rPr>
          <w:sz w:val="20"/>
          <w:szCs w:val="20"/>
          <w:color w:val="auto"/>
        </w:rPr>
      </w:pPr>
      <w:r>
        <w:rPr>
          <w:rFonts w:ascii="Georgia" w:cs="Georgia" w:eastAsia="Georgia" w:hAnsi="Georgia"/>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2" w:lineRule="exact"/>
        <w:rPr>
          <w:sz w:val="20"/>
          <w:szCs w:val="20"/>
          <w:color w:val="auto"/>
        </w:rPr>
      </w:pPr>
    </w:p>
    <w:p>
      <w:pPr>
        <w:jc w:val="both"/>
        <w:ind w:left="60" w:right="59"/>
        <w:spacing w:after="0" w:line="237" w:lineRule="auto"/>
        <w:rPr>
          <w:sz w:val="20"/>
          <w:szCs w:val="20"/>
          <w:color w:val="auto"/>
        </w:rPr>
      </w:pPr>
      <w:r>
        <w:rPr>
          <w:rFonts w:ascii="Georgia" w:cs="Georgia" w:eastAsia="Georgia" w:hAnsi="Georgia"/>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0" w:lineRule="exact"/>
        <w:rPr>
          <w:sz w:val="20"/>
          <w:szCs w:val="20"/>
          <w:color w:val="auto"/>
        </w:rPr>
      </w:pPr>
    </w:p>
    <w:p>
      <w:pPr>
        <w:ind w:left="60"/>
        <w:spacing w:after="0"/>
        <w:rPr>
          <w:sz w:val="20"/>
          <w:szCs w:val="20"/>
          <w:color w:val="auto"/>
        </w:rPr>
      </w:pPr>
      <w:r>
        <w:rPr>
          <w:rFonts w:ascii="Georgia" w:cs="Georgia" w:eastAsia="Georgia" w:hAnsi="Georgia"/>
          <w:sz w:val="18"/>
          <w:szCs w:val="18"/>
          <w:b w:val="1"/>
          <w:bCs w:val="1"/>
          <w:i w:val="1"/>
          <w:iCs w:val="1"/>
          <w:color w:val="auto"/>
        </w:rPr>
        <w:t>Critical Audit Matters</w:t>
      </w:r>
    </w:p>
    <w:p>
      <w:pPr>
        <w:spacing w:after="0" w:line="134" w:lineRule="exact"/>
        <w:rPr>
          <w:sz w:val="20"/>
          <w:szCs w:val="20"/>
          <w:color w:val="auto"/>
        </w:rPr>
      </w:pPr>
    </w:p>
    <w:p>
      <w:pPr>
        <w:jc w:val="both"/>
        <w:ind w:left="60" w:right="59"/>
        <w:spacing w:after="0" w:line="239" w:lineRule="auto"/>
        <w:rPr>
          <w:sz w:val="20"/>
          <w:szCs w:val="20"/>
          <w:color w:val="auto"/>
        </w:rPr>
      </w:pPr>
      <w:r>
        <w:rPr>
          <w:rFonts w:ascii="Georgia" w:cs="Georgia" w:eastAsia="Georgia" w:hAnsi="Georgia"/>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643255</wp:posOffset>
            </wp:positionV>
            <wp:extent cx="985520" cy="7029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9">
                      <a:extLst>
                        <a:ext uri="{28A0092B-C50C-407E-A947-70E740481C1C}"/>
                      </a:extLst>
                    </a:blip>
                    <a:srcRect/>
                    <a:stretch>
                      <a:fillRect/>
                    </a:stretch>
                  </pic:blipFill>
                  <pic:spPr bwMode="auto">
                    <a:xfrm>
                      <a:off x="0" y="0"/>
                      <a:ext cx="98552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spacing w:after="0"/>
        <w:rPr>
          <w:sz w:val="20"/>
          <w:szCs w:val="20"/>
          <w:color w:val="auto"/>
        </w:rPr>
      </w:pPr>
      <w:r>
        <w:rPr>
          <w:rFonts w:ascii="Georgia" w:cs="Georgia" w:eastAsia="Georgia" w:hAnsi="Georgia"/>
          <w:sz w:val="18"/>
          <w:szCs w:val="18"/>
          <w:i w:val="1"/>
          <w:iCs w:val="1"/>
          <w:color w:val="auto"/>
        </w:rPr>
        <w:t>Liquidity and capital resources</w:t>
      </w:r>
    </w:p>
    <w:p>
      <w:pPr>
        <w:spacing w:after="0" w:line="148" w:lineRule="exact"/>
        <w:rPr>
          <w:sz w:val="20"/>
          <w:szCs w:val="20"/>
          <w:color w:val="auto"/>
        </w:rPr>
      </w:pPr>
    </w:p>
    <w:p>
      <w:pPr>
        <w:jc w:val="both"/>
        <w:ind w:left="60" w:right="59"/>
        <w:spacing w:after="0" w:line="237" w:lineRule="auto"/>
        <w:rPr>
          <w:sz w:val="20"/>
          <w:szCs w:val="20"/>
          <w:color w:val="auto"/>
        </w:rPr>
      </w:pPr>
      <w:r>
        <w:rPr>
          <w:rFonts w:ascii="Georgia" w:cs="Georgia" w:eastAsia="Georgia" w:hAnsi="Georgia"/>
          <w:sz w:val="18"/>
          <w:szCs w:val="18"/>
          <w:color w:val="auto"/>
        </w:rPr>
        <w:t>As discussed in Note 1 to the consolidated financial statements, management believes that its cash and cash equivalents and short-term bank deposits as of December 31, 2022, together with additional funds raised subsequent to December 31, 2022, are sufficient to satisfy the Company’s capital needs for at least the next 12 months. The Company has been funded primarily through offerings of the Company’s securities and borrowings. Management expects that the Company will incur additional losses as it continues to focus its resources on advancing the development of its therapeutic candidates, based on a prioritized plan that will result in negative cash flows from operating activities.</w:t>
      </w:r>
    </w:p>
    <w:p>
      <w:pPr>
        <w:spacing w:after="0" w:line="139" w:lineRule="exact"/>
        <w:rPr>
          <w:sz w:val="20"/>
          <w:szCs w:val="20"/>
          <w:color w:val="auto"/>
        </w:rPr>
      </w:pPr>
    </w:p>
    <w:p>
      <w:pPr>
        <w:jc w:val="both"/>
        <w:ind w:left="60" w:right="59"/>
        <w:spacing w:after="0" w:line="237" w:lineRule="auto"/>
        <w:rPr>
          <w:sz w:val="20"/>
          <w:szCs w:val="20"/>
          <w:color w:val="auto"/>
        </w:rPr>
      </w:pPr>
      <w:r>
        <w:rPr>
          <w:rFonts w:ascii="Georgia" w:cs="Georgia" w:eastAsia="Georgia" w:hAnsi="Georgia"/>
          <w:sz w:val="18"/>
          <w:szCs w:val="18"/>
          <w:color w:val="auto"/>
        </w:rPr>
        <w:t>The principal considerations for our determination that performing procedures related to liquidity and capital resources is a critical audit matter are the estimation and execution uncertainty regarding the Company’s future cash flows and management’s judgments and assumptions in estimating these cash flows to conclude the Company would have sufficient liquidity to fund its operations for at least the next 12 months. This in turn led to a high degree of auditor subjectivity and judgment to evaluate the audit evidence supporting the liquidity conclusions.</w:t>
      </w:r>
    </w:p>
    <w:p>
      <w:pPr>
        <w:spacing w:after="0" w:line="152" w:lineRule="exact"/>
        <w:rPr>
          <w:sz w:val="20"/>
          <w:szCs w:val="20"/>
          <w:color w:val="auto"/>
        </w:rPr>
      </w:pPr>
    </w:p>
    <w:p>
      <w:pPr>
        <w:jc w:val="both"/>
        <w:ind w:left="60" w:right="59"/>
        <w:spacing w:after="0" w:line="237" w:lineRule="auto"/>
        <w:rPr>
          <w:sz w:val="20"/>
          <w:szCs w:val="20"/>
          <w:color w:val="auto"/>
        </w:rPr>
      </w:pPr>
      <w:r>
        <w:rPr>
          <w:rFonts w:ascii="Georgia" w:cs="Georgia" w:eastAsia="Georgia" w:hAnsi="Georgia"/>
          <w:sz w:val="18"/>
          <w:szCs w:val="18"/>
          <w:color w:val="auto"/>
        </w:rPr>
        <w:t>Addressing the matter involved performing procedures and evaluating audit evidence in connection with our overall opinion on the consolidated financial statements. Our audit procedures included, among others, testing the reasonableness of the forecasted revenue, operating expenses, and uses and sources of cash used in management’s assessment of whether the Company has sufficient liquidity to fund its operations for at least the next 12 months. We assessed the appropriateness of the forecast assumptions by comparing prior period forecasts to actual results, comparing forecasted revenue to recent historical financial information, inquiring of management regarding the mitigating actions to reduce costs and manage cash flows and assessing whether the mitigating actions were within the Company's control, testing the underlying data generated to prepare the forecast scenarios and determined whether there was adequate support for the assumptions underlying the forecast, considering the terms of the Company's existing convertible debt to obtain an understanding of the debt covenants, and evaluating management's analysis of the impact of the above assumptions on the forecasted cash flows</w:t>
      </w:r>
      <w:r>
        <w:rPr>
          <w:rFonts w:ascii="Georgia" w:cs="Georgia" w:eastAsia="Georgia" w:hAnsi="Georgia"/>
          <w:sz w:val="18"/>
          <w:szCs w:val="18"/>
          <w:color w:val="222222"/>
        </w:rPr>
        <w:t>.</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 Kesselman &amp; Kesselman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Certified Public Accountants (Isr.)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 member of PricewaterhouseCoopers International Limited</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Tel Aviv, Israel</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27, 2023</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2000.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9"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ind w:left="28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38,985</w:t>
            </w:r>
          </w:p>
        </w:tc>
        <w:tc>
          <w:tcPr>
            <w:tcW w:w="1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bank deposits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 Trade</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Funds in respect of employee rights upon retirement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NET OF CAPITAL DEFICIENCY</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accruals: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Trade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Contracts liability</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 TERM LIABILITIES: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notes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27,887</w:t>
            </w:r>
          </w:p>
        </w:tc>
        <w:tc>
          <w:tcPr>
            <w:tcW w:w="1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Contracts liability</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Liability for employee rights upon retirement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long term liabilities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46,525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79,701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 DEFICIENCY</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2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Common Stock, $0.001 par value: Authorized - as of December 31, 2021 and 2022,</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120,000,000 and 144,000,000 shares, respectively; issued and outstanding - as of</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December 31, 2021 and 2022, 45,556,647 and 53,790,167 shares, respectively</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368,852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(374,934)</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(389,861)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2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capital deficiency</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liabilities net of capital deficiency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73,665</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amounts)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6"/>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REVENUES FROM SELLING GOODS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25,292</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REVENUES FROM LICENSE AND R&amp;D SERVICES</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46,662</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21,601</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22,346</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47,638</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COST OF GOODS SOLD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(19,592)</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RESEARCH AND DEVELOPMENT EXPENSES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(29,349)</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SELLING, GENERAL AND ADMINISTRATIVE EXPENSES</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(11,148)</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(12,729)</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(11,711)</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(13,014)</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EXPENSES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FINANCIAL INCOME</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0" w:type="dxa"/>
            <w:vAlign w:val="bottom"/>
          </w:tcPr>
          <w:p>
            <w:pPr>
              <w:spacing w:after="0"/>
              <w:rPr>
                <w:sz w:val="1"/>
                <w:szCs w:val="1"/>
                <w:color w:val="auto"/>
              </w:rPr>
            </w:pP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EXPENSES, NET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LOSS BEFORE TAXES ON INCOME</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(14,397)</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TAXES ON INCOME</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09"/>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LOSS FOR THE YEAR</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(6,523)</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(27,582)</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(14,927)</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LOSS PER SHARE OF COMMON STOCK – BASIC AND DILUTED</w:t>
            </w:r>
          </w:p>
        </w:tc>
        <w:tc>
          <w:tcPr>
            <w:tcW w:w="16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(0.22)</w:t>
            </w:r>
          </w:p>
        </w:tc>
        <w:tc>
          <w:tcPr>
            <w:tcW w:w="18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(0.62)</w:t>
            </w:r>
          </w:p>
        </w:tc>
        <w:tc>
          <w:tcPr>
            <w:tcW w:w="18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197"/>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WEIGHTED AVERAGE NUMBER OF SHARES OF COMMON STOCK</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USED IN COMPUTING LOSS PER SHARE – BASIC AND DILUTED</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29,148,047</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44,140,233</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48,472,159</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left="1500" w:right="134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CONSOLIDATED STATEMENTS OF CHANGES IN CAPITAL DEFICIENCY </w:t>
      </w:r>
      <w:r>
        <w:rPr>
          <w:rFonts w:ascii="Times New Roman" w:cs="Times New Roman" w:eastAsia="Times New Roman" w:hAnsi="Times New Roman"/>
          <w:sz w:val="18"/>
          <w:szCs w:val="18"/>
          <w:color w:val="auto"/>
        </w:rPr>
        <w:t>(U.S. dollars in thousands)</w:t>
      </w:r>
    </w:p>
    <w:p>
      <w:pPr>
        <w:spacing w:after="0" w:line="200" w:lineRule="exact"/>
        <w:rPr>
          <w:sz w:val="20"/>
          <w:szCs w:val="20"/>
          <w:color w:val="auto"/>
        </w:rPr>
      </w:pP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10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26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260" w:type="dxa"/>
            <w:vAlign w:val="bottom"/>
          </w:tcPr>
          <w:p>
            <w:pPr>
              <w:spacing w:after="0"/>
              <w:rPr>
                <w:sz w:val="12"/>
                <w:szCs w:val="12"/>
                <w:color w:val="auto"/>
              </w:rPr>
            </w:pPr>
          </w:p>
        </w:tc>
        <w:tc>
          <w:tcPr>
            <w:tcW w:w="106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0" w:type="dxa"/>
            <w:vAlign w:val="bottom"/>
            <w:gridSpan w:val="4"/>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60" w:type="dxa"/>
            <w:vAlign w:val="bottom"/>
          </w:tcPr>
          <w:p>
            <w:pPr>
              <w:spacing w:after="0"/>
              <w:rPr>
                <w:sz w:val="15"/>
                <w:szCs w:val="15"/>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14,838,213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$ 270,492</w:t>
            </w:r>
          </w:p>
        </w:tc>
        <w:tc>
          <w:tcPr>
            <w:tcW w:w="1200" w:type="dxa"/>
            <w:vAlign w:val="bottom"/>
            <w:tcBorders>
              <w:top w:val="single" w:sz="8" w:color="auto"/>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(340,829)</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(70,322)</w:t>
            </w: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during 2020:</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and warrants, net of issuance</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17,604,423</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41,325</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41,343</w:t>
            </w:r>
          </w:p>
        </w:tc>
        <w:tc>
          <w:tcPr>
            <w:tcW w:w="0" w:type="dxa"/>
            <w:vAlign w:val="bottom"/>
          </w:tcPr>
          <w:p>
            <w:pPr>
              <w:spacing w:after="0"/>
              <w:rPr>
                <w:sz w:val="1"/>
                <w:szCs w:val="1"/>
                <w:color w:val="auto"/>
              </w:rPr>
            </w:pPr>
          </w:p>
        </w:tc>
      </w:tr>
      <w:tr>
        <w:trPr>
          <w:trHeight w:val="198"/>
        </w:trPr>
        <w:tc>
          <w:tcPr>
            <w:tcW w:w="42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 Sales Agreement,</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1,428,571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related to stock options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0" w:type="dxa"/>
            <w:vAlign w:val="bottom"/>
          </w:tcPr>
          <w:p>
            <w:pPr>
              <w:spacing w:after="0"/>
              <w:rPr>
                <w:sz w:val="1"/>
                <w:szCs w:val="1"/>
                <w:color w:val="auto"/>
              </w:rPr>
            </w:pPr>
          </w:p>
        </w:tc>
      </w:tr>
      <w:tr>
        <w:trPr>
          <w:trHeight w:val="198"/>
        </w:trPr>
        <w:tc>
          <w:tcPr>
            <w:tcW w:w="42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Share-based compensation related to restricted stock</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694,073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warrants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(6,523)</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(6,523)</w:t>
            </w: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34,765,280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$ 320,280</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(347,352)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(27,037)</w:t>
            </w: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during 2021:</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net of issuance cost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8,749,999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37,625</w:t>
            </w:r>
          </w:p>
        </w:tc>
        <w:tc>
          <w:tcPr>
            <w:tcW w:w="0" w:type="dxa"/>
            <w:vAlign w:val="bottom"/>
          </w:tcPr>
          <w:p>
            <w:pPr>
              <w:spacing w:after="0"/>
              <w:rPr>
                <w:sz w:val="1"/>
                <w:szCs w:val="1"/>
                <w:color w:val="auto"/>
              </w:rPr>
            </w:pPr>
          </w:p>
        </w:tc>
      </w:tr>
      <w:tr>
        <w:trPr>
          <w:trHeight w:val="198"/>
        </w:trPr>
        <w:tc>
          <w:tcPr>
            <w:tcW w:w="42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 Sales Agreement,</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1,867,552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8,573</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8,575</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related to stock options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0" w:type="dxa"/>
            <w:vAlign w:val="bottom"/>
          </w:tcPr>
          <w:p>
            <w:pPr>
              <w:spacing w:after="0"/>
              <w:rPr>
                <w:sz w:val="1"/>
                <w:szCs w:val="1"/>
                <w:color w:val="auto"/>
              </w:rPr>
            </w:pPr>
          </w:p>
        </w:tc>
      </w:tr>
      <w:tr>
        <w:trPr>
          <w:trHeight w:val="198"/>
        </w:trPr>
        <w:tc>
          <w:tcPr>
            <w:tcW w:w="42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Share-based compensation related to restricted stock</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warrants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173,816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Reacquisition of equity component of convertible notes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(12,019)</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(12,019)</w:t>
            </w:r>
          </w:p>
        </w:tc>
        <w:tc>
          <w:tcPr>
            <w:tcW w:w="0" w:type="dxa"/>
            <w:vAlign w:val="bottom"/>
          </w:tcPr>
          <w:p>
            <w:pPr>
              <w:spacing w:after="0"/>
              <w:rPr>
                <w:sz w:val="1"/>
                <w:szCs w:val="1"/>
                <w:color w:val="auto"/>
              </w:rPr>
            </w:pPr>
          </w:p>
        </w:tc>
      </w:tr>
      <w:tr>
        <w:trPr>
          <w:trHeight w:val="198"/>
        </w:trPr>
        <w:tc>
          <w:tcPr>
            <w:tcW w:w="42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Equity component of convertible notes, net of</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12,027</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12,027</w:t>
            </w: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(27,582)</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(27,582)</w:t>
            </w:r>
          </w:p>
        </w:tc>
        <w:tc>
          <w:tcPr>
            <w:tcW w:w="0" w:type="dxa"/>
            <w:vAlign w:val="bottom"/>
          </w:tcPr>
          <w:p>
            <w:pPr>
              <w:spacing w:after="0"/>
              <w:rPr>
                <w:sz w:val="1"/>
                <w:szCs w:val="1"/>
                <w:color w:val="auto"/>
              </w:rPr>
            </w:pPr>
          </w:p>
        </w:tc>
      </w:tr>
      <w:tr>
        <w:trPr>
          <w:trHeight w:val="209"/>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45,556,647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$ 368,852</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(374,934)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(6,036)</w:t>
            </w: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during 2022:</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 Sales Agreement,</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7,473,038</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8,229</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8,236</w:t>
            </w: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related to stock options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0" w:type="dxa"/>
            <w:vAlign w:val="bottom"/>
          </w:tcPr>
          <w:p>
            <w:pPr>
              <w:spacing w:after="0"/>
              <w:rPr>
                <w:sz w:val="1"/>
                <w:szCs w:val="1"/>
                <w:color w:val="auto"/>
              </w:rPr>
            </w:pPr>
          </w:p>
        </w:tc>
      </w:tr>
      <w:tr>
        <w:trPr>
          <w:trHeight w:val="198"/>
        </w:trPr>
        <w:tc>
          <w:tcPr>
            <w:tcW w:w="42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Share-based compensation related to restricted stock</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759,482</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warrants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(14,927)</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(14,927)</w:t>
            </w:r>
          </w:p>
        </w:tc>
        <w:tc>
          <w:tcPr>
            <w:tcW w:w="0" w:type="dxa"/>
            <w:vAlign w:val="bottom"/>
          </w:tcPr>
          <w:p>
            <w:pPr>
              <w:spacing w:after="0"/>
              <w:rPr>
                <w:sz w:val="1"/>
                <w:szCs w:val="1"/>
                <w:color w:val="auto"/>
              </w:rPr>
            </w:pPr>
          </w:p>
        </w:tc>
      </w:tr>
      <w:tr>
        <w:trPr>
          <w:trHeight w:val="21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53,790,167</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$ 379,167</w:t>
            </w:r>
          </w:p>
        </w:tc>
        <w:tc>
          <w:tcPr>
            <w:tcW w:w="4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(389,861)</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(10,640)</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color w:val="auto"/>
        </w:rPr>
        <w:t>*</w:t>
        <w:tab/>
        <w:t>Represents an amount less than $1.</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7"/>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(27,582)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(14,927)</w:t>
            </w:r>
          </w:p>
        </w:tc>
      </w:tr>
      <w:tr>
        <w:trPr>
          <w:trHeight w:val="216"/>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required to reconcile net loss to net cash used in operating activities: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r>
      <w:tr>
        <w:trPr>
          <w:trHeight w:val="216"/>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r>
      <w:tr>
        <w:trPr>
          <w:trHeight w:val="216"/>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Financial (income) expenses, net (mainly exchange differences)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r>
      <w:tr>
        <w:trPr>
          <w:trHeight w:val="216"/>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accrued liability for employee rights upon retirement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(494)</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16"/>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(gain) on amounts funded in respect of employee rights upon retirement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sale of fixed assets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extinguishment of convertible notes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debt issuance costs and debt discount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Increase (decrease) in contracts liability (including non-current portion)</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(26,205)</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(7,162)</w:t>
            </w:r>
          </w:p>
        </w:tc>
      </w:tr>
      <w:tr>
        <w:trPr>
          <w:trHeight w:val="216"/>
        </w:trPr>
        <w:tc>
          <w:tcPr>
            <w:tcW w:w="6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Decrease (increase) in accounts receivable-trade and other assets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(1,032)</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r>
      <w:tr>
        <w:trPr>
          <w:trHeight w:val="216"/>
        </w:trPr>
        <w:tc>
          <w:tcPr>
            <w:tcW w:w="6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 operating lease right of use assets, net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Decrease (increase) in inventories</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(4,927)</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(4,872)</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16"/>
        </w:trPr>
        <w:tc>
          <w:tcPr>
            <w:tcW w:w="6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Increase (decrease) in accounts payable and accruals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w:t>
            </w:r>
          </w:p>
        </w:tc>
      </w:tr>
      <w:tr>
        <w:trPr>
          <w:trHeight w:val="216"/>
        </w:trPr>
        <w:tc>
          <w:tcPr>
            <w:tcW w:w="6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Decrease in other long term liabilities</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(458)</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1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(26,106)</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10"/>
        </w:trPr>
        <w:tc>
          <w:tcPr>
            <w:tcW w:w="6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 in bank deposits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(37,835)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16"/>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sale of short-term deposits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r>
      <w:tr>
        <w:trPr>
          <w:trHeight w:val="216"/>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(655)</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(1,459)</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r>
      <w:tr>
        <w:trPr>
          <w:trHeight w:val="216"/>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Decrease in restricted deposit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paid (funded) in respect of employee rights upon retirement, net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10"/>
        </w:trPr>
        <w:tc>
          <w:tcPr>
            <w:tcW w:w="6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(19,952)</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18,921</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(5,035)</w:t>
            </w:r>
          </w:p>
        </w:tc>
      </w:tr>
      <w:tr>
        <w:trPr>
          <w:trHeight w:val="210"/>
        </w:trPr>
        <w:tc>
          <w:tcPr>
            <w:tcW w:w="6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for convertible notes redemption and transactions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(30,036)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Payment for promissory note</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(215)</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(4,086)</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 and warrants, net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under the Sales Agreement, net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8,236</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6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46,467</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8,238</w:t>
            </w:r>
          </w:p>
        </w:tc>
      </w:tr>
      <w:tr>
        <w:trPr>
          <w:trHeight w:val="174"/>
        </w:trPr>
        <w:tc>
          <w:tcPr>
            <w:tcW w:w="61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EFFECT OF EXCHANGE RATE CHANGES ON CASH AND CASH</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38"/>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(21,874)</w:t>
            </w:r>
          </w:p>
        </w:tc>
      </w:tr>
      <w:tr>
        <w:trPr>
          <w:trHeight w:val="194"/>
        </w:trPr>
        <w:tc>
          <w:tcPr>
            <w:tcW w:w="61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OF CASH AND CASH EQUIVALENTS AT BEGINNING OF</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38"/>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17,792</w:t>
            </w:r>
          </w:p>
        </w:tc>
        <w:tc>
          <w:tcPr>
            <w:tcW w:w="14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18,265</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38,985</w:t>
            </w:r>
          </w:p>
        </w:tc>
      </w:tr>
      <w:tr>
        <w:trPr>
          <w:trHeight w:val="209"/>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OF CASH AND CASH EQUIVALENTS AT END OF YEAR</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18,265</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38,985</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17,111</w:t>
            </w:r>
          </w:p>
        </w:tc>
      </w:tr>
      <w:tr>
        <w:trPr>
          <w:trHeight w:val="20"/>
        </w:trPr>
        <w:tc>
          <w:tcPr>
            <w:tcW w:w="6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left="1500" w:right="17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CONSOLIDATED STATEMENTS OF CASH FLOWS </w:t>
      </w:r>
      <w:r>
        <w:rPr>
          <w:rFonts w:ascii="Times New Roman" w:cs="Times New Roman" w:eastAsia="Times New Roman" w:hAnsi="Times New Roman"/>
          <w:sz w:val="16"/>
          <w:szCs w:val="16"/>
          <w:b w:val="1"/>
          <w:bCs w:val="1"/>
          <w:color w:val="auto"/>
        </w:rPr>
        <w:t>(CONTINUED)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dollars in thousands)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4"/>
        </w:trPr>
        <w:tc>
          <w:tcPr>
            <w:tcW w:w="598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SUPPLEMENTARY INFORMATION ON INVESTING AND FINANCING</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ACTIVITIES NOT INVOLVING CASH FLOWS:</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151"/>
        </w:trPr>
        <w:tc>
          <w:tcPr>
            <w:tcW w:w="5980" w:type="dxa"/>
            <w:vAlign w:val="bottom"/>
            <w:shd w:val="clear" w:color="auto" w:fill="CCEEFF"/>
          </w:tcPr>
          <w:p>
            <w:pPr>
              <w:ind w:left="220"/>
              <w:spacing w:after="0" w:line="151" w:lineRule="exact"/>
              <w:rPr>
                <w:sz w:val="20"/>
                <w:szCs w:val="20"/>
                <w:color w:val="auto"/>
              </w:rPr>
            </w:pPr>
            <w:r>
              <w:rPr>
                <w:rFonts w:ascii="Times New Roman" w:cs="Times New Roman" w:eastAsia="Times New Roman" w:hAnsi="Times New Roman"/>
                <w:sz w:val="17"/>
                <w:szCs w:val="17"/>
                <w:color w:val="auto"/>
              </w:rPr>
              <w:t>Operating lease right of use assets obtained in exchange for new operating lease</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21"/>
        </w:trPr>
        <w:tc>
          <w:tcPr>
            <w:tcW w:w="5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SUPPLEMENTARY DISCLOSURE ON CASH FLOWS</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paid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Interest received</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438</w:t>
            </w:r>
          </w:p>
        </w:tc>
        <w:tc>
          <w:tcPr>
            <w:tcW w:w="18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379</w:t>
            </w:r>
          </w:p>
        </w:tc>
        <w:tc>
          <w:tcPr>
            <w:tcW w:w="200" w:type="dxa"/>
            <w:vAlign w:val="bottom"/>
          </w:tcPr>
          <w:p>
            <w:pPr>
              <w:spacing w:after="0"/>
              <w:rPr>
                <w:sz w:val="17"/>
                <w:szCs w:val="17"/>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to extinguishment of convertible notes see Note 10.</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 SIGNIFICANT ACCOUNTING POLICIES</w:t>
      </w:r>
    </w:p>
    <w:p>
      <w:pPr>
        <w:spacing w:after="0" w:line="185" w:lineRule="exact"/>
        <w:rPr>
          <w:sz w:val="20"/>
          <w:szCs w:val="20"/>
          <w:color w:val="auto"/>
        </w:rPr>
      </w:pPr>
    </w:p>
    <w:p>
      <w:pPr>
        <w:ind w:left="1020" w:hanging="322"/>
        <w:spacing w:after="0"/>
        <w:tabs>
          <w:tab w:leader="none" w:pos="10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88" w:lineRule="exact"/>
        <w:rPr>
          <w:rFonts w:ascii="Times New Roman" w:cs="Times New Roman" w:eastAsia="Times New Roman" w:hAnsi="Times New Roman"/>
          <w:sz w:val="18"/>
          <w:szCs w:val="18"/>
          <w:b w:val="1"/>
          <w:bCs w:val="1"/>
          <w:color w:val="auto"/>
        </w:rPr>
      </w:pPr>
    </w:p>
    <w:p>
      <w:pPr>
        <w:ind w:left="1020" w:right="79"/>
        <w:spacing w:after="0" w:line="23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Protalix BioTherapeutics, Inc. (collectively with its subsidiaries, the “Company”) and its wholly-owned subsidiaries, Protalix Ltd. and Protalix B.V. (collectively, the “Subsidiaries”), are biopharmaceutical companies focused on the development and commercialization of recombinant therapeutic proteins based on the Company’s proprietary ProCellEx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protein expression system (“ProCellEx”). To date, the Company has successfully developed taliglucerase alfa (marketed under the name BioManguinhos alfataliglicerase in Brazil and certain other Latin American countries and Elelyso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rest of the territories) for the treatment of Gaucher disease that has been approved for marketing in the United States, Brazil, Israel and other markets. The Company has a number of product candidates in varying stages of the clinical development process. The Company’s strategy is to develop proprietary recombinant proteins that are therapeutically superior to existing recombinant proteins currently marketed for the same indications.</w:t>
      </w:r>
    </w:p>
    <w:p>
      <w:pPr>
        <w:spacing w:after="0" w:line="179" w:lineRule="exact"/>
        <w:rPr>
          <w:rFonts w:ascii="Times New Roman" w:cs="Times New Roman" w:eastAsia="Times New Roman" w:hAnsi="Times New Roman"/>
          <w:sz w:val="18"/>
          <w:szCs w:val="18"/>
          <w:b w:val="1"/>
          <w:bCs w:val="1"/>
          <w:color w:val="auto"/>
        </w:rPr>
      </w:pPr>
    </w:p>
    <w:p>
      <w:pPr>
        <w:ind w:left="1020" w:right="79"/>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most advanced investigational drug in the Company’s product pipeline is pegunigalsidase alfa, or PRX-102, a therapeutic protein candidate for the treatment of Fabry disease, a rare, genetic lysosomal disorder, which is the subject of a phase III clinical program. The PRX-102 phase III clinical program includes three separate studies which are referred to as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and 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each of which has been completed. The studies were designed to evaluate the potential for improved efficacy and better quality of life for adult patients with Fabry disease and to evaluate the safety of the Company’s drug/therapy. In addition, the Phase III clinical program includes two extension studies in which subjects that participated in the Company’s phase I/II clinical trials and phase III clinical trials may enroll and continue to be treated with PRX-102.</w:t>
      </w:r>
    </w:p>
    <w:p>
      <w:pPr>
        <w:spacing w:after="0" w:line="147" w:lineRule="exact"/>
        <w:rPr>
          <w:rFonts w:ascii="Times New Roman" w:cs="Times New Roman" w:eastAsia="Times New Roman" w:hAnsi="Times New Roman"/>
          <w:sz w:val="18"/>
          <w:szCs w:val="18"/>
          <w:b w:val="1"/>
          <w:bCs w:val="1"/>
          <w:color w:val="auto"/>
        </w:rPr>
      </w:pPr>
    </w:p>
    <w:p>
      <w:pPr>
        <w:ind w:left="1020" w:right="99"/>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On November 9, 2022, the Company, together with its development and commercialization partner for PRX-102, Chiesi Farmaceutici S.p.A. (“Chiesi”), resubmitted to the U.S. Food and Drug Administration (the “FDA”) a biologics license application (“BLA”) for PRX-102 for the potential treatment of adult patients with Fabry disease. The initial BLA for PRX-102 was submitted to the FDA on May 27, 2020 under the FDA’s Accelerated Approval pathway, and was subsequently accepted by the FDA and granted Priority Review designation. However, in April 2021, the FDA issued a Complete Response Letter (CRL) in response to the initial BLA. In preparation for the BLA resubmission, the Company and Chiesi participated in a Type A (End of Review) meeting with the FDA on September 9, 2021. As part of the meeting minutes provided by the FDA, which included the preliminary comments and meeting discussion, the FDA, in principle, agreed that the data package proposed to the FDA for a BLA resubmission has the potential to support a traditional approval of PRX-102 for the treatment of Fabry disease. The data package in the BLA resubmission, given the change in the regulatory landscape in the United States, includes the final two-year analyses of the Company’s phase III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clinical trial of PRX-102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which were completed in July 2022, and long-term data from the Company’s open-label extension study of PRX-102 in adult patients treated with a 2 mg/kg every four weeks dosage of PRX-102.</w:t>
      </w:r>
    </w:p>
    <w:p>
      <w:pPr>
        <w:spacing w:after="0" w:line="155" w:lineRule="exact"/>
        <w:rPr>
          <w:rFonts w:ascii="Times New Roman" w:cs="Times New Roman" w:eastAsia="Times New Roman" w:hAnsi="Times New Roman"/>
          <w:sz w:val="18"/>
          <w:szCs w:val="18"/>
          <w:b w:val="1"/>
          <w:bCs w:val="1"/>
          <w:color w:val="auto"/>
        </w:rPr>
      </w:pPr>
    </w:p>
    <w:p>
      <w:pPr>
        <w:ind w:left="1020" w:right="23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7, 2022, the Company, together with Chiesi, submitted a Marketing Authorization Application (“MAA”) for PRX-102 to the European Medicines Agency (“EMA”) which was subsequently validated by the EMA. The submission was made after the October 8, 2021 meeting the Company held, together with Chiesi, with the Rapporteur and Co-Rapporteur of the EMA regarding PRX-102.</w:t>
      </w:r>
    </w:p>
    <w:p>
      <w:pPr>
        <w:spacing w:after="0" w:line="152" w:lineRule="exact"/>
        <w:rPr>
          <w:rFonts w:ascii="Times New Roman" w:cs="Times New Roman" w:eastAsia="Times New Roman" w:hAnsi="Times New Roman"/>
          <w:sz w:val="18"/>
          <w:szCs w:val="18"/>
          <w:b w:val="1"/>
          <w:bCs w:val="1"/>
          <w:color w:val="auto"/>
        </w:rPr>
      </w:pPr>
    </w:p>
    <w:p>
      <w:pPr>
        <w:ind w:left="1020" w:right="139"/>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MAA submission includes a comprehensive set of preclinical, clinical and manufacturing data compiled from the Company’s completed and ongoing clinical studies evaluating PRX-102 as a potential alternative treatment for adult patients with Fabry disease, including data from the Company’s completed 12–month switch–over phase III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clinical trial in adult patients with Fabry disease treated with a 2 mg/kg every four weeks dosage to support an additional potential treatment regimen for Fabry patients. As part of the EMA review process, Chiesi and the Company received the Day 120 list of questions in June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020" w:right="59"/>
        <w:spacing w:after="0" w:line="258" w:lineRule="auto"/>
        <w:rPr>
          <w:sz w:val="20"/>
          <w:szCs w:val="20"/>
          <w:color w:val="auto"/>
        </w:rPr>
      </w:pPr>
      <w:r>
        <w:rPr>
          <w:rFonts w:ascii="Times New Roman" w:cs="Times New Roman" w:eastAsia="Times New Roman" w:hAnsi="Times New Roman"/>
          <w:sz w:val="18"/>
          <w:szCs w:val="18"/>
          <w:color w:val="auto"/>
        </w:rPr>
        <w:t xml:space="preserve">2022, and the full response package thereto was submitted to the EMA in September 2022 (following a 3-month clock-stop period). An essential portion of the response included the submission of the final analysis of the two-year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(the final Clinical Study Report), and an interim analysis of the Company’s long-term, open-label extension study of PRX-102 in adult patients with Fabry disease treated with the 2 mg/kg every four weeks dosage.</w:t>
      </w:r>
    </w:p>
    <w:p>
      <w:pPr>
        <w:spacing w:after="0" w:line="143" w:lineRule="exact"/>
        <w:rPr>
          <w:sz w:val="20"/>
          <w:szCs w:val="20"/>
          <w:color w:val="auto"/>
        </w:rPr>
      </w:pPr>
    </w:p>
    <w:p>
      <w:pPr>
        <w:ind w:left="1020" w:right="159"/>
        <w:spacing w:after="0" w:line="261" w:lineRule="auto"/>
        <w:rPr>
          <w:sz w:val="20"/>
          <w:szCs w:val="20"/>
          <w:color w:val="auto"/>
        </w:rPr>
      </w:pPr>
      <w:r>
        <w:rPr>
          <w:rFonts w:ascii="Times New Roman" w:cs="Times New Roman" w:eastAsia="Times New Roman" w:hAnsi="Times New Roman"/>
          <w:sz w:val="18"/>
          <w:szCs w:val="18"/>
          <w:color w:val="auto"/>
        </w:rPr>
        <w:t>On February 24, 2023, the Company, together with Chiesi, announced that the EMA’s Committee for Medicinal Products for Human Use (the “CHMP”) adopted a positive opinion, recommending marketing authorization for PRX-102. The CHMP opinion is now referred for final action to the European Commission (the “EC”). A final EC decision on the MAA is expected in the beginning of May 2023.</w:t>
      </w:r>
    </w:p>
    <w:p>
      <w:pPr>
        <w:spacing w:after="0" w:line="13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In addition to PRX-102, the Company’s product pipeline currently includes, among other candidates:</w:t>
      </w:r>
    </w:p>
    <w:p>
      <w:pPr>
        <w:spacing w:after="0" w:line="198" w:lineRule="exact"/>
        <w:rPr>
          <w:sz w:val="20"/>
          <w:szCs w:val="20"/>
          <w:color w:val="auto"/>
        </w:rPr>
      </w:pPr>
    </w:p>
    <w:p>
      <w:pPr>
        <w:ind w:left="1700" w:right="299" w:hanging="651"/>
        <w:spacing w:after="0" w:line="282" w:lineRule="auto"/>
        <w:tabs>
          <w:tab w:leader="none" w:pos="1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PRX-115, the Company’s plant cell-expressed recombinant PEGylated uricase (urate oxidase) – a chemically modified enzyme to treat severe gout; and</w:t>
      </w:r>
    </w:p>
    <w:p>
      <w:pPr>
        <w:spacing w:after="0" w:line="121" w:lineRule="exact"/>
        <w:rPr>
          <w:rFonts w:ascii="Times New Roman" w:cs="Times New Roman" w:eastAsia="Times New Roman" w:hAnsi="Times New Roman"/>
          <w:sz w:val="18"/>
          <w:szCs w:val="18"/>
          <w:color w:val="auto"/>
        </w:rPr>
      </w:pPr>
    </w:p>
    <w:p>
      <w:pPr>
        <w:ind w:left="1700" w:right="459" w:hanging="651"/>
        <w:spacing w:after="0" w:line="312" w:lineRule="auto"/>
        <w:tabs>
          <w:tab w:leader="none" w:pos="17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PRX-119, the Company’s plant cell-expressed PEGylated recombinant human DNase I product candidate being designed to elongate half-life in the circulation for NETs-related diseases.</w:t>
      </w:r>
    </w:p>
    <w:p>
      <w:pPr>
        <w:spacing w:after="0" w:line="99" w:lineRule="exact"/>
        <w:rPr>
          <w:sz w:val="20"/>
          <w:szCs w:val="20"/>
          <w:color w:val="auto"/>
        </w:rPr>
      </w:pPr>
    </w:p>
    <w:p>
      <w:pPr>
        <w:ind w:left="1020" w:right="559"/>
        <w:spacing w:after="0" w:line="266" w:lineRule="auto"/>
        <w:rPr>
          <w:sz w:val="20"/>
          <w:szCs w:val="20"/>
          <w:color w:val="auto"/>
        </w:rPr>
      </w:pPr>
      <w:r>
        <w:rPr>
          <w:rFonts w:ascii="Times New Roman" w:cs="Times New Roman" w:eastAsia="Times New Roman" w:hAnsi="Times New Roman"/>
          <w:sz w:val="18"/>
          <w:szCs w:val="18"/>
          <w:color w:val="auto"/>
        </w:rPr>
        <w:t>Obtaining marketing approval with respect to any product candidate in any country is dependent on the Company’s ability to implement the necessary regulatory steps required to obtain such approvals. The Company cannot reasonably predict the outcome of these activities.</w:t>
      </w:r>
    </w:p>
    <w:p>
      <w:pPr>
        <w:spacing w:after="0" w:line="149" w:lineRule="exact"/>
        <w:rPr>
          <w:sz w:val="20"/>
          <w:szCs w:val="20"/>
          <w:color w:val="auto"/>
        </w:rPr>
      </w:pPr>
    </w:p>
    <w:p>
      <w:pPr>
        <w:ind w:left="1020" w:right="119"/>
        <w:spacing w:after="0" w:line="242" w:lineRule="auto"/>
        <w:rPr>
          <w:sz w:val="20"/>
          <w:szCs w:val="20"/>
          <w:color w:val="auto"/>
        </w:rPr>
      </w:pPr>
      <w:r>
        <w:rPr>
          <w:rFonts w:ascii="Times New Roman" w:cs="Times New Roman" w:eastAsia="Times New Roman" w:hAnsi="Times New Roman"/>
          <w:sz w:val="18"/>
          <w:szCs w:val="18"/>
          <w:color w:val="auto"/>
        </w:rPr>
        <w:t>On July 2, 2021, the Company entered into an At The Market Offering Agreement (the “Sales Agreement”) with H.C. Wainwright &amp; Co., LLC, as the Company’s sales agent (the “Agent”) which was amended on May 2, 2022. Pursuant to the terms of the Sales Agreement, the Company may sell from time to time through the Agent shares of its common stock, par value $0.001 per share (the “Common Stock”), having an aggregate offering price of up to $20.0 million (the “ATM Shares”). Upon execution of the Sales Agreement, the Company terminated the ATM Equity Offering</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Sales Agreement (the “BofA Agreement”) it had entered into on October 1, 2020 with BofA Securities, Inc. (“BofA Securities”). During the term of the sales agreement with BofA Securities, the Company sold a total of 3,296,123 shares of Common Stock for total gross proceeds of approximately $13.8 million. As of December 31, 2022, shares of Common Stock for total gross proceeds of approximately $11.3 million remain available to be sold under the Sales Agreement.</w:t>
      </w:r>
    </w:p>
    <w:p>
      <w:pPr>
        <w:spacing w:after="0" w:line="156" w:lineRule="exact"/>
        <w:rPr>
          <w:sz w:val="20"/>
          <w:szCs w:val="20"/>
          <w:color w:val="auto"/>
        </w:rPr>
      </w:pPr>
    </w:p>
    <w:p>
      <w:pPr>
        <w:ind w:left="1020" w:right="159"/>
        <w:spacing w:after="0" w:line="258" w:lineRule="auto"/>
        <w:rPr>
          <w:sz w:val="20"/>
          <w:szCs w:val="20"/>
          <w:color w:val="auto"/>
        </w:rPr>
      </w:pPr>
      <w:r>
        <w:rPr>
          <w:rFonts w:ascii="Times New Roman" w:cs="Times New Roman" w:eastAsia="Times New Roman" w:hAnsi="Times New Roman"/>
          <w:sz w:val="18"/>
          <w:szCs w:val="18"/>
          <w:color w:val="auto"/>
        </w:rPr>
        <w:t>On October 19, 2017, Protalix Ltd. and Chiesi entered into an Exclusive License and Supply Agreement (the “Chiesi Ex-US Agreement”) pursuant to which Protalix Ltd. granted to Chiesi an exclusive license for all markets outside of the United States to commercialize pegunigalsidase alfa. On July 23, 2018, Protalix Ltd. entered into an Exclusive License and Supply Agreement with Chiesi (the “Chiesi US Agreement”) with respect to the commercialization of pegunigalsidase alfa in the United States.</w:t>
      </w:r>
    </w:p>
    <w:p>
      <w:pPr>
        <w:spacing w:after="0" w:line="14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Under each of the Chiesi Ex-US Agreement and the Chiesi US Agreement (collectively, the “Chiesi</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Agreements”), Chiesi made an upfront payment to Protalix Ltd. of $25.0 million in connection with the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execution of each agreement. In addition, under the Chiesi Ex-US Agreement, Protalix Ltd. is entitled to</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additional payments of up to $25.0 million in pegunigalsidase alfa development costs, and to receive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additional payments of up to $320.0 million, in the aggregate, in regulatory and commercial milestone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payments. Under the Chiesi US Agreement, Protalix Ltd. is entitled to payments of up to a maximum of</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$20.0 million to cover development costs for pegunigalsidase alfa, and to receive additional payments of up</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to a maximum of $760.0 million, in the aggregate, in regulatory and commercial milestone payments. To</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date, Protalix Ltd. has received the complete amount of development costs to which it is entitled under the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Chiesi Agreements.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020" w:right="79"/>
        <w:spacing w:after="0" w:line="255" w:lineRule="auto"/>
        <w:rPr>
          <w:sz w:val="20"/>
          <w:szCs w:val="20"/>
          <w:color w:val="auto"/>
        </w:rPr>
      </w:pPr>
      <w:r>
        <w:rPr>
          <w:rFonts w:ascii="Times New Roman" w:cs="Times New Roman" w:eastAsia="Times New Roman" w:hAnsi="Times New Roman"/>
          <w:sz w:val="18"/>
          <w:szCs w:val="18"/>
          <w:color w:val="auto"/>
        </w:rPr>
        <w:t>Under the terms of both of the Chiesi Agreements, Protalix Ltd. will manufacture all of the pegunigalsidase alfa needed under the agreements, subject to certain exceptions, and Chiesi will purchase pegunigalsidase alfa from Protalix, subject to certain terms and conditions. Under the Chiesi Ex-US Agreement, Chiesi is required to make tiered payments of 15% to 35% of its net sales, depending on the amount of annual sales outside of the United States, as consideration for product supply. Under the Chiesi US Agreement, Chiesi is required to make tiered payments of 15% to 40% of its net sales, depending on the amount of annual sales in the United States, as consideration for product supply.</w:t>
      </w:r>
    </w:p>
    <w:p>
      <w:pPr>
        <w:spacing w:after="0" w:line="148" w:lineRule="exact"/>
        <w:rPr>
          <w:sz w:val="20"/>
          <w:szCs w:val="20"/>
          <w:color w:val="auto"/>
        </w:rPr>
      </w:pPr>
    </w:p>
    <w:p>
      <w:pPr>
        <w:ind w:left="1020" w:right="139"/>
        <w:spacing w:after="0" w:line="255" w:lineRule="auto"/>
        <w:rPr>
          <w:sz w:val="20"/>
          <w:szCs w:val="20"/>
          <w:color w:val="auto"/>
        </w:rPr>
      </w:pPr>
      <w:r>
        <w:rPr>
          <w:rFonts w:ascii="Times New Roman" w:cs="Times New Roman" w:eastAsia="Times New Roman" w:hAnsi="Times New Roman"/>
          <w:sz w:val="18"/>
          <w:szCs w:val="18"/>
          <w:color w:val="auto"/>
        </w:rPr>
        <w:t>On May 13, 2021, the Company signed a binding term sheet with Chiesi pursuant to which the Company and Chiesi amended the Chiesi Agreements in order to provide the Company with near-term capital. Chiesi agreed to make a $10.0 million payment to the Company before the end of the second quarter of 2021 in exchange for a $25.0 million reduction in a longer term regulatory milestone payment provided in the Chiesi EX-US Agreement. All other regulatory and commercial milestone payments remain unchanged. The Company received the payment in June 2021. The Company also agreed to negotiate certain manufacturing related matters.</w:t>
      </w:r>
    </w:p>
    <w:p>
      <w:pPr>
        <w:spacing w:after="0" w:line="121" w:lineRule="exact"/>
        <w:rPr>
          <w:sz w:val="20"/>
          <w:szCs w:val="20"/>
          <w:color w:val="auto"/>
        </w:rPr>
      </w:pPr>
    </w:p>
    <w:p>
      <w:pPr>
        <w:ind w:left="1020" w:right="79"/>
        <w:spacing w:after="0" w:line="254" w:lineRule="auto"/>
        <w:rPr>
          <w:sz w:val="20"/>
          <w:szCs w:val="20"/>
          <w:color w:val="auto"/>
        </w:rPr>
      </w:pPr>
      <w:r>
        <w:rPr>
          <w:rFonts w:ascii="Times New Roman" w:cs="Times New Roman" w:eastAsia="Times New Roman" w:hAnsi="Times New Roman"/>
          <w:sz w:val="18"/>
          <w:szCs w:val="18"/>
          <w:color w:val="auto"/>
        </w:rPr>
        <w:t>Since its approval by the FDA, taliglucerase alfa has been marketed by Pfizer Inc. (“Pfizer”) in accordance with the exclusive license and supply agreement entered into between Protalix Ltd. and Pfizer, which is referred to herein as the Pfizer Agreement. In October 2015, Protalix Ltd. and Pfizer entered into an amended exclusive license and supply agreement, which is referred to herein as the Amended Pfizer Agreement, pursuant to which the Company sold to Pfizer its share in the collaboration created under the Pfizer Agreement for the commercialization of Elelyso. As part of the sale, the Company agreed to transfer its rights to Elelyso in Israel to Pfizer while gaining full rights to it in Brazil. Under the Amended Pfizer Agreement, Pfizer is entitled to all of the revenues, and is responsible for 100% of expenses globally for Elelyso, excluding Brazil where the Company is responsible for all expenses and retains all revenues.</w:t>
      </w:r>
    </w:p>
    <w:p>
      <w:pPr>
        <w:spacing w:after="0" w:line="148" w:lineRule="exact"/>
        <w:rPr>
          <w:sz w:val="20"/>
          <w:szCs w:val="20"/>
          <w:color w:val="auto"/>
        </w:rPr>
      </w:pPr>
    </w:p>
    <w:p>
      <w:pPr>
        <w:ind w:left="1020" w:right="119"/>
        <w:spacing w:after="0" w:line="255" w:lineRule="auto"/>
        <w:rPr>
          <w:sz w:val="20"/>
          <w:szCs w:val="20"/>
          <w:color w:val="auto"/>
        </w:rPr>
      </w:pPr>
      <w:r>
        <w:rPr>
          <w:rFonts w:ascii="Times New Roman" w:cs="Times New Roman" w:eastAsia="Times New Roman" w:hAnsi="Times New Roman"/>
          <w:sz w:val="18"/>
          <w:szCs w:val="18"/>
          <w:color w:val="auto"/>
        </w:rPr>
        <w:t>On June 18, 2013, the Company entered into a Supply and Technology Transfer Agreement (the “Brazil Agreement”) with Fundação Oswaldo Cruz (“Fiocruz”), an arm of the Brazilian Ministry of Health (the “Brazilian MoH”), for taliglucerase alfa. Fiocruz’s purchases of BioManguinhos alfataliglicerase to date have been significantly below certain agreed-upon purchase milestones and, accordingly, the Company has the right to terminate the Brazil Agreement. Notwithstanding the termination right, the Company is, at this time, continuing to supply BioManguinhos alfataliglicerase to Fiocruz and patients continue to be treated with BioManguinhos alfataliglicerase in Brazil.</w:t>
      </w:r>
    </w:p>
    <w:p>
      <w:pPr>
        <w:spacing w:after="0" w:line="121" w:lineRule="exact"/>
        <w:rPr>
          <w:sz w:val="20"/>
          <w:szCs w:val="20"/>
          <w:color w:val="auto"/>
        </w:rPr>
      </w:pPr>
    </w:p>
    <w:p>
      <w:pPr>
        <w:ind w:left="1020" w:right="139"/>
        <w:spacing w:after="0" w:line="256" w:lineRule="auto"/>
        <w:rPr>
          <w:sz w:val="20"/>
          <w:szCs w:val="20"/>
          <w:color w:val="auto"/>
        </w:rPr>
      </w:pPr>
      <w:r>
        <w:rPr>
          <w:rFonts w:ascii="Times New Roman" w:cs="Times New Roman" w:eastAsia="Times New Roman" w:hAnsi="Times New Roman"/>
          <w:sz w:val="18"/>
          <w:szCs w:val="18"/>
          <w:color w:val="auto"/>
        </w:rPr>
        <w:t>The novel coronavirus disease (“COVID-19”), which was declared by the World Health Organization to be a global pandemic on March 11, 2020, has had numerous adverse effects on the global economy. To date, the Company’s clinical trials have not been adversely affected by COVID-19, although certain practices the Company adopted during the earlier stages of the pandemic in its offices and facilities in an effort to promote social distancing resulted in minor delays in the performance of administrative activities outside of the clinical programs.</w:t>
      </w:r>
    </w:p>
    <w:p>
      <w:pPr>
        <w:spacing w:after="0" w:line="106" w:lineRule="exact"/>
        <w:rPr>
          <w:sz w:val="20"/>
          <w:szCs w:val="20"/>
          <w:color w:val="auto"/>
        </w:rPr>
      </w:pPr>
    </w:p>
    <w:p>
      <w:pPr>
        <w:ind w:left="1020" w:right="179"/>
        <w:spacing w:after="0" w:line="254" w:lineRule="auto"/>
        <w:rPr>
          <w:sz w:val="20"/>
          <w:szCs w:val="20"/>
          <w:color w:val="auto"/>
        </w:rPr>
      </w:pPr>
      <w:r>
        <w:rPr>
          <w:rFonts w:ascii="Times New Roman" w:cs="Times New Roman" w:eastAsia="Times New Roman" w:hAnsi="Times New Roman"/>
          <w:sz w:val="18"/>
          <w:szCs w:val="18"/>
          <w:color w:val="auto"/>
        </w:rPr>
        <w:t>The Company expects to continue to incur significant expenditures in the near future due to research and developments efforts with respect to the product candidates. See also Note 10 with regards to financial covenants under the terms of the Company’s outstanding 7.50% Senior Secured Convertible Notes due 2024 (the “2024 Notes”), including the requirement to maintain a minimum cash balance of at least $7.5 million. As of December 31, 2022, the Company is in compliance with all covenants. The Company believes that its cash and cash equivalents and short-term bank deposits as of December 31, 2022, together with additional funds raised from the sale of ATM shares under the Sales Agreement subsequent to December 31, 2022, are sufficient to satisfy the Company’s capital needs for at least 12 months from the date that these financial statements are issued.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020" w:hanging="322"/>
        <w:spacing w:after="0"/>
        <w:tabs>
          <w:tab w:leader="none" w:pos="10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88" w:lineRule="exact"/>
        <w:rPr>
          <w:rFonts w:ascii="Times New Roman" w:cs="Times New Roman" w:eastAsia="Times New Roman" w:hAnsi="Times New Roman"/>
          <w:sz w:val="18"/>
          <w:szCs w:val="18"/>
          <w:b w:val="1"/>
          <w:bCs w:val="1"/>
          <w:color w:val="auto"/>
        </w:rPr>
      </w:pPr>
    </w:p>
    <w:p>
      <w:pPr>
        <w:ind w:left="1020" w:right="29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financial statements have been prepared in accordance with generally accepted accounting principles in the United States (“U.S. GAAP”).</w:t>
      </w:r>
    </w:p>
    <w:p>
      <w:pPr>
        <w:spacing w:after="0" w:line="117" w:lineRule="exact"/>
        <w:rPr>
          <w:rFonts w:ascii="Times New Roman" w:cs="Times New Roman" w:eastAsia="Times New Roman" w:hAnsi="Times New Roman"/>
          <w:sz w:val="18"/>
          <w:szCs w:val="18"/>
          <w:b w:val="1"/>
          <w:bCs w:val="1"/>
          <w:color w:val="auto"/>
        </w:rPr>
      </w:pPr>
    </w:p>
    <w:p>
      <w:pPr>
        <w:ind w:left="1000" w:hanging="302"/>
        <w:spacing w:after="0"/>
        <w:tabs>
          <w:tab w:leader="none" w:pos="100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 in the preparation of financial statements</w:t>
      </w:r>
    </w:p>
    <w:p>
      <w:pPr>
        <w:spacing w:after="0" w:line="202" w:lineRule="exact"/>
        <w:rPr>
          <w:rFonts w:ascii="Times New Roman" w:cs="Times New Roman" w:eastAsia="Times New Roman" w:hAnsi="Times New Roman"/>
          <w:sz w:val="18"/>
          <w:szCs w:val="18"/>
          <w:b w:val="1"/>
          <w:bCs w:val="1"/>
          <w:color w:val="auto"/>
        </w:rPr>
      </w:pPr>
    </w:p>
    <w:p>
      <w:pPr>
        <w:ind w:left="1020" w:right="27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the disclosure of contingent liabilities at the date of the financial statements and the reported amounts of revenues and expenses during the reporting period. Actual results may differ from those estimates. As applicable to these consolidated financial statements, the most significant estimates relate to revenue recognition.</w:t>
      </w:r>
    </w:p>
    <w:p>
      <w:pPr>
        <w:spacing w:after="0" w:line="138" w:lineRule="exact"/>
        <w:rPr>
          <w:rFonts w:ascii="Times New Roman" w:cs="Times New Roman" w:eastAsia="Times New Roman" w:hAnsi="Times New Roman"/>
          <w:sz w:val="18"/>
          <w:szCs w:val="18"/>
          <w:b w:val="1"/>
          <w:bCs w:val="1"/>
          <w:color w:val="auto"/>
        </w:rPr>
      </w:pPr>
    </w:p>
    <w:p>
      <w:pPr>
        <w:ind w:left="1020" w:hanging="322"/>
        <w:spacing w:after="0"/>
        <w:tabs>
          <w:tab w:leader="none" w:pos="10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Functional currency</w:t>
      </w:r>
    </w:p>
    <w:p>
      <w:pPr>
        <w:spacing w:after="0" w:line="188" w:lineRule="exact"/>
        <w:rPr>
          <w:rFonts w:ascii="Times New Roman" w:cs="Times New Roman" w:eastAsia="Times New Roman" w:hAnsi="Times New Roman"/>
          <w:sz w:val="18"/>
          <w:szCs w:val="18"/>
          <w:b w:val="1"/>
          <w:bCs w:val="1"/>
          <w:color w:val="auto"/>
        </w:rPr>
      </w:pPr>
    </w:p>
    <w:p>
      <w:pPr>
        <w:ind w:left="1020" w:right="13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dollar is the currency of the primary economic environment in which the operations of the Company and its Subsidiaries are conducted. The Company’s revenues are derived in dollars. Most of the Company’s expenses and capital expenditures are incurred in dollars, and the major source of the Company’s financing has been provided in dollars.</w:t>
      </w:r>
    </w:p>
    <w:p>
      <w:pPr>
        <w:spacing w:after="0" w:line="152" w:lineRule="exact"/>
        <w:rPr>
          <w:rFonts w:ascii="Times New Roman" w:cs="Times New Roman" w:eastAsia="Times New Roman" w:hAnsi="Times New Roman"/>
          <w:sz w:val="18"/>
          <w:szCs w:val="18"/>
          <w:b w:val="1"/>
          <w:bCs w:val="1"/>
          <w:color w:val="auto"/>
        </w:rPr>
      </w:pPr>
    </w:p>
    <w:p>
      <w:pPr>
        <w:ind w:left="1020" w:right="119"/>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Transactions and balances originally denominated in dollars are presented at their original amounts. Balances in non-dollar currencies are translated into dollars using historical and current exchange rates for non-monetary and monetary balances, respectively. For non-dollar transactions and other items (stated below) reflected in the statements of operations, the following exchange rates are used: (i) for transactions – exchange rates at the transaction dates or average rates; and (ii) for other items (derived from non-monetary balance sheet items such as depreciation and amortization, etc.) – historical exchange rates. Currency translation gains and losses are recorded as financial income or expenses, as appropriate.</w:t>
      </w:r>
    </w:p>
    <w:p>
      <w:pPr>
        <w:spacing w:after="0" w:line="144" w:lineRule="exact"/>
        <w:rPr>
          <w:rFonts w:ascii="Times New Roman" w:cs="Times New Roman" w:eastAsia="Times New Roman" w:hAnsi="Times New Roman"/>
          <w:sz w:val="18"/>
          <w:szCs w:val="18"/>
          <w:b w:val="1"/>
          <w:bCs w:val="1"/>
          <w:color w:val="auto"/>
        </w:rPr>
      </w:pPr>
    </w:p>
    <w:p>
      <w:pPr>
        <w:ind w:left="1000" w:hanging="302"/>
        <w:spacing w:after="0"/>
        <w:tabs>
          <w:tab w:leader="none" w:pos="100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equivalents</w:t>
      </w:r>
    </w:p>
    <w:p>
      <w:pPr>
        <w:spacing w:after="0" w:line="188" w:lineRule="exact"/>
        <w:rPr>
          <w:rFonts w:ascii="Times New Roman" w:cs="Times New Roman" w:eastAsia="Times New Roman" w:hAnsi="Times New Roman"/>
          <w:sz w:val="18"/>
          <w:szCs w:val="18"/>
          <w:b w:val="1"/>
          <w:bCs w:val="1"/>
          <w:color w:val="auto"/>
        </w:rPr>
      </w:pPr>
    </w:p>
    <w:p>
      <w:pPr>
        <w:ind w:left="1020" w:right="37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considers all short-term, highly liquid investments, which include short-term bank deposits with original maturities of three months or less from the date of purchase, that are not restricted as to withdrawal or use and are readily convertible to known amounts of cash, to be cash equivalents.</w:t>
      </w:r>
    </w:p>
    <w:p>
      <w:pPr>
        <w:spacing w:after="0" w:line="144" w:lineRule="exact"/>
        <w:rPr>
          <w:rFonts w:ascii="Times New Roman" w:cs="Times New Roman" w:eastAsia="Times New Roman" w:hAnsi="Times New Roman"/>
          <w:sz w:val="18"/>
          <w:szCs w:val="18"/>
          <w:b w:val="1"/>
          <w:bCs w:val="1"/>
          <w:color w:val="auto"/>
        </w:rPr>
      </w:pPr>
    </w:p>
    <w:p>
      <w:pPr>
        <w:ind w:left="980" w:hanging="282"/>
        <w:spacing w:after="0"/>
        <w:tabs>
          <w:tab w:leader="none" w:pos="9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Receivables</w:t>
      </w:r>
    </w:p>
    <w:p>
      <w:pPr>
        <w:spacing w:after="0" w:line="189" w:lineRule="exact"/>
        <w:rPr>
          <w:sz w:val="20"/>
          <w:szCs w:val="20"/>
          <w:color w:val="auto"/>
        </w:rPr>
      </w:pPr>
    </w:p>
    <w:p>
      <w:pPr>
        <w:ind w:left="1020" w:right="99"/>
        <w:spacing w:after="0" w:line="255" w:lineRule="auto"/>
        <w:rPr>
          <w:sz w:val="20"/>
          <w:szCs w:val="20"/>
          <w:color w:val="auto"/>
        </w:rPr>
      </w:pPr>
      <w:r>
        <w:rPr>
          <w:rFonts w:ascii="Times New Roman" w:cs="Times New Roman" w:eastAsia="Times New Roman" w:hAnsi="Times New Roman"/>
          <w:sz w:val="18"/>
          <w:szCs w:val="18"/>
          <w:color w:val="auto"/>
        </w:rPr>
        <w:t>Accounts receivable have been reduced by an allowance for credit losses. The Company maintains the allowance for estimated losses resulting from the inability of the Company’s customers to make required payments. The allowance represents the current estimate of lifetime expected credit losses over the remaining duration of existing accounts receivable considering current market conditions and supportable forecasts when appropriate. The estimate is a result of the Company’s ongoing evaluation of collectability, customer creditworthiness, historical levels of credit losses and future expectations. As of December 31, 2022 and 2021, the allowance was negligible.</w:t>
      </w:r>
    </w:p>
    <w:p>
      <w:pPr>
        <w:spacing w:after="0" w:line="14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 write-off activity and recoveries for the periods presented were recognized.</w:t>
      </w:r>
    </w:p>
    <w:p>
      <w:pPr>
        <w:spacing w:after="0" w:line="194" w:lineRule="exact"/>
        <w:rPr>
          <w:sz w:val="20"/>
          <w:szCs w:val="20"/>
          <w:color w:val="auto"/>
        </w:rPr>
      </w:pPr>
    </w:p>
    <w:p>
      <w:pPr>
        <w:ind w:left="1020" w:hanging="322"/>
        <w:spacing w:after="0"/>
        <w:tabs>
          <w:tab w:leader="none" w:pos="102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188" w:lineRule="exact"/>
        <w:rPr>
          <w:rFonts w:ascii="Times New Roman" w:cs="Times New Roman" w:eastAsia="Times New Roman" w:hAnsi="Times New Roman"/>
          <w:sz w:val="18"/>
          <w:szCs w:val="18"/>
          <w:b w:val="1"/>
          <w:bCs w:val="1"/>
          <w:color w:val="auto"/>
        </w:rPr>
      </w:pPr>
    </w:p>
    <w:p>
      <w:pPr>
        <w:ind w:left="1020" w:right="29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Inventories are valued at the lower of cost or net realizable value. Cost of raw and packaging materials and purchased products is determined using the “moving average” basis.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left="1020" w:right="199"/>
        <w:spacing w:after="0" w:line="266" w:lineRule="auto"/>
        <w:rPr>
          <w:sz w:val="20"/>
          <w:szCs w:val="20"/>
          <w:color w:val="auto"/>
        </w:rPr>
      </w:pPr>
      <w:r>
        <w:rPr>
          <w:rFonts w:ascii="Times New Roman" w:cs="Times New Roman" w:eastAsia="Times New Roman" w:hAnsi="Times New Roman"/>
          <w:sz w:val="18"/>
          <w:szCs w:val="18"/>
          <w:color w:val="auto"/>
        </w:rPr>
        <w:t>Cost of finished products is determined as follows: the value of the raw and packaging materials component is determined primarily using the “moving average” basis; the value of the labor and overhead component is determined on an average basis over the production period.</w:t>
      </w:r>
    </w:p>
    <w:p>
      <w:pPr>
        <w:spacing w:after="0" w:line="135" w:lineRule="exact"/>
        <w:rPr>
          <w:sz w:val="20"/>
          <w:szCs w:val="20"/>
          <w:color w:val="auto"/>
        </w:rPr>
      </w:pPr>
    </w:p>
    <w:p>
      <w:pPr>
        <w:ind w:left="1020" w:right="479"/>
        <w:spacing w:after="0" w:line="282" w:lineRule="auto"/>
        <w:rPr>
          <w:sz w:val="20"/>
          <w:szCs w:val="20"/>
          <w:color w:val="auto"/>
        </w:rPr>
      </w:pPr>
      <w:r>
        <w:rPr>
          <w:rFonts w:ascii="Times New Roman" w:cs="Times New Roman" w:eastAsia="Times New Roman" w:hAnsi="Times New Roman"/>
          <w:sz w:val="18"/>
          <w:szCs w:val="18"/>
          <w:color w:val="auto"/>
        </w:rPr>
        <w:t>Inventory is written down for estimated obsolescence based upon management assumptions about future demand and market conditions.</w:t>
      </w:r>
    </w:p>
    <w:p>
      <w:pPr>
        <w:spacing w:after="0" w:line="117" w:lineRule="exact"/>
        <w:rPr>
          <w:sz w:val="20"/>
          <w:szCs w:val="20"/>
          <w:color w:val="auto"/>
        </w:rPr>
      </w:pPr>
    </w:p>
    <w:p>
      <w:pPr>
        <w:ind w:left="1020" w:hanging="322"/>
        <w:spacing w:after="0"/>
        <w:tabs>
          <w:tab w:leader="none" w:pos="10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02" w:lineRule="exact"/>
        <w:rPr>
          <w:rFonts w:ascii="Times New Roman" w:cs="Times New Roman" w:eastAsia="Times New Roman" w:hAnsi="Times New Roman"/>
          <w:sz w:val="18"/>
          <w:szCs w:val="18"/>
          <w:b w:val="1"/>
          <w:bCs w:val="1"/>
          <w:color w:val="auto"/>
        </w:rPr>
      </w:pPr>
    </w:p>
    <w:p>
      <w:pPr>
        <w:ind w:left="1340" w:hanging="318"/>
        <w:spacing w:after="0"/>
        <w:tabs>
          <w:tab w:leader="none" w:pos="13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equipment are stated at cost, net of accumulated depreciation and amortization.</w:t>
      </w:r>
    </w:p>
    <w:p>
      <w:pPr>
        <w:spacing w:after="0" w:line="184" w:lineRule="exact"/>
        <w:rPr>
          <w:rFonts w:ascii="Times New Roman" w:cs="Times New Roman" w:eastAsia="Times New Roman" w:hAnsi="Times New Roman"/>
          <w:sz w:val="18"/>
          <w:szCs w:val="18"/>
          <w:color w:val="auto"/>
        </w:rPr>
      </w:pPr>
    </w:p>
    <w:p>
      <w:pPr>
        <w:ind w:left="1340" w:right="259" w:hanging="318"/>
        <w:spacing w:after="0" w:line="282" w:lineRule="auto"/>
        <w:tabs>
          <w:tab w:leader="none" w:pos="132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assets are depreciated by the straight-line method on the basis of their estimated useful lives as follows:</w:t>
      </w:r>
    </w:p>
    <w:p>
      <w:pPr>
        <w:spacing w:after="0" w:line="128"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Years</w:t>
            </w:r>
          </w:p>
        </w:tc>
      </w:tr>
      <w:tr>
        <w:trPr>
          <w:trHeight w:val="209"/>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Furniture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bl>
    <w:p>
      <w:pPr>
        <w:spacing w:after="0" w:line="198" w:lineRule="exact"/>
        <w:rPr>
          <w:sz w:val="20"/>
          <w:szCs w:val="20"/>
          <w:color w:val="auto"/>
        </w:rPr>
      </w:pPr>
    </w:p>
    <w:p>
      <w:pPr>
        <w:ind w:left="1020" w:right="219"/>
        <w:spacing w:after="0" w:line="282" w:lineRule="auto"/>
        <w:rPr>
          <w:sz w:val="20"/>
          <w:szCs w:val="20"/>
          <w:color w:val="auto"/>
        </w:rPr>
      </w:pPr>
      <w:r>
        <w:rPr>
          <w:rFonts w:ascii="Times New Roman" w:cs="Times New Roman" w:eastAsia="Times New Roman" w:hAnsi="Times New Roman"/>
          <w:sz w:val="18"/>
          <w:szCs w:val="18"/>
          <w:color w:val="auto"/>
        </w:rPr>
        <w:t>Leasehold improvements are amortized by the straight-line method over the shorter of (i) the expected lease term and (ii) the estimated useful life of the improvements.</w:t>
      </w:r>
    </w:p>
    <w:p>
      <w:pPr>
        <w:spacing w:after="0" w:line="131" w:lineRule="exact"/>
        <w:rPr>
          <w:sz w:val="20"/>
          <w:szCs w:val="20"/>
          <w:color w:val="auto"/>
        </w:rPr>
      </w:pPr>
    </w:p>
    <w:p>
      <w:pPr>
        <w:ind w:left="980" w:hanging="282"/>
        <w:spacing w:after="0"/>
        <w:tabs>
          <w:tab w:leader="none" w:pos="9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in value of long-lived assets</w:t>
      </w:r>
    </w:p>
    <w:p>
      <w:pPr>
        <w:spacing w:after="0" w:line="189" w:lineRule="exact"/>
        <w:rPr>
          <w:sz w:val="20"/>
          <w:szCs w:val="20"/>
          <w:color w:val="auto"/>
        </w:rPr>
      </w:pPr>
    </w:p>
    <w:p>
      <w:pPr>
        <w:ind w:left="1020" w:right="139"/>
        <w:spacing w:after="0" w:line="266" w:lineRule="auto"/>
        <w:rPr>
          <w:sz w:val="20"/>
          <w:szCs w:val="20"/>
          <w:color w:val="auto"/>
        </w:rPr>
      </w:pPr>
      <w:r>
        <w:rPr>
          <w:rFonts w:ascii="Times New Roman" w:cs="Times New Roman" w:eastAsia="Times New Roman" w:hAnsi="Times New Roman"/>
          <w:sz w:val="18"/>
          <w:szCs w:val="18"/>
          <w:color w:val="auto"/>
        </w:rPr>
        <w:t>The Company tests long-lived assets for impairment if an indication of impairment exists. If the sum of expected future cash flows of definite life assets (undiscounted) is less than the carrying amount of such assets, the Company recognizes an impairment loss, and writes down the assets to their estimated fair values.</w:t>
      </w:r>
    </w:p>
    <w:p>
      <w:pPr>
        <w:spacing w:after="0" w:line="131" w:lineRule="exact"/>
        <w:rPr>
          <w:sz w:val="20"/>
          <w:szCs w:val="20"/>
          <w:color w:val="auto"/>
        </w:rPr>
      </w:pPr>
    </w:p>
    <w:p>
      <w:pPr>
        <w:ind w:left="980" w:hanging="282"/>
        <w:spacing w:after="0"/>
        <w:tabs>
          <w:tab w:leader="none" w:pos="9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02" w:lineRule="exact"/>
        <w:rPr>
          <w:rFonts w:ascii="Times New Roman" w:cs="Times New Roman" w:eastAsia="Times New Roman" w:hAnsi="Times New Roman"/>
          <w:sz w:val="18"/>
          <w:szCs w:val="18"/>
          <w:b w:val="1"/>
          <w:bCs w:val="1"/>
          <w:color w:val="auto"/>
        </w:rPr>
      </w:pPr>
    </w:p>
    <w:p>
      <w:pPr>
        <w:ind w:left="1340" w:hanging="318"/>
        <w:spacing w:after="0"/>
        <w:tabs>
          <w:tab w:leader="none" w:pos="13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taxes</w:t>
      </w:r>
    </w:p>
    <w:p>
      <w:pPr>
        <w:spacing w:after="0" w:line="184" w:lineRule="exact"/>
        <w:rPr>
          <w:rFonts w:ascii="Times New Roman" w:cs="Times New Roman" w:eastAsia="Times New Roman" w:hAnsi="Times New Roman"/>
          <w:sz w:val="18"/>
          <w:szCs w:val="18"/>
          <w:color w:val="auto"/>
        </w:rPr>
      </w:pPr>
    </w:p>
    <w:p>
      <w:pPr>
        <w:ind w:left="1340" w:right="5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taxes are determined utilizing the assets and liabilities method based on the estimated future tax effects of the differences between the financial accounting and tax bases of assets and liabilities under the applicable tax laws. Deferred tax balances are computed using the tax rates expected to be in effect when those differences reverse. A valuation allowance in respect of deferred tax assets is provided if, based upon the weight of available evidence, it is more likely than not that some or all of the deferred tax assets will not be realized. The Company has provided a full valuation allowance with respect to its deferred tax assets. The Company used statutory tax rates of 21% and 23%. See also Note 12.</w:t>
      </w:r>
    </w:p>
    <w:p>
      <w:pPr>
        <w:spacing w:after="0" w:line="148"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income taxes</w:t>
      </w:r>
    </w:p>
    <w:p>
      <w:pPr>
        <w:spacing w:after="0" w:line="198" w:lineRule="exact"/>
        <w:rPr>
          <w:rFonts w:ascii="Times New Roman" w:cs="Times New Roman" w:eastAsia="Times New Roman" w:hAnsi="Times New Roman"/>
          <w:sz w:val="18"/>
          <w:szCs w:val="18"/>
          <w:color w:val="auto"/>
        </w:rPr>
      </w:pPr>
    </w:p>
    <w:p>
      <w:pPr>
        <w:ind w:left="1340" w:right="11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benefits recognized in the financial statements are those that the Company’s management deems at least more likely than not to be sustained, based on technical merits. The amount of benefits recorded for these tax benefits is measured as the largest benefit the Company’s management deems more likely than not to be sustained. Liabilities relating to uncertain tax positions are classified as current in the consolidated balance sheets to the extent the Company anticipates making payments within one year.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020" w:hanging="322"/>
        <w:spacing w:after="0"/>
        <w:tabs>
          <w:tab w:leader="none" w:pos="102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188" w:lineRule="exact"/>
        <w:rPr>
          <w:rFonts w:ascii="Times New Roman" w:cs="Times New Roman" w:eastAsia="Times New Roman" w:hAnsi="Times New Roman"/>
          <w:sz w:val="18"/>
          <w:szCs w:val="18"/>
          <w:b w:val="1"/>
          <w:bCs w:val="1"/>
          <w:color w:val="auto"/>
        </w:rPr>
      </w:pPr>
    </w:p>
    <w:p>
      <w:pPr>
        <w:ind w:left="1020" w:right="139"/>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Accounting Standards Codification (“ASC”), Topic 606, Revenue from Contracts with Customers, a contract with a customer exists only when: the parties to the contract have approved it and are committed to perform their respective obligations, the Company can identify each party’s rights regarding the distinct goods or services to be transferred (“performance obligations”), the Company can determine the transaction price for the goods or services to be transferred, the contract has commercial substance and it is probable that the Company will collect the consideration to which it will be entitled in exchange for the goods or services that will be transferred to the customer.</w:t>
      </w:r>
    </w:p>
    <w:p>
      <w:pPr>
        <w:spacing w:after="0" w:line="148" w:lineRule="exact"/>
        <w:rPr>
          <w:rFonts w:ascii="Times New Roman" w:cs="Times New Roman" w:eastAsia="Times New Roman" w:hAnsi="Times New Roman"/>
          <w:sz w:val="18"/>
          <w:szCs w:val="18"/>
          <w:b w:val="1"/>
          <w:bCs w:val="1"/>
          <w:color w:val="auto"/>
        </w:rPr>
      </w:pPr>
    </w:p>
    <w:p>
      <w:pPr>
        <w:ind w:left="1020" w:right="67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Revenues are recorded in the amount of consideration to which the Company expects to be entitled in exchange for performance obligations upon transfer of control to the customer.</w:t>
      </w:r>
    </w:p>
    <w:p>
      <w:pPr>
        <w:spacing w:after="0" w:line="134" w:lineRule="exact"/>
        <w:rPr>
          <w:rFonts w:ascii="Times New Roman" w:cs="Times New Roman" w:eastAsia="Times New Roman" w:hAnsi="Times New Roman"/>
          <w:sz w:val="18"/>
          <w:szCs w:val="18"/>
          <w:b w:val="1"/>
          <w:bCs w:val="1"/>
          <w:color w:val="auto"/>
        </w:rPr>
      </w:pPr>
    </w:p>
    <w:p>
      <w:pPr>
        <w:ind w:left="1340" w:hanging="318"/>
        <w:spacing w:after="0"/>
        <w:tabs>
          <w:tab w:leader="none" w:pos="13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selling products</w:t>
      </w:r>
    </w:p>
    <w:p>
      <w:pPr>
        <w:spacing w:after="0" w:line="184" w:lineRule="exact"/>
        <w:rPr>
          <w:rFonts w:ascii="Times New Roman" w:cs="Times New Roman" w:eastAsia="Times New Roman" w:hAnsi="Times New Roman"/>
          <w:sz w:val="18"/>
          <w:szCs w:val="18"/>
          <w:color w:val="auto"/>
        </w:rPr>
      </w:pPr>
    </w:p>
    <w:p>
      <w:pPr>
        <w:ind w:left="1340" w:right="11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recognizes revenues from selling goods at a point in time when control over the product is transferred to customers (upon delivery).</w:t>
      </w:r>
    </w:p>
    <w:p>
      <w:pPr>
        <w:spacing w:after="0" w:line="12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Chiesi Agreements</w:t>
      </w:r>
    </w:p>
    <w:p>
      <w:pPr>
        <w:spacing w:after="0" w:line="198" w:lineRule="exact"/>
        <w:rPr>
          <w:rFonts w:ascii="Times New Roman" w:cs="Times New Roman" w:eastAsia="Times New Roman" w:hAnsi="Times New Roman"/>
          <w:sz w:val="18"/>
          <w:szCs w:val="18"/>
          <w:color w:val="auto"/>
        </w:rPr>
      </w:pPr>
    </w:p>
    <w:p>
      <w:pPr>
        <w:ind w:left="1340" w:right="21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identified two performance obligations in the Chiesi agreements as follows: (1) the license and research and development services and (2) the contingent performance obligation regarding future manufacturing.</w:t>
      </w:r>
    </w:p>
    <w:p>
      <w:pPr>
        <w:spacing w:after="0" w:line="135" w:lineRule="exact"/>
        <w:rPr>
          <w:rFonts w:ascii="Times New Roman" w:cs="Times New Roman" w:eastAsia="Times New Roman" w:hAnsi="Times New Roman"/>
          <w:sz w:val="18"/>
          <w:szCs w:val="18"/>
          <w:color w:val="auto"/>
        </w:rPr>
      </w:pPr>
    </w:p>
    <w:p>
      <w:pPr>
        <w:ind w:left="1340" w:right="5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determined that the license together with the research and development services should be combined into single performance obligation since Chiesi cannot benefit from the license without the research and development services. The research and development services are highly specialized and are dependent on the supply of the drug.</w:t>
      </w:r>
    </w:p>
    <w:p>
      <w:pPr>
        <w:spacing w:after="0" w:line="139" w:lineRule="exact"/>
        <w:rPr>
          <w:rFonts w:ascii="Times New Roman" w:cs="Times New Roman" w:eastAsia="Times New Roman" w:hAnsi="Times New Roman"/>
          <w:sz w:val="18"/>
          <w:szCs w:val="18"/>
          <w:color w:val="auto"/>
        </w:rPr>
      </w:pPr>
    </w:p>
    <w:p>
      <w:pPr>
        <w:ind w:left="1340" w:right="27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manufacturing is contingent on regulatory approvals of the drug and the Company deems these services to be separately identifiable from other performance obligations in the contract. Manufacturing services post-regulatory approval are not interdependent or interrelated with the license and research and development services.</w:t>
      </w:r>
    </w:p>
    <w:p>
      <w:pPr>
        <w:spacing w:after="0" w:line="152" w:lineRule="exact"/>
        <w:rPr>
          <w:rFonts w:ascii="Times New Roman" w:cs="Times New Roman" w:eastAsia="Times New Roman" w:hAnsi="Times New Roman"/>
          <w:sz w:val="18"/>
          <w:szCs w:val="18"/>
          <w:color w:val="auto"/>
        </w:rPr>
      </w:pPr>
    </w:p>
    <w:p>
      <w:pPr>
        <w:ind w:left="1340" w:right="17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price was comprised of fixed consideration and variable consideration (capped research and development reimbursements). Under ASC 606, the consideration to which the Company would be entitled upon the achievement of contractual milestones, which are contingent upon the occurrence of future events, are a form of variable consideration. The Company estimates variable consideration using the most likely method. Amounts included in the transaction price are recognized only when it is probable that a significant reversal of cumulative revenues will not occur. Prior to recognizing revenue from variable consideration, the Company uses significant judgment to determine the probability of significant reversal of such revenue.</w:t>
      </w:r>
    </w:p>
    <w:p>
      <w:pPr>
        <w:spacing w:after="0" w:line="151" w:lineRule="exact"/>
        <w:rPr>
          <w:rFonts w:ascii="Times New Roman" w:cs="Times New Roman" w:eastAsia="Times New Roman" w:hAnsi="Times New Roman"/>
          <w:sz w:val="18"/>
          <w:szCs w:val="18"/>
          <w:color w:val="auto"/>
        </w:rPr>
      </w:pPr>
    </w:p>
    <w:p>
      <w:pPr>
        <w:ind w:left="1340" w:right="5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customer benefits from the research and development services as the entity performs the service, revenue from granting the license and the research and development services is recognized over time using the cost-to-cost method. The Company used significant judgment when it determined the costs expected to be incurred upon satisfying the identified performance obligation.</w:t>
      </w:r>
    </w:p>
    <w:p>
      <w:pPr>
        <w:spacing w:after="0" w:line="139" w:lineRule="exact"/>
        <w:rPr>
          <w:rFonts w:ascii="Times New Roman" w:cs="Times New Roman" w:eastAsia="Times New Roman" w:hAnsi="Times New Roman"/>
          <w:sz w:val="18"/>
          <w:szCs w:val="18"/>
          <w:color w:val="auto"/>
        </w:rPr>
      </w:pPr>
    </w:p>
    <w:p>
      <w:pPr>
        <w:ind w:left="1340" w:right="23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additional research and development services ordered by Chiesi, is recognized over time using the cost-to-cost method.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340" w:hanging="318"/>
        <w:spacing w:after="0"/>
        <w:tabs>
          <w:tab w:leader="none" w:pos="13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R&amp;D services</w:t>
      </w:r>
    </w:p>
    <w:p>
      <w:pPr>
        <w:spacing w:after="0" w:line="184" w:lineRule="exact"/>
        <w:rPr>
          <w:rFonts w:ascii="Times New Roman" w:cs="Times New Roman" w:eastAsia="Times New Roman" w:hAnsi="Times New Roman"/>
          <w:sz w:val="18"/>
          <w:szCs w:val="18"/>
          <w:color w:val="auto"/>
        </w:rPr>
      </w:pPr>
    </w:p>
    <w:p>
      <w:pPr>
        <w:ind w:left="1340" w:right="31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research and development services is recognized over time using the cost-to-cost method since the customer benefits from the research and development services as the entity performs the service.</w:t>
      </w:r>
    </w:p>
    <w:p>
      <w:pPr>
        <w:spacing w:after="0" w:line="131" w:lineRule="exact"/>
        <w:rPr>
          <w:rFonts w:ascii="Times New Roman" w:cs="Times New Roman" w:eastAsia="Times New Roman" w:hAnsi="Times New Roman"/>
          <w:sz w:val="18"/>
          <w:szCs w:val="18"/>
          <w:color w:val="auto"/>
        </w:rPr>
      </w:pPr>
    </w:p>
    <w:p>
      <w:pPr>
        <w:ind w:left="980" w:hanging="282"/>
        <w:spacing w:after="0"/>
        <w:tabs>
          <w:tab w:leader="none" w:pos="9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costs</w:t>
      </w:r>
    </w:p>
    <w:p>
      <w:pPr>
        <w:spacing w:after="0" w:line="202" w:lineRule="exact"/>
        <w:rPr>
          <w:sz w:val="20"/>
          <w:szCs w:val="20"/>
          <w:color w:val="auto"/>
        </w:rPr>
      </w:pPr>
    </w:p>
    <w:p>
      <w:pPr>
        <w:ind w:left="1020" w:right="79"/>
        <w:spacing w:after="0" w:line="256"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consist primarily of personnel, subcontractors and consultants (mainly in connection with clinical trials), facilities, equipment and supplies for research and development activities. In connection with purchases of assets, amounts assigned to intangible assets to be used in a particular research and development project that have no alternative future use are charged to research and development costs at the purchase date. Costs incurred for performing research and development services are included in research and development expenses.</w:t>
      </w:r>
    </w:p>
    <w:p>
      <w:pPr>
        <w:spacing w:after="0" w:line="143" w:lineRule="exact"/>
        <w:rPr>
          <w:sz w:val="20"/>
          <w:szCs w:val="20"/>
          <w:color w:val="auto"/>
        </w:rPr>
      </w:pPr>
    </w:p>
    <w:p>
      <w:pPr>
        <w:ind w:left="70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m.</w:t>
      </w:r>
      <w:r>
        <w:rPr>
          <w:sz w:val="20"/>
          <w:szCs w:val="20"/>
          <w:color w:val="auto"/>
        </w:rPr>
        <w:tab/>
      </w:r>
      <w:r>
        <w:rPr>
          <w:rFonts w:ascii="Times New Roman" w:cs="Times New Roman" w:eastAsia="Times New Roman" w:hAnsi="Times New Roman"/>
          <w:sz w:val="17"/>
          <w:szCs w:val="17"/>
          <w:b w:val="1"/>
          <w:bCs w:val="1"/>
          <w:color w:val="auto"/>
        </w:rPr>
        <w:t>Concentration of credit risks and trade receivable</w:t>
      </w:r>
    </w:p>
    <w:p>
      <w:pPr>
        <w:spacing w:after="0" w:line="189" w:lineRule="exact"/>
        <w:rPr>
          <w:sz w:val="20"/>
          <w:szCs w:val="20"/>
          <w:color w:val="auto"/>
        </w:rPr>
      </w:pPr>
    </w:p>
    <w:p>
      <w:pPr>
        <w:ind w:left="1020" w:right="79"/>
        <w:spacing w:after="0" w:line="255"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principally of bank deposits and account receivables - trade. The Company’s deposits are instruments with highly rated financial institutions, mainly in Israeli banks, and, as a matter of policy, limits the amounts of credit exposure to any one financial institution. The Company has not experienced any credit losses in these accounts and does not believe it is exposed to any significant credit risk on these instruments. The Company’s trade receivables represent amounts to be received from its customers. The Company does not require its customers to post collateral with respect to receivables.</w:t>
      </w:r>
    </w:p>
    <w:p>
      <w:pPr>
        <w:spacing w:after="0" w:line="162" w:lineRule="exact"/>
        <w:rPr>
          <w:sz w:val="20"/>
          <w:szCs w:val="20"/>
          <w:color w:val="auto"/>
        </w:rPr>
      </w:pPr>
    </w:p>
    <w:p>
      <w:pPr>
        <w:ind w:left="1020" w:right="459"/>
        <w:spacing w:after="0" w:line="282" w:lineRule="auto"/>
        <w:rPr>
          <w:sz w:val="20"/>
          <w:szCs w:val="20"/>
          <w:color w:val="auto"/>
        </w:rPr>
      </w:pPr>
      <w:r>
        <w:rPr>
          <w:rFonts w:ascii="Times New Roman" w:cs="Times New Roman" w:eastAsia="Times New Roman" w:hAnsi="Times New Roman"/>
          <w:sz w:val="18"/>
          <w:szCs w:val="18"/>
          <w:color w:val="auto"/>
        </w:rPr>
        <w:t>As of December 31, 2022, the accounts receivables balance was composed of $2.3 million from Fiocruz, $1.2 million from Chiesi and $1.1 million from Pfizer.</w:t>
      </w:r>
    </w:p>
    <w:p>
      <w:pPr>
        <w:spacing w:after="0" w:line="117" w:lineRule="exact"/>
        <w:rPr>
          <w:sz w:val="20"/>
          <w:szCs w:val="20"/>
          <w:color w:val="auto"/>
        </w:rPr>
      </w:pPr>
    </w:p>
    <w:p>
      <w:pPr>
        <w:ind w:left="1020" w:hanging="322"/>
        <w:spacing w:after="0"/>
        <w:tabs>
          <w:tab w:leader="none" w:pos="10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88" w:lineRule="exact"/>
        <w:rPr>
          <w:rFonts w:ascii="Times New Roman" w:cs="Times New Roman" w:eastAsia="Times New Roman" w:hAnsi="Times New Roman"/>
          <w:sz w:val="18"/>
          <w:szCs w:val="18"/>
          <w:b w:val="1"/>
          <w:bCs w:val="1"/>
          <w:color w:val="auto"/>
        </w:rPr>
      </w:pPr>
    </w:p>
    <w:p>
      <w:pPr>
        <w:ind w:left="1020" w:right="29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accounts for share-based payment awards classified as equity awards, including stock-based option awards and restricted stock, using the grant-date fair value method. The fair value of share-based payment transactions is recognized as an expense over the requisite service period.</w:t>
      </w:r>
    </w:p>
    <w:p>
      <w:pPr>
        <w:spacing w:after="0" w:line="148" w:lineRule="exact"/>
        <w:rPr>
          <w:rFonts w:ascii="Times New Roman" w:cs="Times New Roman" w:eastAsia="Times New Roman" w:hAnsi="Times New Roman"/>
          <w:sz w:val="18"/>
          <w:szCs w:val="18"/>
          <w:b w:val="1"/>
          <w:bCs w:val="1"/>
          <w:color w:val="auto"/>
        </w:rPr>
      </w:pPr>
    </w:p>
    <w:p>
      <w:pPr>
        <w:ind w:left="1020" w:right="25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calculates the fair value of stock-based option awards on the date of grant using the Black-Scholes option pricing model. This option pricing model requires estimates as to the option’s expected term and the price volatility of the underlying stock.</w:t>
      </w:r>
    </w:p>
    <w:p>
      <w:pPr>
        <w:spacing w:after="0" w:line="135" w:lineRule="exact"/>
        <w:rPr>
          <w:rFonts w:ascii="Times New Roman" w:cs="Times New Roman" w:eastAsia="Times New Roman" w:hAnsi="Times New Roman"/>
          <w:sz w:val="18"/>
          <w:szCs w:val="18"/>
          <w:b w:val="1"/>
          <w:bCs w:val="1"/>
          <w:color w:val="auto"/>
        </w:rPr>
      </w:pPr>
    </w:p>
    <w:p>
      <w:pPr>
        <w:ind w:left="1020" w:right="81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measures compensation expense for restricted stock based on the market value of the underlying stock at the date of grant.</w:t>
      </w:r>
    </w:p>
    <w:p>
      <w:pPr>
        <w:spacing w:after="0" w:line="121" w:lineRule="exact"/>
        <w:rPr>
          <w:rFonts w:ascii="Times New Roman" w:cs="Times New Roman" w:eastAsia="Times New Roman" w:hAnsi="Times New Roman"/>
          <w:sz w:val="18"/>
          <w:szCs w:val="18"/>
          <w:b w:val="1"/>
          <w:bCs w:val="1"/>
          <w:color w:val="auto"/>
        </w:rPr>
      </w:pPr>
    </w:p>
    <w:p>
      <w:pPr>
        <w:ind w:left="1020" w:right="11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elected to recognize compensation cost for awards to employees, consultants and other service providers with only service conditions that has a graded vesting schedule using the accelerated method.</w:t>
      </w:r>
    </w:p>
    <w:p>
      <w:pPr>
        <w:spacing w:after="0" w:line="134" w:lineRule="exact"/>
        <w:rPr>
          <w:rFonts w:ascii="Times New Roman" w:cs="Times New Roman" w:eastAsia="Times New Roman" w:hAnsi="Times New Roman"/>
          <w:sz w:val="18"/>
          <w:szCs w:val="18"/>
          <w:b w:val="1"/>
          <w:bCs w:val="1"/>
          <w:color w:val="auto"/>
        </w:rPr>
      </w:pPr>
    </w:p>
    <w:p>
      <w:pPr>
        <w:ind w:left="1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elects to account for forfeitures as they occur.</w:t>
      </w:r>
    </w:p>
    <w:p>
      <w:pPr>
        <w:spacing w:after="0" w:line="180" w:lineRule="exact"/>
        <w:rPr>
          <w:rFonts w:ascii="Times New Roman" w:cs="Times New Roman" w:eastAsia="Times New Roman" w:hAnsi="Times New Roman"/>
          <w:sz w:val="18"/>
          <w:szCs w:val="18"/>
          <w:b w:val="1"/>
          <w:bCs w:val="1"/>
          <w:color w:val="auto"/>
        </w:rPr>
      </w:pPr>
    </w:p>
    <w:p>
      <w:pPr>
        <w:ind w:left="1020" w:hanging="322"/>
        <w:spacing w:after="0"/>
        <w:tabs>
          <w:tab w:leader="none" w:pos="10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88" w:lineRule="exact"/>
        <w:rPr>
          <w:rFonts w:ascii="Times New Roman" w:cs="Times New Roman" w:eastAsia="Times New Roman" w:hAnsi="Times New Roman"/>
          <w:sz w:val="18"/>
          <w:szCs w:val="18"/>
          <w:b w:val="1"/>
          <w:bCs w:val="1"/>
          <w:color w:val="auto"/>
        </w:rPr>
      </w:pPr>
    </w:p>
    <w:p>
      <w:pPr>
        <w:jc w:val="both"/>
        <w:ind w:left="1020" w:right="15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loss per share (“LPS”) are computed by dividing net loss by the weighted average number of shares of the Company’s Common Stock outstanding for each period. The calculation of diluted LPS does not include approximately 22,850,682, 28,502,017 and 34,097,716 shares of Common Stock</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020" w:right="99"/>
        <w:spacing w:after="0" w:line="282" w:lineRule="auto"/>
        <w:rPr>
          <w:sz w:val="20"/>
          <w:szCs w:val="20"/>
          <w:color w:val="auto"/>
        </w:rPr>
      </w:pPr>
      <w:r>
        <w:rPr>
          <w:rFonts w:ascii="Times New Roman" w:cs="Times New Roman" w:eastAsia="Times New Roman" w:hAnsi="Times New Roman"/>
          <w:sz w:val="18"/>
          <w:szCs w:val="18"/>
          <w:color w:val="auto"/>
        </w:rPr>
        <w:t>underlying outstanding options, warrants and convertible notes for the fiscal years ended December 31, 2020, 2021 and 2022, respectively, because the effect would be anti-dilutive.</w:t>
      </w:r>
    </w:p>
    <w:p>
      <w:pPr>
        <w:spacing w:after="0" w:line="117" w:lineRule="exact"/>
        <w:rPr>
          <w:sz w:val="20"/>
          <w:szCs w:val="20"/>
          <w:color w:val="auto"/>
        </w:rPr>
      </w:pPr>
    </w:p>
    <w:p>
      <w:pPr>
        <w:ind w:left="1020" w:hanging="322"/>
        <w:spacing w:after="0"/>
        <w:tabs>
          <w:tab w:leader="none" w:pos="102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notes</w:t>
      </w:r>
    </w:p>
    <w:p>
      <w:pPr>
        <w:spacing w:after="0" w:line="188" w:lineRule="exact"/>
        <w:rPr>
          <w:rFonts w:ascii="Times New Roman" w:cs="Times New Roman" w:eastAsia="Times New Roman" w:hAnsi="Times New Roman"/>
          <w:sz w:val="18"/>
          <w:szCs w:val="18"/>
          <w:b w:val="1"/>
          <w:bCs w:val="1"/>
          <w:color w:val="auto"/>
        </w:rPr>
      </w:pPr>
    </w:p>
    <w:p>
      <w:pPr>
        <w:ind w:left="1020" w:right="179"/>
        <w:spacing w:after="0" w:line="26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outstanding convertible notes are accounted for using the guidance set forth in the Financial Accounting Standards Board (“FASB”) ASC 815 requiring that the Company determine whether the embedded conversion option must be separated and accounted for separately. ASC 470-20 regarding debt with conversion and other options requires the issuer of a convertible debt instrument that may be settled in cash upon conversion to separately account for the liability (debt) and equity (conversion option) components of the instrument in a manner that reflects the issuer’s nonconvertible debt borrowing rate. The Company’s outstanding 7.50% Senior Secured Convertible Notes due 2021 (the “2021 Notes”) were accounted for partially as liability and equity components of the instrument and partially as a debt host contract with an embedded derivative resulting from the conversion feature. During the year ended December 31, 2017, the embedded derivative was reclassified to additional paid in capital. The Company’s outstanding 2024 Notes were accounted for as a liability (debt) and equity component (conversion option) as the convertible notes may be settled wholly or partly in cash, at the option of the Company, when converted.</w:t>
      </w:r>
    </w:p>
    <w:p>
      <w:pPr>
        <w:spacing w:after="0" w:line="151" w:lineRule="exact"/>
        <w:rPr>
          <w:rFonts w:ascii="Times New Roman" w:cs="Times New Roman" w:eastAsia="Times New Roman" w:hAnsi="Times New Roman"/>
          <w:sz w:val="18"/>
          <w:szCs w:val="18"/>
          <w:b w:val="1"/>
          <w:bCs w:val="1"/>
          <w:color w:val="auto"/>
        </w:rPr>
      </w:pPr>
    </w:p>
    <w:p>
      <w:pPr>
        <w:ind w:left="1020" w:right="19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Issuance costs regarding the issuance of the 2021 Notes, as well as the debt discount and debt issuance costs from the issuance of the 2024 Notes, were deferred and amortized over the applicable convertible notes period using the effective interest rate.</w:t>
      </w:r>
    </w:p>
    <w:p>
      <w:pPr>
        <w:spacing w:after="0" w:line="135" w:lineRule="exact"/>
        <w:rPr>
          <w:rFonts w:ascii="Times New Roman" w:cs="Times New Roman" w:eastAsia="Times New Roman" w:hAnsi="Times New Roman"/>
          <w:sz w:val="18"/>
          <w:szCs w:val="18"/>
          <w:b w:val="1"/>
          <w:bCs w:val="1"/>
          <w:color w:val="auto"/>
        </w:rPr>
      </w:pPr>
    </w:p>
    <w:p>
      <w:pPr>
        <w:jc w:val="both"/>
        <w:ind w:left="1020" w:right="579"/>
        <w:spacing w:after="0" w:line="3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As of December 31, 2022, a total of $28.75 million aggregate principal amount of the 2024 Notes were outstanding. In addition, as of December 31, 2022 and 2021, none of the 2021 Notes were outstanding.</w:t>
      </w:r>
    </w:p>
    <w:p>
      <w:pPr>
        <w:spacing w:after="0" w:line="95" w:lineRule="exact"/>
        <w:rPr>
          <w:rFonts w:ascii="Times New Roman" w:cs="Times New Roman" w:eastAsia="Times New Roman" w:hAnsi="Times New Roman"/>
          <w:sz w:val="18"/>
          <w:szCs w:val="18"/>
          <w:b w:val="1"/>
          <w:bCs w:val="1"/>
          <w:color w:val="auto"/>
        </w:rPr>
      </w:pPr>
    </w:p>
    <w:p>
      <w:pPr>
        <w:ind w:left="1020" w:hanging="322"/>
        <w:spacing w:after="0"/>
        <w:tabs>
          <w:tab w:leader="none" w:pos="102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02" w:lineRule="exact"/>
        <w:rPr>
          <w:rFonts w:ascii="Times New Roman" w:cs="Times New Roman" w:eastAsia="Times New Roman" w:hAnsi="Times New Roman"/>
          <w:sz w:val="18"/>
          <w:szCs w:val="18"/>
          <w:b w:val="1"/>
          <w:bCs w:val="1"/>
          <w:color w:val="auto"/>
        </w:rPr>
      </w:pPr>
    </w:p>
    <w:p>
      <w:pPr>
        <w:ind w:left="1020" w:right="13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Leases are classified as finance or operating, with classification affecting the pattern and classification of expense recognition in the statement of operations. The Company determines if an arrangement is a lease at inception. Lease classification is governed by five criteria in ASC 842-10-25-2. If any of these five criteria is met, the Company classifies the lease as a finance lease. Otherwise, the Company classifies the lease as an operating lease. The Company does not have any finance leases.</w:t>
      </w:r>
    </w:p>
    <w:p>
      <w:pPr>
        <w:spacing w:after="0" w:line="142" w:lineRule="exact"/>
        <w:rPr>
          <w:rFonts w:ascii="Times New Roman" w:cs="Times New Roman" w:eastAsia="Times New Roman" w:hAnsi="Times New Roman"/>
          <w:sz w:val="18"/>
          <w:szCs w:val="18"/>
          <w:b w:val="1"/>
          <w:bCs w:val="1"/>
          <w:color w:val="auto"/>
        </w:rPr>
      </w:pPr>
    </w:p>
    <w:p>
      <w:pPr>
        <w:ind w:left="1020" w:right="15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Operating leases are included in operating lease right-of-use (“ROU”) assets and operating lease liabilities in the consolidated balance sheets.</w:t>
      </w:r>
    </w:p>
    <w:p>
      <w:pPr>
        <w:spacing w:after="0" w:line="121" w:lineRule="exact"/>
        <w:rPr>
          <w:rFonts w:ascii="Times New Roman" w:cs="Times New Roman" w:eastAsia="Times New Roman" w:hAnsi="Times New Roman"/>
          <w:sz w:val="18"/>
          <w:szCs w:val="18"/>
          <w:b w:val="1"/>
          <w:bCs w:val="1"/>
          <w:color w:val="auto"/>
        </w:rPr>
      </w:pPr>
    </w:p>
    <w:p>
      <w:pPr>
        <w:ind w:left="1020" w:right="21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arising from the lease. Operating lease ROU assets and liabilities are recognized at the commencement date based on the present value of lease payments over the lease term. The Company uses its incremental borrowing rate based on the information available at the commencement date to determine the present value of the lease payments.</w:t>
      </w:r>
    </w:p>
    <w:p>
      <w:pPr>
        <w:spacing w:after="0" w:line="156" w:lineRule="exact"/>
        <w:rPr>
          <w:rFonts w:ascii="Times New Roman" w:cs="Times New Roman" w:eastAsia="Times New Roman" w:hAnsi="Times New Roman"/>
          <w:sz w:val="18"/>
          <w:szCs w:val="18"/>
          <w:b w:val="1"/>
          <w:bCs w:val="1"/>
          <w:color w:val="auto"/>
        </w:rPr>
      </w:pPr>
    </w:p>
    <w:p>
      <w:pPr>
        <w:ind w:left="1020" w:right="33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elected the short-term lease recognition exemption for all leases with a term shorter than 12 months. This means, for those leases, the Company does not recognize ROU assets or lease liabilities.</w:t>
      </w:r>
    </w:p>
    <w:p>
      <w:pPr>
        <w:spacing w:after="0" w:line="121" w:lineRule="exact"/>
        <w:rPr>
          <w:rFonts w:ascii="Times New Roman" w:cs="Times New Roman" w:eastAsia="Times New Roman" w:hAnsi="Times New Roman"/>
          <w:sz w:val="18"/>
          <w:szCs w:val="18"/>
          <w:b w:val="1"/>
          <w:bCs w:val="1"/>
          <w:color w:val="auto"/>
        </w:rPr>
      </w:pPr>
    </w:p>
    <w:p>
      <w:pPr>
        <w:ind w:left="1020" w:right="15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Lease terms include options to extend or terminate the lease when it is reasonably certain that the Company will either exercise or not exercise the option to renew or terminate the lease. The Company recognizes lease expenses over the lease term on a straight-line basis.</w:t>
      </w:r>
    </w:p>
    <w:p>
      <w:pPr>
        <w:spacing w:after="0" w:line="135" w:lineRule="exact"/>
        <w:rPr>
          <w:rFonts w:ascii="Times New Roman" w:cs="Times New Roman" w:eastAsia="Times New Roman" w:hAnsi="Times New Roman"/>
          <w:sz w:val="18"/>
          <w:szCs w:val="18"/>
          <w:b w:val="1"/>
          <w:bCs w:val="1"/>
          <w:color w:val="auto"/>
        </w:rPr>
      </w:pPr>
    </w:p>
    <w:p>
      <w:pPr>
        <w:ind w:left="1020" w:right="17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applies the portfolio approach to account for the operating lease ROU assets and liabilities for certain car leases and incremental borrowing rates.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980" w:hanging="282"/>
        <w:spacing w:after="0"/>
        <w:tabs>
          <w:tab w:leader="none" w:pos="98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pronouncements</w:t>
      </w:r>
    </w:p>
    <w:p>
      <w:pPr>
        <w:spacing w:after="0" w:line="1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87" w:lineRule="exact"/>
        <w:rPr>
          <w:sz w:val="20"/>
          <w:szCs w:val="20"/>
          <w:color w:val="auto"/>
        </w:rPr>
      </w:pPr>
    </w:p>
    <w:p>
      <w:pPr>
        <w:ind w:left="1020" w:right="79"/>
        <w:spacing w:after="0" w:line="252" w:lineRule="auto"/>
        <w:rPr>
          <w:sz w:val="20"/>
          <w:szCs w:val="20"/>
          <w:color w:val="auto"/>
        </w:rPr>
      </w:pPr>
      <w:r>
        <w:rPr>
          <w:rFonts w:ascii="Times New Roman" w:cs="Times New Roman" w:eastAsia="Times New Roman" w:hAnsi="Times New Roman"/>
          <w:sz w:val="18"/>
          <w:szCs w:val="18"/>
          <w:color w:val="auto"/>
        </w:rPr>
        <w:t>In March 2020, the FASB issued ASU 2020-04, “Reference Rate Reform (Topic 848) - Facilitation of the Effects of Reference Rate Reform on Financial Reporting.” In addition, in January 2021, the FASB issued ASU 2021-01, “Reference Rate Reform (Topic 848) - Scope.” The amendments in these ASUs apply to all entities that have contracts, hedging relationships, and other transactions that reference LIBOR or another reference rate expected to be discontinued because of reference rate reform. Together, these ASUs provide optional expedients and exceptions for applying generally accepted accounting principles (GAAP) to contracts, hedging relationships, and other transactions affected by reference rate reform if certain criteria are met. The expedients and exceptions provided by the amendments do not apply to contract modifications made and hedging relationships entered into or evaluated after December 31, 2022, except for hedging relationships existing as of December 31, 2022, that an entity has elected certain optional expedients for and that are retained through the end of the hedging relationship. These ASUs were effective upon issuance and may be applied prospectively to contract modifications and hedging relationships entered into or evaluated through December 31, 2022. The adoption of this standard did not have a material impact on the Company’s consolidated financial statements.</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187" w:lineRule="exact"/>
        <w:rPr>
          <w:sz w:val="20"/>
          <w:szCs w:val="20"/>
          <w:color w:val="auto"/>
        </w:rPr>
      </w:pPr>
    </w:p>
    <w:p>
      <w:pPr>
        <w:ind w:left="1020" w:right="179"/>
        <w:spacing w:after="0" w:line="254" w:lineRule="auto"/>
        <w:rPr>
          <w:sz w:val="20"/>
          <w:szCs w:val="20"/>
          <w:color w:val="auto"/>
        </w:rPr>
      </w:pPr>
      <w:r>
        <w:rPr>
          <w:rFonts w:ascii="Times New Roman" w:cs="Times New Roman" w:eastAsia="Times New Roman" w:hAnsi="Times New Roman"/>
          <w:sz w:val="18"/>
          <w:szCs w:val="18"/>
          <w:color w:val="auto"/>
        </w:rPr>
        <w:t>In August 2020, the FASB issued ASU 2020-06 “Debt – Debt with Conversion and Other Options (Subtopic 470-20) and Derivatives and Hedging – Contracts in Entity’s Own Equity (Subtopic 815 – 40).” This guidance simplifies the accounting for certain financial instruments with characteristics of liabilities and equity, including convertible instruments and contracts on an entity’s own equity. The amendments to this guidance are effective for fiscal years beginning after December 15, 2023, and interim periods within those fiscal years. Early adoption is permitted, but no earlier than fiscal years beginning after December 15, 2020, including interim periods within those fiscal years. The Company is currently evaluating the impact of the adoption of this standard on its consolidated financial statements.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 COMMERCIALIZATION AGREEMENTS</w:t>
      </w:r>
    </w:p>
    <w:p>
      <w:pPr>
        <w:spacing w:after="0" w:line="202" w:lineRule="exact"/>
        <w:rPr>
          <w:sz w:val="20"/>
          <w:szCs w:val="20"/>
          <w:color w:val="auto"/>
        </w:rPr>
      </w:pPr>
    </w:p>
    <w:p>
      <w:pPr>
        <w:ind w:left="1340" w:right="239" w:hanging="318"/>
        <w:spacing w:after="0" w:line="261" w:lineRule="auto"/>
        <w:tabs>
          <w:tab w:leader="none" w:pos="1331"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30, 2009, Protalix Ltd. and Pfizer entered into the Pfizer Agreement (as amended in June 2013) pursuant to which Pfizer was granted an exclusive, worldwide license to develop and commercialize taliglucerase alfa, except for Israel and Brazil. Under the Pfizer Agreement Protalix was entitled to 40% of the results (profits or losses) earned on Pfizer’s sales of taliglucerase alfa.</w:t>
      </w:r>
    </w:p>
    <w:p>
      <w:pPr>
        <w:spacing w:after="0" w:line="139" w:lineRule="exact"/>
        <w:rPr>
          <w:rFonts w:ascii="Times New Roman" w:cs="Times New Roman" w:eastAsia="Times New Roman" w:hAnsi="Times New Roman"/>
          <w:sz w:val="18"/>
          <w:szCs w:val="18"/>
          <w:b w:val="1"/>
          <w:bCs w:val="1"/>
          <w:color w:val="auto"/>
        </w:rPr>
      </w:pPr>
    </w:p>
    <w:p>
      <w:pPr>
        <w:ind w:left="1340" w:right="15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October 2015, the Company entered into the Amended Pfizer Agreement with Pfizer. Pursuant to the amendment, the Company granted Pfizer an exclusive license in the entire world, including Israel but excluding Brazil. Pfizer acquired all the information, knowledge and permission to manufacture and sell Elelyso.</w:t>
      </w:r>
    </w:p>
    <w:p>
      <w:pPr>
        <w:spacing w:after="0" w:line="139" w:lineRule="exact"/>
        <w:rPr>
          <w:rFonts w:ascii="Times New Roman" w:cs="Times New Roman" w:eastAsia="Times New Roman" w:hAnsi="Times New Roman"/>
          <w:sz w:val="18"/>
          <w:szCs w:val="18"/>
          <w:b w:val="1"/>
          <w:bCs w:val="1"/>
          <w:color w:val="auto"/>
        </w:rPr>
      </w:pPr>
    </w:p>
    <w:p>
      <w:pPr>
        <w:ind w:left="1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Protalix Ltd. also agreed to provide Pfizer with:</w:t>
      </w:r>
    </w:p>
    <w:p>
      <w:pPr>
        <w:spacing w:after="0" w:line="198" w:lineRule="exact"/>
        <w:rPr>
          <w:rFonts w:ascii="Times New Roman" w:cs="Times New Roman" w:eastAsia="Times New Roman" w:hAnsi="Times New Roman"/>
          <w:sz w:val="18"/>
          <w:szCs w:val="18"/>
          <w:b w:val="1"/>
          <w:bCs w:val="1"/>
          <w:color w:val="auto"/>
        </w:rPr>
      </w:pPr>
    </w:p>
    <w:p>
      <w:pPr>
        <w:ind w:left="1620" w:right="439" w:hanging="247"/>
        <w:spacing w:after="0" w:line="282" w:lineRule="auto"/>
        <w:tabs>
          <w:tab w:leader="none" w:pos="16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supply of the drug substance for its incorporation into the licensed product in consideration of an agreed price per unit.</w:t>
      </w:r>
    </w:p>
    <w:p>
      <w:pPr>
        <w:spacing w:after="0" w:line="121" w:lineRule="exact"/>
        <w:rPr>
          <w:rFonts w:ascii="Times New Roman" w:cs="Times New Roman" w:eastAsia="Times New Roman" w:hAnsi="Times New Roman"/>
          <w:sz w:val="18"/>
          <w:szCs w:val="18"/>
          <w:color w:val="auto"/>
        </w:rPr>
      </w:pPr>
    </w:p>
    <w:p>
      <w:pPr>
        <w:ind w:left="1700" w:right="139" w:hanging="327"/>
        <w:spacing w:after="0" w:line="312" w:lineRule="auto"/>
        <w:tabs>
          <w:tab w:leader="none" w:pos="170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Assistance in arranging for the manufacture of the drug substance by Pfizer or by alternative supplier chosen by Pfizer in consideration of an agreed hourly rate plus reimbursement of expenses.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340" w:right="79"/>
        <w:spacing w:after="0" w:line="253" w:lineRule="auto"/>
        <w:rPr>
          <w:sz w:val="20"/>
          <w:szCs w:val="20"/>
          <w:color w:val="auto"/>
        </w:rPr>
      </w:pPr>
      <w:r>
        <w:rPr>
          <w:rFonts w:ascii="Times New Roman" w:cs="Times New Roman" w:eastAsia="Times New Roman" w:hAnsi="Times New Roman"/>
          <w:sz w:val="18"/>
          <w:szCs w:val="18"/>
          <w:color w:val="auto"/>
        </w:rPr>
        <w:t>Promissory note – as of the date of the amendment, the Company owed Pfizer $4.3 million as a result of the accumulated losses incurred by the Collaboration Operation. Following the new agreements, the Company committed to pay Pfizer the principal sum of the debt at the earlier of (a) November 12, 2020 and (b) the date upon which it becomes due pursuant to any event of default, as defined. In September 2020, the Company amended the outstanding $4.3 million promissory note payable to Pfizer by November 2020 to extend the maturity date to the earlier of (a) January 31, 2022 and (b) the date that the Company receives any milestone payment from Chiesi, if at all, subject to certain conditions and exceptions. The amendment also provides that the Company shall make a payment of $430,000 to Pfizer. The payment was creditable against the principal amount of the note, in whole or in part, if the Company satisfied the note in full on or prior to September 30, 2021, depending on the date the note is satisfied. On March 29, 2021, the Company paid approximately $4.0 million to Pfizer satisfying the promissory note in full.</w:t>
      </w:r>
    </w:p>
    <w:p>
      <w:pPr>
        <w:spacing w:after="0" w:line="149" w:lineRule="exact"/>
        <w:rPr>
          <w:sz w:val="20"/>
          <w:szCs w:val="20"/>
          <w:color w:val="auto"/>
        </w:rPr>
      </w:pPr>
    </w:p>
    <w:p>
      <w:pPr>
        <w:ind w:left="1340" w:right="299" w:hanging="318"/>
        <w:spacing w:after="0" w:line="256" w:lineRule="auto"/>
        <w:tabs>
          <w:tab w:leader="none" w:pos="1341"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October 2017, Protalix Ltd. entered into the Chiesi Ex-U.S. Agreement with respect to the commercialization of pegunigalsidase alfa (hereafter – the drug) for the treatment of Fabry disease. Under the terms of the Chiesi Agreement, Protalix Ltd. granted to Chiesi exclusive licensing rights for the commercialization of the drug for all markets outside of the United States. At the effective date, Protalix Ltd. had maintained the exclusive commercialization rights to the drug in the United States, which rights were subsequently granted to Chiesi in July 2018.</w:t>
      </w:r>
    </w:p>
    <w:p>
      <w:pPr>
        <w:spacing w:after="0" w:line="146" w:lineRule="exact"/>
        <w:rPr>
          <w:rFonts w:ascii="Times New Roman" w:cs="Times New Roman" w:eastAsia="Times New Roman" w:hAnsi="Times New Roman"/>
          <w:sz w:val="18"/>
          <w:szCs w:val="18"/>
          <w:b w:val="1"/>
          <w:bCs w:val="1"/>
          <w:color w:val="auto"/>
        </w:rPr>
      </w:pPr>
    </w:p>
    <w:p>
      <w:pPr>
        <w:ind w:left="1340" w:right="179"/>
        <w:spacing w:after="0" w:line="3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Protalix Ltd. will be mainly responsible for (i) continuing the development of the drug until a regulatory approval is granted and (ii) manufacture and supply the drug to Chiesi, based on Chiesi’s requests.</w:t>
      </w:r>
    </w:p>
    <w:p>
      <w:pPr>
        <w:spacing w:after="0" w:line="112" w:lineRule="exact"/>
        <w:rPr>
          <w:rFonts w:ascii="Times New Roman" w:cs="Times New Roman" w:eastAsia="Times New Roman" w:hAnsi="Times New Roman"/>
          <w:sz w:val="18"/>
          <w:szCs w:val="18"/>
          <w:b w:val="1"/>
          <w:bCs w:val="1"/>
          <w:color w:val="auto"/>
        </w:rPr>
      </w:pPr>
    </w:p>
    <w:p>
      <w:pPr>
        <w:ind w:left="1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consideration consists of the following:</w:t>
      </w:r>
    </w:p>
    <w:p>
      <w:pPr>
        <w:spacing w:after="0" w:line="184" w:lineRule="exact"/>
        <w:rPr>
          <w:rFonts w:ascii="Times New Roman" w:cs="Times New Roman" w:eastAsia="Times New Roman" w:hAnsi="Times New Roman"/>
          <w:sz w:val="18"/>
          <w:szCs w:val="18"/>
          <w:b w:val="1"/>
          <w:bCs w:val="1"/>
          <w:color w:val="auto"/>
        </w:rPr>
      </w:pPr>
    </w:p>
    <w:p>
      <w:pPr>
        <w:ind w:left="1700" w:hanging="327"/>
        <w:spacing w:after="0"/>
        <w:tabs>
          <w:tab w:leader="none" w:pos="17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Upfront, non-refundable payment of $25.0 million.</w:t>
      </w:r>
    </w:p>
    <w:p>
      <w:pPr>
        <w:spacing w:after="0" w:line="184" w:lineRule="exact"/>
        <w:rPr>
          <w:rFonts w:ascii="Times New Roman" w:cs="Times New Roman" w:eastAsia="Times New Roman" w:hAnsi="Times New Roman"/>
          <w:sz w:val="18"/>
          <w:szCs w:val="18"/>
          <w:color w:val="auto"/>
        </w:rPr>
      </w:pPr>
    </w:p>
    <w:p>
      <w:pPr>
        <w:ind w:left="1700" w:hanging="327"/>
        <w:spacing w:after="0"/>
        <w:tabs>
          <w:tab w:leader="none" w:pos="17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payments of up to $25.0 million in development costs, capped at $10.0 million per year.</w:t>
      </w:r>
    </w:p>
    <w:p>
      <w:pPr>
        <w:spacing w:after="0" w:line="198" w:lineRule="exact"/>
        <w:rPr>
          <w:rFonts w:ascii="Times New Roman" w:cs="Times New Roman" w:eastAsia="Times New Roman" w:hAnsi="Times New Roman"/>
          <w:sz w:val="18"/>
          <w:szCs w:val="18"/>
          <w:color w:val="auto"/>
        </w:rPr>
      </w:pPr>
    </w:p>
    <w:p>
      <w:pPr>
        <w:ind w:left="1700" w:hanging="327"/>
        <w:spacing w:after="0"/>
        <w:tabs>
          <w:tab w:leader="none" w:pos="17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for additional studies, as may be approved from time to time by Chiesi.</w:t>
      </w:r>
    </w:p>
    <w:p>
      <w:pPr>
        <w:spacing w:after="0" w:line="184" w:lineRule="exact"/>
        <w:rPr>
          <w:rFonts w:ascii="Times New Roman" w:cs="Times New Roman" w:eastAsia="Times New Roman" w:hAnsi="Times New Roman"/>
          <w:sz w:val="18"/>
          <w:szCs w:val="18"/>
          <w:color w:val="auto"/>
        </w:rPr>
      </w:pPr>
    </w:p>
    <w:p>
      <w:pPr>
        <w:ind w:left="1700" w:right="539" w:hanging="327"/>
        <w:spacing w:after="0" w:line="282" w:lineRule="auto"/>
        <w:tabs>
          <w:tab w:leader="none" w:pos="17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payments of up to $320.0 million with respect to certain regulatory and commercial events as defined in the Chiesi Agreement.</w:t>
      </w:r>
    </w:p>
    <w:p>
      <w:pPr>
        <w:spacing w:after="0" w:line="121" w:lineRule="exact"/>
        <w:rPr>
          <w:rFonts w:ascii="Times New Roman" w:cs="Times New Roman" w:eastAsia="Times New Roman" w:hAnsi="Times New Roman"/>
          <w:sz w:val="18"/>
          <w:szCs w:val="18"/>
          <w:color w:val="auto"/>
        </w:rPr>
      </w:pPr>
    </w:p>
    <w:p>
      <w:pPr>
        <w:ind w:left="1700" w:right="239" w:hanging="327"/>
        <w:spacing w:after="0" w:line="312" w:lineRule="auto"/>
        <w:tabs>
          <w:tab w:leader="none" w:pos="1700"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payments as consideration for the supply of the drug. The payment will vary from 15% to 35% of Chiesi’s average selling price of the drug, depending on the amount of annual sales.</w:t>
      </w:r>
    </w:p>
    <w:p>
      <w:pPr>
        <w:spacing w:after="0" w:line="112" w:lineRule="exact"/>
        <w:rPr>
          <w:rFonts w:ascii="Times New Roman" w:cs="Times New Roman" w:eastAsia="Times New Roman" w:hAnsi="Times New Roman"/>
          <w:sz w:val="17"/>
          <w:szCs w:val="17"/>
          <w:color w:val="auto"/>
        </w:rPr>
      </w:pPr>
    </w:p>
    <w:p>
      <w:pPr>
        <w:ind w:left="1700" w:hanging="327"/>
        <w:spacing w:after="0"/>
        <w:tabs>
          <w:tab w:leader="none" w:pos="17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Protalix Ltd. will be the sole manufacturer of the drug.</w:t>
      </w:r>
    </w:p>
    <w:p>
      <w:pPr>
        <w:spacing w:after="0" w:line="18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Chiesi does not have sublicensing rights (except for certain territories).</w:t>
      </w:r>
    </w:p>
    <w:p>
      <w:pPr>
        <w:spacing w:after="0" w:line="185" w:lineRule="exact"/>
        <w:rPr>
          <w:sz w:val="20"/>
          <w:szCs w:val="20"/>
          <w:color w:val="auto"/>
        </w:rPr>
      </w:pPr>
    </w:p>
    <w:p>
      <w:pPr>
        <w:ind w:left="1340" w:right="59"/>
        <w:spacing w:after="0" w:line="255" w:lineRule="auto"/>
        <w:rPr>
          <w:sz w:val="20"/>
          <w:szCs w:val="20"/>
          <w:color w:val="auto"/>
        </w:rPr>
      </w:pPr>
      <w:r>
        <w:rPr>
          <w:rFonts w:ascii="Times New Roman" w:cs="Times New Roman" w:eastAsia="Times New Roman" w:hAnsi="Times New Roman"/>
          <w:sz w:val="18"/>
          <w:szCs w:val="18"/>
          <w:color w:val="auto"/>
        </w:rPr>
        <w:t>In July 2018, Protalix Ltd. entered into the Chiesi U.S. Agreement with respect to the commercialization of the drug for the treatment of Fabry disease. Under the terms of the Chiesi U.S. Agreement, Protalix Ltd. granted to Chiesi exclusive licensing rights for the commercialization of the drug for all markets in the United States. Protalix Ltd. will be mainly responsible for (i) continuing the development of the drug until a regulatory approval is granted, (ii) continuing certain clinical development efforts in relation to the drug after a regulatory approval is granted and (iii) manufacture and supply the drug to Chiesi, based on Chiesi’s requests.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The consideration consists of the following:</w:t>
      </w:r>
    </w:p>
    <w:p>
      <w:pPr>
        <w:spacing w:after="0" w:line="185" w:lineRule="exact"/>
        <w:rPr>
          <w:sz w:val="20"/>
          <w:szCs w:val="20"/>
          <w:color w:val="auto"/>
        </w:rPr>
      </w:pPr>
    </w:p>
    <w:p>
      <w:pPr>
        <w:ind w:left="1700" w:hanging="327"/>
        <w:spacing w:after="0"/>
        <w:tabs>
          <w:tab w:leader="none" w:pos="17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Upfront, non-refundable payment of $25.0 million.</w:t>
      </w:r>
    </w:p>
    <w:p>
      <w:pPr>
        <w:spacing w:after="0" w:line="184" w:lineRule="exact"/>
        <w:rPr>
          <w:rFonts w:ascii="Times New Roman" w:cs="Times New Roman" w:eastAsia="Times New Roman" w:hAnsi="Times New Roman"/>
          <w:sz w:val="18"/>
          <w:szCs w:val="18"/>
          <w:color w:val="auto"/>
        </w:rPr>
      </w:pPr>
    </w:p>
    <w:p>
      <w:pPr>
        <w:ind w:left="1700" w:hanging="327"/>
        <w:spacing w:after="0"/>
        <w:tabs>
          <w:tab w:leader="none" w:pos="17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payments of up to $20.0 million in development costs, capped at $7.5 million per year.</w:t>
      </w:r>
    </w:p>
    <w:p>
      <w:pPr>
        <w:spacing w:after="0" w:line="198" w:lineRule="exact"/>
        <w:rPr>
          <w:rFonts w:ascii="Times New Roman" w:cs="Times New Roman" w:eastAsia="Times New Roman" w:hAnsi="Times New Roman"/>
          <w:sz w:val="18"/>
          <w:szCs w:val="18"/>
          <w:color w:val="auto"/>
        </w:rPr>
      </w:pPr>
    </w:p>
    <w:p>
      <w:pPr>
        <w:ind w:left="1700" w:hanging="327"/>
        <w:spacing w:after="0"/>
        <w:tabs>
          <w:tab w:leader="none" w:pos="17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for additional studies, as may be approved from time to time by Chiesi.</w:t>
      </w:r>
    </w:p>
    <w:p>
      <w:pPr>
        <w:spacing w:after="0" w:line="184" w:lineRule="exact"/>
        <w:rPr>
          <w:rFonts w:ascii="Times New Roman" w:cs="Times New Roman" w:eastAsia="Times New Roman" w:hAnsi="Times New Roman"/>
          <w:sz w:val="18"/>
          <w:szCs w:val="18"/>
          <w:color w:val="auto"/>
        </w:rPr>
      </w:pPr>
    </w:p>
    <w:p>
      <w:pPr>
        <w:ind w:left="1700" w:right="539" w:hanging="327"/>
        <w:spacing w:after="0" w:line="312" w:lineRule="auto"/>
        <w:tabs>
          <w:tab w:leader="none" w:pos="17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Milestone payments of up to $760.0 million with respect to certain regulatory and commercial events as defined in the Chiesi Agreement, which has been reduced to $735.0 million.</w:t>
      </w:r>
    </w:p>
    <w:p>
      <w:pPr>
        <w:spacing w:after="0" w:line="99" w:lineRule="exact"/>
        <w:rPr>
          <w:rFonts w:ascii="Times New Roman" w:cs="Times New Roman" w:eastAsia="Times New Roman" w:hAnsi="Times New Roman"/>
          <w:sz w:val="17"/>
          <w:szCs w:val="17"/>
          <w:color w:val="auto"/>
        </w:rPr>
      </w:pPr>
    </w:p>
    <w:p>
      <w:pPr>
        <w:ind w:left="1700" w:right="239" w:hanging="327"/>
        <w:spacing w:after="0" w:line="312" w:lineRule="auto"/>
        <w:tabs>
          <w:tab w:leader="none" w:pos="17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payments as consideration for the supply of the drug. The payment will vary from 15% to 40% of Chiesi’s average selling price of the drug, depending on the amount of annual sales.</w:t>
      </w:r>
    </w:p>
    <w:p>
      <w:pPr>
        <w:spacing w:after="0" w:line="112" w:lineRule="exact"/>
        <w:rPr>
          <w:rFonts w:ascii="Times New Roman" w:cs="Times New Roman" w:eastAsia="Times New Roman" w:hAnsi="Times New Roman"/>
          <w:sz w:val="17"/>
          <w:szCs w:val="17"/>
          <w:color w:val="auto"/>
        </w:rPr>
      </w:pPr>
    </w:p>
    <w:p>
      <w:pPr>
        <w:ind w:left="1700" w:hanging="327"/>
        <w:spacing w:after="0"/>
        <w:tabs>
          <w:tab w:leader="none" w:pos="17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Protalix will be the sole manufacturer of the drug.</w:t>
      </w:r>
    </w:p>
    <w:p>
      <w:pPr>
        <w:spacing w:after="0" w:line="18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Chiesi does not have sublicensing rights.</w:t>
      </w:r>
    </w:p>
    <w:p>
      <w:pPr>
        <w:spacing w:after="0" w:line="185" w:lineRule="exact"/>
        <w:rPr>
          <w:sz w:val="20"/>
          <w:szCs w:val="20"/>
          <w:color w:val="auto"/>
        </w:rPr>
      </w:pPr>
    </w:p>
    <w:p>
      <w:pPr>
        <w:ind w:left="1340" w:right="299"/>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has received, or is entitled to receive, the following payments from Chiesi:</w:t>
      </w:r>
    </w:p>
    <w:p>
      <w:pPr>
        <w:spacing w:after="0" w:line="135" w:lineRule="exact"/>
        <w:rPr>
          <w:sz w:val="20"/>
          <w:szCs w:val="20"/>
          <w:color w:val="auto"/>
        </w:rPr>
      </w:pPr>
    </w:p>
    <w:p>
      <w:pPr>
        <w:ind w:left="1700" w:hanging="327"/>
        <w:spacing w:after="0"/>
        <w:tabs>
          <w:tab w:leader="none" w:pos="17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Upfront payments equal to $50.0 million, in the aggregate.</w:t>
      </w:r>
    </w:p>
    <w:p>
      <w:pPr>
        <w:spacing w:after="0" w:line="184" w:lineRule="exact"/>
        <w:rPr>
          <w:rFonts w:ascii="Times New Roman" w:cs="Times New Roman" w:eastAsia="Times New Roman" w:hAnsi="Times New Roman"/>
          <w:sz w:val="18"/>
          <w:szCs w:val="18"/>
          <w:color w:val="auto"/>
        </w:rPr>
      </w:pPr>
    </w:p>
    <w:p>
      <w:pPr>
        <w:ind w:left="1700" w:hanging="327"/>
        <w:spacing w:after="0"/>
        <w:tabs>
          <w:tab w:leader="none" w:pos="17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equal to $45.0 million in consideration for development services performed.</w:t>
      </w:r>
    </w:p>
    <w:p>
      <w:pPr>
        <w:spacing w:after="0" w:line="184" w:lineRule="exact"/>
        <w:rPr>
          <w:rFonts w:ascii="Times New Roman" w:cs="Times New Roman" w:eastAsia="Times New Roman" w:hAnsi="Times New Roman"/>
          <w:sz w:val="18"/>
          <w:szCs w:val="18"/>
          <w:color w:val="auto"/>
        </w:rPr>
      </w:pPr>
    </w:p>
    <w:p>
      <w:pPr>
        <w:ind w:left="1700" w:right="379" w:hanging="327"/>
        <w:spacing w:after="0" w:line="282" w:lineRule="auto"/>
        <w:tabs>
          <w:tab w:leader="none" w:pos="17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equal to approximately $48.7 million in connection with the performance of extension studies.</w:t>
      </w:r>
    </w:p>
    <w:p>
      <w:pPr>
        <w:spacing w:after="0" w:line="134" w:lineRule="exact"/>
        <w:rPr>
          <w:rFonts w:ascii="Times New Roman" w:cs="Times New Roman" w:eastAsia="Times New Roman" w:hAnsi="Times New Roman"/>
          <w:sz w:val="18"/>
          <w:szCs w:val="18"/>
          <w:color w:val="auto"/>
        </w:rPr>
      </w:pPr>
    </w:p>
    <w:p>
      <w:pPr>
        <w:ind w:left="1700" w:hanging="327"/>
        <w:spacing w:after="0"/>
        <w:tabs>
          <w:tab w:leader="none" w:pos="17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equal to $10.0 million in lieu of certain milestone payments.</w:t>
      </w:r>
    </w:p>
    <w:p>
      <w:pPr>
        <w:spacing w:after="0" w:line="18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During 2020, 2021 and 2022, the Company recognized revenues of approximately $3.5 million,</w:t>
      </w:r>
    </w:p>
    <w:p>
      <w:pPr>
        <w:spacing w:after="0" w:line="27" w:lineRule="exact"/>
        <w:rPr>
          <w:sz w:val="20"/>
          <w:szCs w:val="20"/>
          <w:color w:val="auto"/>
        </w:rPr>
      </w:pPr>
    </w:p>
    <w:p>
      <w:pPr>
        <w:ind w:left="1340" w:right="199"/>
        <w:spacing w:after="0" w:line="253" w:lineRule="auto"/>
        <w:rPr>
          <w:sz w:val="20"/>
          <w:szCs w:val="20"/>
          <w:color w:val="auto"/>
        </w:rPr>
      </w:pPr>
      <w:r>
        <w:rPr>
          <w:rFonts w:ascii="Times New Roman" w:cs="Times New Roman" w:eastAsia="Times New Roman" w:hAnsi="Times New Roman"/>
          <w:sz w:val="18"/>
          <w:szCs w:val="18"/>
          <w:color w:val="auto"/>
        </w:rPr>
        <w:t>$0.6 million and $1.2 million, respectively, related to the then $10.0 million future milestone payment. The Company assessed the likelihood of achieving the milestone using the most likely amount method and evaluated for the constraint by including in the transaction price variable consideration to the extent that it is probable that a significant reversal in the amount of cumulative revenue recognized will not occur. The $10.0 million payment was received in June 2021.</w:t>
      </w:r>
    </w:p>
    <w:p>
      <w:pPr>
        <w:spacing w:after="0" w:line="146" w:lineRule="exact"/>
        <w:rPr>
          <w:sz w:val="20"/>
          <w:szCs w:val="20"/>
          <w:color w:val="auto"/>
        </w:rPr>
      </w:pPr>
    </w:p>
    <w:p>
      <w:pPr>
        <w:ind w:left="1340" w:right="399" w:hanging="318"/>
        <w:spacing w:after="0" w:line="256" w:lineRule="auto"/>
        <w:tabs>
          <w:tab w:leader="none" w:pos="1321"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June 18, 2013, Protalix Ltd. entered into the Brazil Agreement with Fiocruz for BioManguinhos. Fiocruz’s purchases of BioManguinhos alfataliglicerase to date have been significantly below certain agreed upon purchase milestones and, accordingly, the Company has the right to terminate the Brazil Agreement. Notwithstanding, the Company is, at this time, continuing to supply BioManguinhos alfataliglicerase to Fiocruz under the Brazil Agreement, and patients continue to be treated with BioManguinhos alfataliglicerase in Brazil.</w:t>
      </w:r>
    </w:p>
    <w:p>
      <w:pPr>
        <w:spacing w:after="0" w:line="160" w:lineRule="exact"/>
        <w:rPr>
          <w:rFonts w:ascii="Times New Roman" w:cs="Times New Roman" w:eastAsia="Times New Roman" w:hAnsi="Times New Roman"/>
          <w:sz w:val="18"/>
          <w:szCs w:val="18"/>
          <w:b w:val="1"/>
          <w:bCs w:val="1"/>
          <w:color w:val="auto"/>
        </w:rPr>
      </w:pPr>
    </w:p>
    <w:p>
      <w:pPr>
        <w:ind w:left="1340" w:right="79" w:hanging="318"/>
        <w:spacing w:after="0" w:line="250" w:lineRule="auto"/>
        <w:tabs>
          <w:tab w:leader="none" w:pos="1341"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16, 2020, the Company agreed to conduct a feasibility study with Kirin Holdings Company, Limited (“Kirin”) to evaluate the production of a novel complex protein utilizing ProCellEx</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the Company’s proprietary plant cell-based protein expression system. Under the agreement, Kirin was obligated to bear the costs of conducting cell line engineering and protein expression studies on the target protein. In addition, the contract provided Kirin with an option to a future service for which the Company received a non-refundable payment in the amount of $1.0 million. During the year ended December 31, 2021, the Company </w:t>
      </w:r>
      <w:r>
        <w:rPr>
          <w:rFonts w:ascii="Times New Roman" w:cs="Times New Roman" w:eastAsia="Times New Roman" w:hAnsi="Times New Roman"/>
          <w:sz w:val="18"/>
          <w:szCs w:val="18"/>
          <w:color w:val="212529"/>
        </w:rPr>
        <w:t>completed its obligations under the agreement and the agreement expired, including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the </w:t>
      </w:r>
      <w:r>
        <w:rPr>
          <w:rFonts w:ascii="Times New Roman" w:cs="Times New Roman" w:eastAsia="Times New Roman" w:hAnsi="Times New Roman"/>
          <w:sz w:val="18"/>
          <w:szCs w:val="18"/>
          <w:color w:val="000000"/>
        </w:rPr>
        <w:t>o</w:t>
      </w:r>
      <w:r>
        <w:rPr>
          <w:rFonts w:ascii="Times New Roman" w:cs="Times New Roman" w:eastAsia="Times New Roman" w:hAnsi="Times New Roman"/>
          <w:sz w:val="18"/>
          <w:szCs w:val="18"/>
          <w:color w:val="212529"/>
        </w:rPr>
        <w:t>ption to provide additional services. Following the expiration of the option, the Company recognized as revenue the $1.0 million received in March 2020</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 PROPERTY AND EQUIPMENT</w:t>
      </w:r>
    </w:p>
    <w:p>
      <w:pPr>
        <w:spacing w:after="0" w:line="229" w:lineRule="exact"/>
        <w:rPr>
          <w:sz w:val="20"/>
          <w:szCs w:val="20"/>
          <w:color w:val="auto"/>
        </w:rPr>
      </w:pPr>
    </w:p>
    <w:p>
      <w:pPr>
        <w:ind w:left="1020" w:hanging="322"/>
        <w:spacing w:after="0"/>
        <w:tabs>
          <w:tab w:leader="none" w:pos="102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Composition of property and equipment grouped by major classifications is as follows: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5"/>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18,237</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computer equipment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20" w:right="559" w:hanging="322"/>
        <w:spacing w:after="0" w:line="282" w:lineRule="auto"/>
        <w:tabs>
          <w:tab w:leader="none" w:pos="1021"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Depreciation in respect of property and equipment totaled approximately $1.3 million, $1.1 million and $1.1 million for the years ended December 31, 2020, 2021 and 2022,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 INVENTORIES</w:t>
      </w:r>
    </w:p>
    <w:p>
      <w:pPr>
        <w:spacing w:after="0" w:line="189" w:lineRule="exact"/>
        <w:rPr>
          <w:sz w:val="20"/>
          <w:szCs w:val="20"/>
          <w:color w:val="auto"/>
        </w:rPr>
      </w:pPr>
    </w:p>
    <w:p>
      <w:pPr>
        <w:ind w:left="1040" w:hanging="315"/>
        <w:spacing w:after="0"/>
        <w:tabs>
          <w:tab w:leader="none" w:pos="104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Inventories at December 31, 2021 and 2022 consisted of the following:</w:t>
      </w:r>
    </w:p>
    <w:p>
      <w:pPr>
        <w:spacing w:after="0" w:line="19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3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p>
        </w:tc>
        <w:tc>
          <w:tcPr>
            <w:tcW w:w="19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5"/>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500" w:type="dxa"/>
            <w:vAlign w:val="bottom"/>
            <w:gridSpan w:val="2"/>
            <w:vMerge w:val="continue"/>
          </w:tcPr>
          <w:p>
            <w:pPr>
              <w:spacing w:after="0"/>
              <w:rPr>
                <w:sz w:val="12"/>
                <w:szCs w:val="12"/>
                <w:color w:val="auto"/>
              </w:rPr>
            </w:pPr>
          </w:p>
        </w:tc>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0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9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10,618</w:t>
            </w:r>
          </w:p>
        </w:tc>
        <w:tc>
          <w:tcPr>
            <w:tcW w:w="0" w:type="dxa"/>
            <w:vAlign w:val="bottom"/>
          </w:tcPr>
          <w:p>
            <w:pPr>
              <w:spacing w:after="0"/>
              <w:rPr>
                <w:sz w:val="1"/>
                <w:szCs w:val="1"/>
                <w:color w:val="auto"/>
              </w:rPr>
            </w:pPr>
          </w:p>
        </w:tc>
      </w:tr>
      <w:tr>
        <w:trPr>
          <w:trHeight w:val="210"/>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19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20" w:hanging="322"/>
        <w:spacing w:after="0"/>
        <w:tabs>
          <w:tab w:leader="none" w:pos="102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years ended December 31, 2020, 2021 and 2022, the Company recorded approximately</w:t>
      </w:r>
    </w:p>
    <w:p>
      <w:pPr>
        <w:spacing w:after="0" w:line="27" w:lineRule="exact"/>
        <w:rPr>
          <w:rFonts w:ascii="Times New Roman" w:cs="Times New Roman" w:eastAsia="Times New Roman" w:hAnsi="Times New Roman"/>
          <w:sz w:val="18"/>
          <w:szCs w:val="18"/>
          <w:b w:val="1"/>
          <w:bCs w:val="1"/>
          <w:color w:val="auto"/>
        </w:rPr>
      </w:pPr>
    </w:p>
    <w:p>
      <w:pPr>
        <w:ind w:left="1020" w:right="319"/>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$0.3 million, $0.4 million and $0.04 million, respectively, for write-down of inventory under cost of goods sold.</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 LIABILITY FOR EMPLOYEE RIGHTS UPON RETIREMENT</w:t>
      </w:r>
    </w:p>
    <w:p>
      <w:pPr>
        <w:spacing w:after="0" w:line="202" w:lineRule="exact"/>
        <w:rPr>
          <w:sz w:val="20"/>
          <w:szCs w:val="20"/>
          <w:color w:val="auto"/>
        </w:rPr>
      </w:pPr>
    </w:p>
    <w:p>
      <w:pPr>
        <w:ind w:left="700" w:right="199"/>
        <w:spacing w:after="0" w:line="258" w:lineRule="auto"/>
        <w:rPr>
          <w:sz w:val="20"/>
          <w:szCs w:val="20"/>
          <w:color w:val="auto"/>
        </w:rPr>
      </w:pPr>
      <w:r>
        <w:rPr>
          <w:rFonts w:ascii="Times New Roman" w:cs="Times New Roman" w:eastAsia="Times New Roman" w:hAnsi="Times New Roman"/>
          <w:sz w:val="18"/>
          <w:szCs w:val="18"/>
          <w:color w:val="auto"/>
        </w:rPr>
        <w:t>The Israeli Subsidiary is required to make a severance payment upon dismissal of an employee or upon termination of employment in certain circumstances. The severance pay liability to the employees (based upon length of service and the latest monthly salary - one month’s salary for each year employed) is recorded on the Company’s balance sheets under “Liability for employee rights upon retirement.” The liability is recorded as if it were payable at each balance sheet date on an undiscounted basis.</w:t>
      </w:r>
    </w:p>
    <w:p>
      <w:pPr>
        <w:spacing w:after="0" w:line="143" w:lineRule="exact"/>
        <w:rPr>
          <w:sz w:val="20"/>
          <w:szCs w:val="20"/>
          <w:color w:val="auto"/>
        </w:rPr>
      </w:pPr>
    </w:p>
    <w:p>
      <w:pPr>
        <w:ind w:left="700" w:right="299"/>
        <w:spacing w:after="0" w:line="255" w:lineRule="auto"/>
        <w:rPr>
          <w:sz w:val="20"/>
          <w:szCs w:val="20"/>
          <w:color w:val="auto"/>
        </w:rPr>
      </w:pPr>
      <w:r>
        <w:rPr>
          <w:rFonts w:ascii="Times New Roman" w:cs="Times New Roman" w:eastAsia="Times New Roman" w:hAnsi="Times New Roman"/>
          <w:sz w:val="18"/>
          <w:szCs w:val="18"/>
          <w:color w:val="auto"/>
        </w:rPr>
        <w:t>The liability is funded in part from the purchase of insurance policies or by the establishment of pension funds with dedicated deposits in the funds. The amounts used to fund these liabilities are included in the Company’s balance sheets under “Funds in respect of employee rights upon retirement.” These policies are the Company’s assets. However, under labor agreements and subject to certain limitations, any policy may be transferred to the ownership of the individual employee for whose benefit the funds were deposited. In the years ended December 31, 2020, 2021 and 2022, the Company deposited approximately $121,000, $108,000 and $96,000, respectively, with insurance companies in connection with its severance payment obligations.</w:t>
      </w:r>
    </w:p>
    <w:p>
      <w:pPr>
        <w:spacing w:after="0" w:line="148" w:lineRule="exact"/>
        <w:rPr>
          <w:sz w:val="20"/>
          <w:szCs w:val="20"/>
          <w:color w:val="auto"/>
        </w:rPr>
      </w:pPr>
    </w:p>
    <w:p>
      <w:pPr>
        <w:ind w:left="700" w:right="159"/>
        <w:spacing w:after="0" w:line="258" w:lineRule="auto"/>
        <w:rPr>
          <w:sz w:val="20"/>
          <w:szCs w:val="20"/>
          <w:color w:val="auto"/>
        </w:rPr>
      </w:pPr>
      <w:r>
        <w:rPr>
          <w:rFonts w:ascii="Times New Roman" w:cs="Times New Roman" w:eastAsia="Times New Roman" w:hAnsi="Times New Roman"/>
          <w:sz w:val="18"/>
          <w:szCs w:val="18"/>
          <w:color w:val="auto"/>
        </w:rPr>
        <w:t>In accordance with the current employment agreements with certain employees, the Company makes regular deposits with certain insurance companies for accounts controlled by each applicable employee in order to secure the employee’s rights upon retirement. The Company is fully relieved from any severance pay liability with respect to each such employee after it makes the payments on behalf of the employee. The liability accrued in respect of these employees and the amounts funded, as of the respective agreement dates, are not reflected in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700" w:right="159"/>
        <w:spacing w:after="0" w:line="266" w:lineRule="auto"/>
        <w:rPr>
          <w:sz w:val="20"/>
          <w:szCs w:val="20"/>
          <w:color w:val="auto"/>
        </w:rPr>
      </w:pPr>
      <w:r>
        <w:rPr>
          <w:rFonts w:ascii="Times New Roman" w:cs="Times New Roman" w:eastAsia="Times New Roman" w:hAnsi="Times New Roman"/>
          <w:sz w:val="18"/>
          <w:szCs w:val="18"/>
          <w:color w:val="auto"/>
        </w:rPr>
        <w:t>the Company’s balance sheets, as the amounts funded are not under the control and management of the Company and the pension or severance pay risks have been irrevocably transferred to the applicable insurance companies (the “Contribution Plans”).</w:t>
      </w:r>
    </w:p>
    <w:p>
      <w:pPr>
        <w:spacing w:after="0" w:line="135" w:lineRule="exact"/>
        <w:rPr>
          <w:sz w:val="20"/>
          <w:szCs w:val="20"/>
          <w:color w:val="auto"/>
        </w:rPr>
      </w:pPr>
    </w:p>
    <w:p>
      <w:pPr>
        <w:ind w:left="700" w:right="339"/>
        <w:spacing w:after="0" w:line="256" w:lineRule="auto"/>
        <w:rPr>
          <w:sz w:val="20"/>
          <w:szCs w:val="20"/>
          <w:color w:val="auto"/>
        </w:rPr>
      </w:pPr>
      <w:r>
        <w:rPr>
          <w:rFonts w:ascii="Times New Roman" w:cs="Times New Roman" w:eastAsia="Times New Roman" w:hAnsi="Times New Roman"/>
          <w:sz w:val="18"/>
          <w:szCs w:val="18"/>
          <w:color w:val="auto"/>
        </w:rPr>
        <w:t>The amounts of severance pay expenses were approximately $885,000, $990,000 and $945,000 for each of the years ended December 31, 2020, 2021 and 2022, respectively, of which approximately $747,000, $857,000 and $800,000 in the years ended December 31, 2020, 2021 and 2022, respectively, were in respect of the Contribution Plans. Gain (loss) on amounts funded in respect of employee rights upon retirement totaled approximately $28,000, $100,000 and $(3,000) for the years ended December 31, 2020, 2021 and 2022, respectively.</w:t>
      </w:r>
    </w:p>
    <w:p>
      <w:pPr>
        <w:spacing w:after="0" w:line="147" w:lineRule="exact"/>
        <w:rPr>
          <w:sz w:val="20"/>
          <w:szCs w:val="20"/>
          <w:color w:val="auto"/>
        </w:rPr>
      </w:pPr>
    </w:p>
    <w:p>
      <w:pPr>
        <w:ind w:left="700" w:right="239"/>
        <w:spacing w:after="0" w:line="266" w:lineRule="auto"/>
        <w:rPr>
          <w:sz w:val="20"/>
          <w:szCs w:val="20"/>
          <w:color w:val="auto"/>
        </w:rPr>
      </w:pPr>
      <w:r>
        <w:rPr>
          <w:rFonts w:ascii="Times New Roman" w:cs="Times New Roman" w:eastAsia="Times New Roman" w:hAnsi="Times New Roman"/>
          <w:sz w:val="18"/>
          <w:szCs w:val="18"/>
          <w:color w:val="auto"/>
        </w:rPr>
        <w:t>The Company expects to contribute approximately $857,000 in the year ending December 31, 2023 to insurance companies in connection with its severance liabilities, approximately $779,000 of which will be contributed to one or more Contribution Plans.</w:t>
      </w:r>
    </w:p>
    <w:p>
      <w:pPr>
        <w:spacing w:after="0" w:line="149" w:lineRule="exact"/>
        <w:rPr>
          <w:sz w:val="20"/>
          <w:szCs w:val="20"/>
          <w:color w:val="auto"/>
        </w:rPr>
      </w:pPr>
    </w:p>
    <w:p>
      <w:pPr>
        <w:ind w:left="700" w:right="159"/>
        <w:spacing w:after="0" w:line="266" w:lineRule="auto"/>
        <w:rPr>
          <w:sz w:val="20"/>
          <w:szCs w:val="20"/>
          <w:color w:val="auto"/>
        </w:rPr>
      </w:pPr>
      <w:r>
        <w:rPr>
          <w:rFonts w:ascii="Times New Roman" w:cs="Times New Roman" w:eastAsia="Times New Roman" w:hAnsi="Times New Roman"/>
          <w:sz w:val="18"/>
          <w:szCs w:val="18"/>
          <w:color w:val="auto"/>
        </w:rPr>
        <w:t>During the five-year period following December 31, 2022, the Company expects one employee retirement upon normal retirement age. As of December 31, 2022 the Company holds funds of approximately $150,000 in respect of the anticipated retirement.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 COMMITMENTS</w:t>
      </w:r>
    </w:p>
    <w:p>
      <w:pPr>
        <w:spacing w:after="0" w:line="185" w:lineRule="exact"/>
        <w:rPr>
          <w:sz w:val="20"/>
          <w:szCs w:val="20"/>
          <w:color w:val="auto"/>
        </w:rPr>
      </w:pPr>
    </w:p>
    <w:p>
      <w:pPr>
        <w:ind w:left="1020" w:hanging="322"/>
        <w:spacing w:after="0"/>
        <w:tabs>
          <w:tab w:leader="none" w:pos="102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Royalty Commitments</w:t>
      </w:r>
    </w:p>
    <w:p>
      <w:pPr>
        <w:spacing w:after="0" w:line="188" w:lineRule="exact"/>
        <w:rPr>
          <w:rFonts w:ascii="Times New Roman" w:cs="Times New Roman" w:eastAsia="Times New Roman" w:hAnsi="Times New Roman"/>
          <w:sz w:val="18"/>
          <w:szCs w:val="18"/>
          <w:b w:val="1"/>
          <w:bCs w:val="1"/>
          <w:color w:val="auto"/>
        </w:rPr>
      </w:pPr>
    </w:p>
    <w:p>
      <w:pPr>
        <w:jc w:val="both"/>
        <w:ind w:left="1020" w:right="199"/>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Company is obligated to pay royalties to the National Authority for Technological Innovation (“NATI”) on proceeds from the sale of products developed from research and development activities that were funded, partially, by grants from NATI or its predecessor, the Office of the Israeli Innovation Authority (IIA). At the time the grants were received, successful development of the related projects was not assured.</w:t>
      </w:r>
    </w:p>
    <w:p>
      <w:pPr>
        <w:spacing w:after="0" w:line="137" w:lineRule="exact"/>
        <w:rPr>
          <w:rFonts w:ascii="Times New Roman" w:cs="Times New Roman" w:eastAsia="Times New Roman" w:hAnsi="Times New Roman"/>
          <w:sz w:val="18"/>
          <w:szCs w:val="18"/>
          <w:b w:val="1"/>
          <w:bCs w:val="1"/>
          <w:color w:val="auto"/>
        </w:rPr>
      </w:pPr>
    </w:p>
    <w:p>
      <w:pPr>
        <w:ind w:left="1020" w:right="7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case of failure of a project that was partly financed as described above, the Company is not obligated to pay any such royalties or repay funding received from NATI or the IIA.</w:t>
      </w:r>
    </w:p>
    <w:p>
      <w:pPr>
        <w:spacing w:after="0" w:line="121" w:lineRule="exact"/>
        <w:rPr>
          <w:rFonts w:ascii="Times New Roman" w:cs="Times New Roman" w:eastAsia="Times New Roman" w:hAnsi="Times New Roman"/>
          <w:sz w:val="18"/>
          <w:szCs w:val="18"/>
          <w:b w:val="1"/>
          <w:bCs w:val="1"/>
          <w:color w:val="auto"/>
        </w:rPr>
      </w:pPr>
    </w:p>
    <w:p>
      <w:pPr>
        <w:ind w:left="1020" w:right="79"/>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terms of the applicable funding arrangements, royalties of 3% to 6% are payable on the sale of products developed from projects funded by NATI or the IIA, which payments shall not exceed, in the aggregate, 100% of the amount of the grant received (dollar linked), plus, commencing upon January 1, 2001, interest at an annual rate based on LIBOR. In addition, if the Company receives approval to manufacture products developed with government grants outside the State of Israel, it will be required to pay an increased total amount of royalties (possibly up to 300% of the grant amounts plus interest), depending on the manufacturing volume that is performed outside the State of Israel, and, possibly, an increased royalty rate.</w:t>
      </w:r>
    </w:p>
    <w:p>
      <w:pPr>
        <w:spacing w:after="0" w:line="148" w:lineRule="exact"/>
        <w:rPr>
          <w:rFonts w:ascii="Times New Roman" w:cs="Times New Roman" w:eastAsia="Times New Roman" w:hAnsi="Times New Roman"/>
          <w:sz w:val="18"/>
          <w:szCs w:val="18"/>
          <w:b w:val="1"/>
          <w:bCs w:val="1"/>
          <w:color w:val="auto"/>
        </w:rPr>
      </w:pPr>
    </w:p>
    <w:p>
      <w:pPr>
        <w:ind w:left="1020" w:right="7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Royalty expenses to NATI or the IIA are included in the statement of operations as a component of the cost of revenues and were approximately $911,000, $1.2 million and $1.2 million during the years ended December 31, 2020, 2021 and 2022, respectively.</w:t>
      </w:r>
    </w:p>
    <w:p>
      <w:pPr>
        <w:spacing w:after="0" w:line="148" w:lineRule="exact"/>
        <w:rPr>
          <w:rFonts w:ascii="Times New Roman" w:cs="Times New Roman" w:eastAsia="Times New Roman" w:hAnsi="Times New Roman"/>
          <w:sz w:val="18"/>
          <w:szCs w:val="18"/>
          <w:b w:val="1"/>
          <w:bCs w:val="1"/>
          <w:color w:val="auto"/>
        </w:rPr>
      </w:pPr>
    </w:p>
    <w:p>
      <w:pPr>
        <w:ind w:left="1020" w:right="35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December 31, 2021 and 2022, the maximum total royalty amount payable by the Company under these funding arrangements is approximately $38.6 million and $37.4 million, respectively (without interest, assuming 100% of the funds are payable).</w:t>
      </w:r>
    </w:p>
    <w:p>
      <w:pPr>
        <w:spacing w:after="0" w:line="131" w:lineRule="exact"/>
        <w:rPr>
          <w:rFonts w:ascii="Times New Roman" w:cs="Times New Roman" w:eastAsia="Times New Roman" w:hAnsi="Times New Roman"/>
          <w:sz w:val="18"/>
          <w:szCs w:val="18"/>
          <w:b w:val="1"/>
          <w:bCs w:val="1"/>
          <w:color w:val="auto"/>
        </w:rPr>
      </w:pPr>
    </w:p>
    <w:p>
      <w:pPr>
        <w:ind w:left="1020" w:hanging="322"/>
        <w:spacing w:after="0"/>
        <w:tabs>
          <w:tab w:leader="none" w:pos="102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Subcontracting Agreements</w:t>
      </w:r>
    </w:p>
    <w:p>
      <w:pPr>
        <w:spacing w:after="0" w:line="188" w:lineRule="exact"/>
        <w:rPr>
          <w:rFonts w:ascii="Times New Roman" w:cs="Times New Roman" w:eastAsia="Times New Roman" w:hAnsi="Times New Roman"/>
          <w:sz w:val="18"/>
          <w:szCs w:val="18"/>
          <w:b w:val="1"/>
          <w:bCs w:val="1"/>
          <w:color w:val="auto"/>
        </w:rPr>
      </w:pPr>
    </w:p>
    <w:p>
      <w:pPr>
        <w:ind w:left="1020" w:right="19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entered into sub-contracting agreements with several clinical providers and consultants in Israel, the United States and certain other countries in connection with its primary product development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020" w:right="939"/>
        <w:spacing w:after="0" w:line="282" w:lineRule="auto"/>
        <w:rPr>
          <w:sz w:val="20"/>
          <w:szCs w:val="20"/>
          <w:color w:val="auto"/>
        </w:rPr>
      </w:pPr>
      <w:r>
        <w:rPr>
          <w:rFonts w:ascii="Times New Roman" w:cs="Times New Roman" w:eastAsia="Times New Roman" w:hAnsi="Times New Roman"/>
          <w:sz w:val="18"/>
          <w:szCs w:val="18"/>
          <w:color w:val="auto"/>
        </w:rPr>
        <w:t>process. As of December 31, 2022, total commitments under said agreements were approximately $0.7 million.</w:t>
      </w:r>
    </w:p>
    <w:p>
      <w:pPr>
        <w:spacing w:after="0" w:line="117" w:lineRule="exact"/>
        <w:rPr>
          <w:sz w:val="20"/>
          <w:szCs w:val="20"/>
          <w:color w:val="auto"/>
        </w:rPr>
      </w:pPr>
    </w:p>
    <w:p>
      <w:pPr>
        <w:ind w:left="1000" w:hanging="302"/>
        <w:spacing w:after="0"/>
        <w:tabs>
          <w:tab w:leader="none" w:pos="100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Fill/Finish Agreement</w:t>
      </w:r>
    </w:p>
    <w:p>
      <w:pPr>
        <w:spacing w:after="0" w:line="188" w:lineRule="exact"/>
        <w:rPr>
          <w:rFonts w:ascii="Times New Roman" w:cs="Times New Roman" w:eastAsia="Times New Roman" w:hAnsi="Times New Roman"/>
          <w:sz w:val="18"/>
          <w:szCs w:val="18"/>
          <w:b w:val="1"/>
          <w:bCs w:val="1"/>
          <w:color w:val="auto"/>
        </w:rPr>
      </w:pPr>
    </w:p>
    <w:p>
      <w:pPr>
        <w:ind w:left="1020" w:right="59"/>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29, 2022, the Company entered into a Fill/Finish Agreement (the “F/F Agreement”) and a Letter Agreement, in each case with Chiesi. The Company agreed to supply Chiesi with drug substance for PRX-102 and, following relevant technology and technical information transfer activities, Chiesi has agreed, among other things, to provide the Company with commercial fill/finish services for PRX-102, including to support the anticipated global launch of PRX-102. The F/F Agreement shall continue in force until December 31, 2025, unless terminated earlier in accordance with the terms of the F/F Agreement and the term may be extended by mutual agreement for an additional period of seven years upon mutual written agreement prior to expiration of the initial term.</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 OPERATING LEASES</w:t>
      </w:r>
    </w:p>
    <w:p>
      <w:pPr>
        <w:spacing w:after="0" w:line="202" w:lineRule="exact"/>
        <w:rPr>
          <w:sz w:val="20"/>
          <w:szCs w:val="20"/>
          <w:color w:val="auto"/>
        </w:rPr>
      </w:pPr>
    </w:p>
    <w:p>
      <w:pPr>
        <w:ind w:left="1020" w:right="159"/>
        <w:spacing w:after="0" w:line="256" w:lineRule="auto"/>
        <w:rPr>
          <w:sz w:val="20"/>
          <w:szCs w:val="20"/>
          <w:color w:val="auto"/>
        </w:rPr>
      </w:pPr>
      <w:r>
        <w:rPr>
          <w:rFonts w:ascii="Times New Roman" w:cs="Times New Roman" w:eastAsia="Times New Roman" w:hAnsi="Times New Roman"/>
          <w:sz w:val="18"/>
          <w:szCs w:val="18"/>
          <w:color w:val="auto"/>
        </w:rPr>
        <w:t>The Company is a party to several lease agreements for its facilities, the latest of which has been extended until 2026. The Company has the option to extend certain of such agreements on one additional occasion for an additional five-year period. During the extended lease period, the aggregate monthly rental payments will increase by 7.5%-10% for the option. The Company expects to exercise the final option in future periods. As of December 31, 2022, the Company provided bank guarantees of approximately $501,000, in the aggregate, to secure the fulfillment of its obligations under the lease agreements.</w:t>
      </w:r>
    </w:p>
    <w:p>
      <w:pPr>
        <w:spacing w:after="0" w:line="147" w:lineRule="exact"/>
        <w:rPr>
          <w:sz w:val="20"/>
          <w:szCs w:val="20"/>
          <w:color w:val="auto"/>
        </w:rPr>
      </w:pPr>
    </w:p>
    <w:p>
      <w:pPr>
        <w:ind w:left="1020" w:right="59"/>
        <w:spacing w:after="0" w:line="282" w:lineRule="auto"/>
        <w:rPr>
          <w:sz w:val="20"/>
          <w:szCs w:val="20"/>
          <w:color w:val="auto"/>
        </w:rPr>
      </w:pPr>
      <w:r>
        <w:rPr>
          <w:rFonts w:ascii="Times New Roman" w:cs="Times New Roman" w:eastAsia="Times New Roman" w:hAnsi="Times New Roman"/>
          <w:sz w:val="18"/>
          <w:szCs w:val="18"/>
          <w:color w:val="auto"/>
        </w:rPr>
        <w:t>The Company entered into several three-year leases for vehicles which are regularly amended as new vehicles are leased.</w:t>
      </w:r>
    </w:p>
    <w:p>
      <w:pPr>
        <w:spacing w:after="0" w:line="1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sets forth data regarding the Company’s operating leases for the years ended</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December 31, 2020, 2021 and 2022:</w:t>
      </w:r>
    </w:p>
    <w:p>
      <w:pPr>
        <w:spacing w:after="0" w:line="268"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tcBorders>
              <w:bottom w:val="single" w:sz="8" w:color="auto"/>
            </w:tcBorders>
            <w:gridSpan w:val="6"/>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p>
        </w:tc>
        <w:tc>
          <w:tcPr>
            <w:tcW w:w="740" w:type="dxa"/>
            <w:vAlign w:val="bottom"/>
            <w:gridSpan w:val="2"/>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8"/>
                <w:szCs w:val="18"/>
                <w:color w:val="auto"/>
              </w:rPr>
            </w:pPr>
          </w:p>
        </w:tc>
        <w:tc>
          <w:tcPr>
            <w:tcW w:w="64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8"/>
                <w:szCs w:val="18"/>
                <w:color w:val="auto"/>
              </w:rPr>
            </w:pPr>
          </w:p>
        </w:tc>
        <w:tc>
          <w:tcPr>
            <w:tcW w:w="6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$ 1,382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$ 1,632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$ 1,398</w:t>
            </w: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Cash paid for amounts included in the measurement of</w:t>
            </w: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4240" w:type="dxa"/>
            <w:vAlign w:val="bottom"/>
            <w:vMerge w:val="continue"/>
          </w:tcPr>
          <w:p>
            <w:pPr>
              <w:spacing w:after="0"/>
              <w:rPr>
                <w:sz w:val="13"/>
                <w:szCs w:val="13"/>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60" w:type="dxa"/>
            <w:vAlign w:val="bottom"/>
          </w:tcPr>
          <w:p>
            <w:pPr>
              <w:spacing w:after="0"/>
              <w:rPr>
                <w:sz w:val="13"/>
                <w:szCs w:val="13"/>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74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gridSpan w:val="2"/>
            <w:vMerge w:val="continue"/>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4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4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20" w:type="dxa"/>
            <w:vAlign w:val="bottom"/>
            <w:vMerge w:val="restart"/>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2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vMerge w:val="restart"/>
          </w:tcPr>
          <w:p>
            <w:pPr>
              <w:jc w:val="right"/>
              <w:ind w:right="221"/>
              <w:spacing w:after="0"/>
              <w:rPr>
                <w:sz w:val="20"/>
                <w:szCs w:val="20"/>
                <w:color w:val="auto"/>
              </w:rPr>
            </w:pPr>
            <w:r>
              <w:rPr>
                <w:rFonts w:ascii="Times New Roman" w:cs="Times New Roman" w:eastAsia="Times New Roman" w:hAnsi="Times New Roman"/>
                <w:sz w:val="20"/>
                <w:szCs w:val="20"/>
                <w:color w:val="auto"/>
                <w:w w:val="83"/>
              </w:rPr>
              <w:t>%</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180" w:type="dxa"/>
            <w:vAlign w:val="bottom"/>
            <w:vMerge w:val="continue"/>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1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sets forth a maturity analysis of the Company’s operating lease liabilities as of</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0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p>
        </w:tc>
        <w:tc>
          <w:tcPr>
            <w:tcW w:w="2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3140" w:type="dxa"/>
            <w:vAlign w:val="bottom"/>
            <w:gridSpan w:val="3"/>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3140" w:type="dxa"/>
            <w:vAlign w:val="bottom"/>
            <w:gridSpan w:val="3"/>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140" w:type="dxa"/>
            <w:vAlign w:val="bottom"/>
            <w:gridSpan w:val="3"/>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140" w:type="dxa"/>
            <w:vAlign w:val="bottom"/>
            <w:gridSpan w:val="3"/>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920" w:type="dxa"/>
            <w:vAlign w:val="bottom"/>
          </w:tcPr>
          <w:p>
            <w:pPr>
              <w:spacing w:after="0"/>
              <w:rPr>
                <w:sz w:val="22"/>
                <w:szCs w:val="22"/>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2028 and thereafter</w:t>
            </w:r>
          </w:p>
        </w:tc>
        <w:tc>
          <w:tcPr>
            <w:tcW w:w="3140" w:type="dxa"/>
            <w:vAlign w:val="bottom"/>
            <w:gridSpan w:val="3"/>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1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undiscounted cash flows</w:t>
            </w:r>
          </w:p>
        </w:tc>
        <w:tc>
          <w:tcPr>
            <w:tcW w:w="26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8,419</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ind w:left="900"/>
              <w:spacing w:after="0"/>
              <w:rPr>
                <w:sz w:val="20"/>
                <w:szCs w:val="20"/>
                <w:color w:val="auto"/>
              </w:rPr>
            </w:pPr>
            <w:r>
              <w:rPr>
                <w:rFonts w:ascii="Times New Roman" w:cs="Times New Roman" w:eastAsia="Times New Roman" w:hAnsi="Times New Roman"/>
                <w:sz w:val="18"/>
                <w:szCs w:val="18"/>
                <w:color w:val="auto"/>
              </w:rPr>
              <w:t>Less: imputed interest</w:t>
            </w:r>
          </w:p>
        </w:tc>
        <w:tc>
          <w:tcPr>
            <w:tcW w:w="26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00" w:type="dxa"/>
            <w:vAlign w:val="bottom"/>
            <w:gridSpan w:val="2"/>
            <w:vMerge w:val="continue"/>
          </w:tcPr>
          <w:p>
            <w:pPr>
              <w:spacing w:after="0"/>
              <w:rPr>
                <w:sz w:val="20"/>
                <w:szCs w:val="20"/>
                <w:color w:val="auto"/>
              </w:rPr>
            </w:pPr>
          </w:p>
        </w:tc>
        <w:tc>
          <w:tcPr>
            <w:tcW w:w="260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3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3,132</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1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26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5,287</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9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140" w:type="dxa"/>
            <w:vAlign w:val="bottom"/>
            <w:gridSpan w:val="3"/>
          </w:tcPr>
          <w:p>
            <w:pPr>
              <w:jc w:val="right"/>
              <w:ind w:right="2518"/>
              <w:spacing w:after="0"/>
              <w:rPr>
                <w:sz w:val="20"/>
                <w:szCs w:val="20"/>
                <w:color w:val="auto"/>
              </w:rPr>
            </w:pPr>
            <w:r>
              <w:rPr>
                <w:rFonts w:ascii="Times New Roman" w:cs="Times New Roman" w:eastAsia="Times New Roman" w:hAnsi="Times New Roman"/>
                <w:sz w:val="18"/>
                <w:szCs w:val="18"/>
                <w:color w:val="auto"/>
              </w:rPr>
              <w:t>F-22</w:t>
            </w: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 REVENUE</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Company’s disaggregation of revenues: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3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p>
        </w:tc>
        <w:tc>
          <w:tcPr>
            <w:tcW w:w="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6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Pfizer</w:t>
            </w:r>
          </w:p>
        </w:tc>
        <w:tc>
          <w:tcPr>
            <w:tcW w:w="68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10,160</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Chiesi</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4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0" w:type="dxa"/>
            <w:vAlign w:val="bottom"/>
          </w:tcPr>
          <w:p>
            <w:pPr>
              <w:spacing w:after="0"/>
              <w:rPr>
                <w:sz w:val="1"/>
                <w:szCs w:val="1"/>
                <w:color w:val="auto"/>
              </w:rPr>
            </w:pPr>
          </w:p>
        </w:tc>
      </w:tr>
      <w:tr>
        <w:trPr>
          <w:trHeight w:val="249"/>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 from selling goods</w:t>
            </w:r>
          </w:p>
        </w:tc>
        <w:tc>
          <w:tcPr>
            <w:tcW w:w="46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16,749</w:t>
            </w:r>
          </w:p>
        </w:tc>
        <w:tc>
          <w:tcPr>
            <w:tcW w:w="160" w:type="dxa"/>
            <w:vAlign w:val="bottom"/>
          </w:tcPr>
          <w:p>
            <w:pPr>
              <w:spacing w:after="0"/>
              <w:rPr>
                <w:sz w:val="21"/>
                <w:szCs w:val="21"/>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 from license and R&amp;D services</w:t>
            </w:r>
          </w:p>
        </w:tc>
        <w:tc>
          <w:tcPr>
            <w:tcW w:w="4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46,662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21,601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22,346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right="13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and following the CRL received from the FDA and other understandings with Chiesi, the Company changed its estimate for total costs expected to be incurred until satisfying the performance obligation under the Chiesi Agreements. This resulted in reduced revenues recognized in respect of this performance obligation in 2021.</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 SHARE CAPITAL</w:t>
      </w:r>
    </w:p>
    <w:p>
      <w:pPr>
        <w:spacing w:after="0" w:line="185" w:lineRule="exact"/>
        <w:rPr>
          <w:sz w:val="20"/>
          <w:szCs w:val="20"/>
          <w:color w:val="auto"/>
        </w:rPr>
      </w:pPr>
    </w:p>
    <w:p>
      <w:pPr>
        <w:ind w:left="1000" w:hanging="302"/>
        <w:spacing w:after="0"/>
        <w:tabs>
          <w:tab w:leader="none" w:pos="100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Authorized Capital</w:t>
      </w:r>
    </w:p>
    <w:p>
      <w:pPr>
        <w:spacing w:after="0" w:line="202" w:lineRule="exact"/>
        <w:rPr>
          <w:rFonts w:ascii="Times New Roman" w:cs="Times New Roman" w:eastAsia="Times New Roman" w:hAnsi="Times New Roman"/>
          <w:sz w:val="18"/>
          <w:szCs w:val="18"/>
          <w:b w:val="1"/>
          <w:bCs w:val="1"/>
          <w:color w:val="auto"/>
        </w:rPr>
      </w:pPr>
    </w:p>
    <w:p>
      <w:pPr>
        <w:ind w:left="1020" w:right="25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June 30, 2022, the Company held its 2022 Annual Meeting of Stockholders (the “Annual Meeting”). At the Annual Meeting, the Company’s stockholders, among other matters, approved an amendment to the Company’s Certificate of Incorporation, as amended, to increase the number of shares of Common Stock authorized for issuance from 120,000,000 to 144,000,000.</w:t>
      </w:r>
    </w:p>
    <w:p>
      <w:pPr>
        <w:spacing w:after="0" w:line="175" w:lineRule="exact"/>
        <w:rPr>
          <w:rFonts w:ascii="Times New Roman" w:cs="Times New Roman" w:eastAsia="Times New Roman" w:hAnsi="Times New Roman"/>
          <w:sz w:val="18"/>
          <w:szCs w:val="18"/>
          <w:b w:val="1"/>
          <w:bCs w:val="1"/>
          <w:color w:val="auto"/>
        </w:rPr>
      </w:pPr>
    </w:p>
    <w:p>
      <w:pPr>
        <w:ind w:left="1020" w:hanging="322"/>
        <w:spacing w:after="0"/>
        <w:tabs>
          <w:tab w:leader="none" w:pos="102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of the Company’s Common Stock</w:t>
      </w:r>
    </w:p>
    <w:p>
      <w:pPr>
        <w:spacing w:after="0" w:line="188" w:lineRule="exact"/>
        <w:rPr>
          <w:rFonts w:ascii="Times New Roman" w:cs="Times New Roman" w:eastAsia="Times New Roman" w:hAnsi="Times New Roman"/>
          <w:sz w:val="18"/>
          <w:szCs w:val="18"/>
          <w:b w:val="1"/>
          <w:bCs w:val="1"/>
          <w:color w:val="auto"/>
        </w:rPr>
      </w:pPr>
    </w:p>
    <w:p>
      <w:pPr>
        <w:ind w:left="1020" w:right="119"/>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Common Stock is listed on the NYSE American and on the Tel Aviv Stock Exchange (the “TASE”); however, the Company has decided to voluntarily delist its common stock from the TASE. The Company’s common stock will be delisted from the TASE on March 22, 2023 and the last trading date on the TASE will be March 20, 2023. The Company’s common stock will continue to be listed for trade on the NYSE American. Each share of Common Stock is entitled to one vote. The holders of shares of Common Stock are also entitled to receive dividends whenever funds are legally available, when and if declared by the Board of Directors. Since its inception, the Company has not declared any dividends.</w:t>
      </w:r>
    </w:p>
    <w:p>
      <w:pPr>
        <w:spacing w:after="0" w:line="144" w:lineRule="exact"/>
        <w:rPr>
          <w:rFonts w:ascii="Times New Roman" w:cs="Times New Roman" w:eastAsia="Times New Roman" w:hAnsi="Times New Roman"/>
          <w:sz w:val="18"/>
          <w:szCs w:val="18"/>
          <w:b w:val="1"/>
          <w:bCs w:val="1"/>
          <w:color w:val="auto"/>
        </w:rPr>
      </w:pPr>
    </w:p>
    <w:p>
      <w:pPr>
        <w:ind w:left="1000" w:hanging="302"/>
        <w:spacing w:after="0"/>
        <w:tabs>
          <w:tab w:leader="none" w:pos="100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based compensation</w:t>
      </w:r>
    </w:p>
    <w:p>
      <w:pPr>
        <w:spacing w:after="0" w:line="202" w:lineRule="exact"/>
        <w:rPr>
          <w:rFonts w:ascii="Times New Roman" w:cs="Times New Roman" w:eastAsia="Times New Roman" w:hAnsi="Times New Roman"/>
          <w:sz w:val="18"/>
          <w:szCs w:val="18"/>
          <w:b w:val="1"/>
          <w:bCs w:val="1"/>
          <w:color w:val="auto"/>
        </w:rPr>
      </w:pPr>
    </w:p>
    <w:p>
      <w:pPr>
        <w:ind w:left="1020" w:right="139"/>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14, 2006, the Board of Directors adopted the Protalix BioTherapeutics, Inc. 2006 Stock Incentive Plan, as amended (the “Plan”). The Plan has since been amended to, among other things, increase the number of shares of Common Stock available under the Plan to 8,475,171 shares. The grant of options to Israeli employees under the Plan is subject to the terms stipulated by Sections 102 and 102A of the Israeli Income Tax Ordinance (the “Ordinance”). Each option grant made to an Israeli citizen is subject to the track chosen by the Company, either Section 102 or Section 102A of the Ordinance, and pursuant to the terms thereof, the Company is not allowed to claim, as an expense for tax purposes, the amounts credited to employees as a benefit, including amounts recorded as salary benefits in the Company’s accounts, in respect of options granted to employees under the Plan, with the exception of the work-income benefit component, if any, determined on the grant date. For Israeli non-employees, the share option plan is subject to Section 3(i) of the Ordinance.</w:t>
      </w:r>
    </w:p>
    <w:p>
      <w:pPr>
        <w:spacing w:after="0" w:line="151" w:lineRule="exact"/>
        <w:rPr>
          <w:rFonts w:ascii="Times New Roman" w:cs="Times New Roman" w:eastAsia="Times New Roman" w:hAnsi="Times New Roman"/>
          <w:sz w:val="18"/>
          <w:szCs w:val="18"/>
          <w:b w:val="1"/>
          <w:bCs w:val="1"/>
          <w:color w:val="auto"/>
        </w:rPr>
      </w:pPr>
    </w:p>
    <w:p>
      <w:pPr>
        <w:ind w:left="1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2022, 136,738 shares of Common Stock remain available for grant under the Plan.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020" w:right="59"/>
        <w:spacing w:after="0" w:line="261" w:lineRule="auto"/>
        <w:rPr>
          <w:sz w:val="20"/>
          <w:szCs w:val="20"/>
          <w:color w:val="auto"/>
        </w:rPr>
      </w:pPr>
      <w:r>
        <w:rPr>
          <w:rFonts w:ascii="Times New Roman" w:cs="Times New Roman" w:eastAsia="Times New Roman" w:hAnsi="Times New Roman"/>
          <w:sz w:val="18"/>
          <w:szCs w:val="18"/>
          <w:color w:val="auto"/>
        </w:rPr>
        <w:t>The vesting period of the outstanding options and restricted shares is generally four years from the date of grant. The rights of common stock obtained from the exercise of options and the restricted stock (once vested) are identical to those of other common stock of the Company. The contractual term of these options is primarily for ten years.</w:t>
      </w:r>
    </w:p>
    <w:p>
      <w:pPr>
        <w:spacing w:after="0" w:line="139" w:lineRule="exact"/>
        <w:rPr>
          <w:sz w:val="20"/>
          <w:szCs w:val="20"/>
          <w:color w:val="auto"/>
        </w:rPr>
      </w:pPr>
    </w:p>
    <w:p>
      <w:pPr>
        <w:ind w:left="1020" w:right="219"/>
        <w:spacing w:after="0" w:line="261" w:lineRule="auto"/>
        <w:rPr>
          <w:sz w:val="20"/>
          <w:szCs w:val="20"/>
          <w:color w:val="auto"/>
        </w:rPr>
      </w:pPr>
      <w:r>
        <w:rPr>
          <w:rFonts w:ascii="Times New Roman" w:cs="Times New Roman" w:eastAsia="Times New Roman" w:hAnsi="Times New Roman"/>
          <w:sz w:val="18"/>
          <w:szCs w:val="18"/>
          <w:color w:val="auto"/>
        </w:rPr>
        <w:t>For purposes of determining the fair value of the options and restricted stock granted to employees and non-employees, the Company’s management uses the fair value of the Common Stock. The fair value of options granted for both employees and directors is estimated at the date of grant using the Black-Scholes option-pricing model.</w:t>
      </w:r>
    </w:p>
    <w:p>
      <w:pPr>
        <w:spacing w:after="0" w:line="135" w:lineRule="exact"/>
        <w:rPr>
          <w:sz w:val="20"/>
          <w:szCs w:val="20"/>
          <w:color w:val="auto"/>
        </w:rPr>
      </w:pPr>
    </w:p>
    <w:p>
      <w:pPr>
        <w:ind w:left="1340" w:hanging="318"/>
        <w:spacing w:after="0"/>
        <w:tabs>
          <w:tab w:leader="none" w:pos="1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Options and restricted stock granted to employees and directors:</w:t>
      </w:r>
    </w:p>
    <w:p>
      <w:pPr>
        <w:spacing w:after="0" w:line="202" w:lineRule="exact"/>
        <w:rPr>
          <w:sz w:val="20"/>
          <w:szCs w:val="20"/>
          <w:color w:val="auto"/>
        </w:rPr>
      </w:pPr>
    </w:p>
    <w:p>
      <w:pPr>
        <w:ind w:left="1020" w:right="159"/>
        <w:spacing w:after="0" w:line="266" w:lineRule="auto"/>
        <w:rPr>
          <w:sz w:val="20"/>
          <w:szCs w:val="20"/>
          <w:color w:val="auto"/>
        </w:rPr>
      </w:pPr>
      <w:r>
        <w:rPr>
          <w:rFonts w:ascii="Times New Roman" w:cs="Times New Roman" w:eastAsia="Times New Roman" w:hAnsi="Times New Roman"/>
          <w:sz w:val="18"/>
          <w:szCs w:val="18"/>
          <w:color w:val="auto"/>
        </w:rPr>
        <w:t>A summary of share option plans, and related information, under all of the Company’s equity incentive plans for the year ended December 31, 2022, and the effect of share-based compensation on the statement of operations for the year ended December 31, 2022, is as follows:</w:t>
      </w:r>
    </w:p>
    <w:p>
      <w:pPr>
        <w:spacing w:after="0" w:line="135" w:lineRule="exact"/>
        <w:rPr>
          <w:sz w:val="20"/>
          <w:szCs w:val="20"/>
          <w:color w:val="auto"/>
        </w:rPr>
      </w:pPr>
    </w:p>
    <w:p>
      <w:pPr>
        <w:ind w:left="1680" w:hanging="334"/>
        <w:spacing w:after="0"/>
        <w:tabs>
          <w:tab w:leader="none" w:pos="1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granted to employees and directors:</w:t>
      </w:r>
    </w:p>
    <w:p>
      <w:pPr>
        <w:spacing w:after="0" w:line="232" w:lineRule="exact"/>
        <w:rPr>
          <w:sz w:val="20"/>
          <w:szCs w:val="20"/>
          <w:color w:val="auto"/>
        </w:rPr>
      </w:pPr>
    </w:p>
    <w:tbl>
      <w:tblPr>
        <w:tblLayout w:type="fixed"/>
        <w:tblInd w:w="1340" w:type="dxa"/>
        <w:tblCellMar>
          <w:top w:w="0" w:type="dxa"/>
          <w:left w:w="0" w:type="dxa"/>
          <w:bottom w:w="0" w:type="dxa"/>
          <w:right w:w="0" w:type="dxa"/>
        </w:tblCellMar>
      </w:tblPr>
      <w:tr>
        <w:trPr>
          <w:trHeight w:val="173"/>
        </w:trPr>
        <w:tc>
          <w:tcPr>
            <w:tcW w:w="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920" w:type="dxa"/>
            <w:vAlign w:val="bottom"/>
            <w:tcBorders>
              <w:bottom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33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3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2,259,020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Changes during the year:</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3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3,480,000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 and expired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219,705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3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5,519,315</w:t>
            </w:r>
          </w:p>
        </w:tc>
        <w:tc>
          <w:tcPr>
            <w:tcW w:w="5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300" w:type="dxa"/>
            <w:vAlign w:val="bottom"/>
            <w:tcBorders>
              <w:right w:val="single" w:sz="8" w:color="CCEEFF"/>
            </w:tcBorders>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Exercisable at end of year</w:t>
            </w: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60" w:type="dxa"/>
            <w:vAlign w:val="bottom"/>
            <w:gridSpan w:val="2"/>
            <w:vMerge w:val="continue"/>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1,731,434</w:t>
            </w:r>
          </w:p>
        </w:tc>
        <w:tc>
          <w:tcPr>
            <w:tcW w:w="30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  Restricted stock granted to employees:</w:t>
            </w: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6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7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9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 Restricted Stock</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30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780" w:type="dxa"/>
            <w:vAlign w:val="bottom"/>
            <w:tcBorders>
              <w:top w:val="single" w:sz="8" w:color="auto"/>
            </w:tcBorders>
            <w:gridSpan w:val="3"/>
            <w:shd w:val="clear" w:color="auto" w:fill="CCEEFF"/>
          </w:tcPr>
          <w:p>
            <w:pPr>
              <w:jc w:val="center"/>
              <w:ind w:left="837"/>
              <w:spacing w:after="0"/>
              <w:rPr>
                <w:sz w:val="20"/>
                <w:szCs w:val="20"/>
                <w:color w:val="auto"/>
              </w:rPr>
            </w:pPr>
            <w:r>
              <w:rPr>
                <w:rFonts w:ascii="Times New Roman" w:cs="Times New Roman" w:eastAsia="Times New Roman" w:hAnsi="Times New Roman"/>
                <w:sz w:val="18"/>
                <w:szCs w:val="18"/>
                <w:color w:val="auto"/>
                <w:w w:val="99"/>
              </w:rPr>
              <w:t>458,027</w:t>
            </w: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Changes during the year:</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30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780" w:type="dxa"/>
            <w:vAlign w:val="bottom"/>
            <w:gridSpan w:val="3"/>
            <w:shd w:val="clear" w:color="auto" w:fill="CCEEFF"/>
          </w:tcPr>
          <w:p>
            <w:pPr>
              <w:jc w:val="center"/>
              <w:ind w:left="837"/>
              <w:spacing w:after="0"/>
              <w:rPr>
                <w:sz w:val="20"/>
                <w:szCs w:val="20"/>
                <w:color w:val="auto"/>
              </w:rPr>
            </w:pPr>
            <w:r>
              <w:rPr>
                <w:rFonts w:ascii="Times New Roman" w:cs="Times New Roman" w:eastAsia="Times New Roman" w:hAnsi="Times New Roman"/>
                <w:sz w:val="18"/>
                <w:szCs w:val="18"/>
                <w:color w:val="auto"/>
                <w:w w:val="99"/>
              </w:rPr>
              <w:t>759,482</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gridSpan w:val="3"/>
          </w:tcPr>
          <w:p>
            <w:pPr>
              <w:jc w:val="center"/>
              <w:ind w:left="837"/>
              <w:spacing w:after="0"/>
              <w:rPr>
                <w:sz w:val="20"/>
                <w:szCs w:val="20"/>
                <w:color w:val="auto"/>
              </w:rPr>
            </w:pPr>
            <w:r>
              <w:rPr>
                <w:rFonts w:ascii="Times New Roman" w:cs="Times New Roman" w:eastAsia="Times New Roman" w:hAnsi="Times New Roman"/>
                <w:sz w:val="18"/>
                <w:szCs w:val="18"/>
                <w:color w:val="auto"/>
                <w:w w:val="99"/>
              </w:rPr>
              <w:t>926,035</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3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vested at end of year</w:t>
            </w:r>
          </w:p>
        </w:tc>
        <w:tc>
          <w:tcPr>
            <w:tcW w:w="1780" w:type="dxa"/>
            <w:vAlign w:val="bottom"/>
            <w:tcBorders>
              <w:top w:val="single" w:sz="8" w:color="auto"/>
              <w:bottom w:val="single" w:sz="8" w:color="auto"/>
            </w:tcBorders>
            <w:gridSpan w:val="3"/>
            <w:shd w:val="clear" w:color="auto" w:fill="CCEEFF"/>
          </w:tcPr>
          <w:p>
            <w:pPr>
              <w:jc w:val="center"/>
              <w:ind w:left="837"/>
              <w:spacing w:after="0"/>
              <w:rPr>
                <w:sz w:val="20"/>
                <w:szCs w:val="20"/>
                <w:color w:val="auto"/>
              </w:rPr>
            </w:pPr>
            <w:r>
              <w:rPr>
                <w:rFonts w:ascii="Times New Roman" w:cs="Times New Roman" w:eastAsia="Times New Roman" w:hAnsi="Times New Roman"/>
                <w:sz w:val="18"/>
                <w:szCs w:val="18"/>
                <w:color w:val="auto"/>
                <w:w w:val="99"/>
              </w:rPr>
              <w:t>291,474</w:t>
            </w: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680" w:right="279" w:hanging="334"/>
        <w:spacing w:after="0" w:line="282" w:lineRule="auto"/>
        <w:tabs>
          <w:tab w:leader="none" w:pos="1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tables summarize information concerning outstanding and exercisable options as of December 31, 2022:</w:t>
      </w:r>
    </w:p>
    <w:p>
      <w:pPr>
        <w:spacing w:after="0" w:line="128" w:lineRule="exact"/>
        <w:rPr>
          <w:sz w:val="20"/>
          <w:szCs w:val="20"/>
          <w:color w:val="auto"/>
        </w:rPr>
      </w:pPr>
    </w:p>
    <w:tbl>
      <w:tblPr>
        <w:tblLayout w:type="fixed"/>
        <w:tblInd w:w="96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20" w:type="dxa"/>
            <w:vAlign w:val="bottom"/>
            <w:gridSpan w:val="4"/>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Options outstanding</w:t>
            </w:r>
          </w:p>
        </w:tc>
        <w:tc>
          <w:tcPr>
            <w:tcW w:w="2000" w:type="dxa"/>
            <w:vAlign w:val="bottom"/>
            <w:gridSpan w:val="3"/>
          </w:tcPr>
          <w:p>
            <w:pPr>
              <w:jc w:val="right"/>
              <w:ind w:right="326"/>
              <w:spacing w:after="0" w:line="142" w:lineRule="exact"/>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117"/>
        </w:trPr>
        <w:tc>
          <w:tcPr>
            <w:tcW w:w="2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6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9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2980" w:type="dxa"/>
            <w:vAlign w:val="bottom"/>
            <w:gridSpan w:val="2"/>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 end of</w:t>
            </w:r>
          </w:p>
        </w:tc>
        <w:tc>
          <w:tcPr>
            <w:tcW w:w="16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2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prices</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Pr>
          <w:p>
            <w:pPr>
              <w:spacing w:after="0"/>
              <w:rPr>
                <w:sz w:val="15"/>
                <w:szCs w:val="15"/>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life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w:t>
            </w:r>
          </w:p>
        </w:tc>
        <w:tc>
          <w:tcPr>
            <w:tcW w:w="0" w:type="dxa"/>
            <w:vAlign w:val="bottom"/>
          </w:tcPr>
          <w:p>
            <w:pPr>
              <w:spacing w:after="0"/>
              <w:rPr>
                <w:sz w:val="1"/>
                <w:szCs w:val="1"/>
                <w:color w:val="auto"/>
              </w:rPr>
            </w:pPr>
          </w:p>
        </w:tc>
      </w:tr>
      <w:tr>
        <w:trPr>
          <w:trHeight w:val="209"/>
        </w:trPr>
        <w:tc>
          <w:tcPr>
            <w:tcW w:w="2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$1.03-$2.00</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3,610,000</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300,625</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216"/>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$3.55-$3.73</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1,361,965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903,459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$4.69-$5.60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466,000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446,000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6"/>
              </w:rPr>
              <w:t>$17.20</w:t>
            </w: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81,350</w:t>
            </w: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81,350</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09"/>
        </w:trPr>
        <w:tc>
          <w:tcPr>
            <w:tcW w:w="28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5,519,315</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1,731,434</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659" w:hanging="10"/>
        <w:spacing w:after="0" w:line="282" w:lineRule="auto"/>
        <w:tabs>
          <w:tab w:leader="none" w:pos="19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As of December 31, 2022, the aggregate intrinsic value of all the outstanding options and exercisable options was approximately $1.2 million and $74,000, respectively.</w:t>
      </w:r>
    </w:p>
    <w:p>
      <w:pPr>
        <w:spacing w:after="0" w:line="161" w:lineRule="exact"/>
        <w:rPr>
          <w:rFonts w:ascii="Times New Roman" w:cs="Times New Roman" w:eastAsia="Times New Roman" w:hAnsi="Times New Roman"/>
          <w:sz w:val="18"/>
          <w:szCs w:val="18"/>
          <w:color w:val="auto"/>
        </w:rPr>
      </w:pPr>
    </w:p>
    <w:p>
      <w:pPr>
        <w:ind w:left="1680" w:right="179" w:hanging="334"/>
        <w:spacing w:after="0" w:line="261" w:lineRule="auto"/>
        <w:tabs>
          <w:tab w:leader="none" w:pos="168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each option granted during 2020, 2021 and 2022 for both employees and directors is estimated at the date of grant using the Black-Scholes option-pricing model. The following weighted average assumptions were applied in determining the options’ fair value on their grant date:</w:t>
      </w:r>
    </w:p>
    <w:p>
      <w:pPr>
        <w:spacing w:after="0" w:line="214"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210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10"/>
        </w:trPr>
        <w:tc>
          <w:tcPr>
            <w:tcW w:w="20" w:type="dxa"/>
            <w:vAlign w:val="bottom"/>
          </w:tcPr>
          <w:p>
            <w:pPr>
              <w:spacing w:after="0"/>
              <w:rPr>
                <w:sz w:val="18"/>
                <w:szCs w:val="18"/>
                <w:color w:val="auto"/>
              </w:rPr>
            </w:pPr>
          </w:p>
        </w:tc>
        <w:tc>
          <w:tcPr>
            <w:tcW w:w="500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top w:val="single" w:sz="8" w:color="auto"/>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 (USD)</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(USD)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21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0.74 %  0.88 %  3.32 %</w:t>
            </w: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21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79.50 % 84.30 % 85.94 %</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34"/>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0"/>
                <w:szCs w:val="20"/>
                <w:color w:val="auto"/>
              </w:rPr>
            </w:pPr>
          </w:p>
        </w:tc>
      </w:tr>
    </w:tbl>
    <w:p>
      <w:pPr>
        <w:spacing w:after="0" w:line="179" w:lineRule="exact"/>
        <w:rPr>
          <w:sz w:val="20"/>
          <w:szCs w:val="20"/>
          <w:color w:val="auto"/>
        </w:rPr>
      </w:pPr>
    </w:p>
    <w:p>
      <w:pPr>
        <w:jc w:val="both"/>
        <w:ind w:left="1680" w:right="519" w:hanging="334"/>
        <w:spacing w:after="0" w:line="266" w:lineRule="auto"/>
        <w:tabs>
          <w:tab w:leader="none" w:pos="1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unrecognized compensation cost of employee stock options at December 31, 2022 is approximately $2.2 million. The unrecognized compensation cost of employee stock options is expected to be recognized over a weighted average period of 1.12 years.</w:t>
      </w:r>
    </w:p>
    <w:p>
      <w:pPr>
        <w:spacing w:after="0" w:line="135" w:lineRule="exact"/>
        <w:rPr>
          <w:rFonts w:ascii="Times New Roman" w:cs="Times New Roman" w:eastAsia="Times New Roman" w:hAnsi="Times New Roman"/>
          <w:sz w:val="18"/>
          <w:szCs w:val="18"/>
          <w:color w:val="auto"/>
        </w:rPr>
      </w:pPr>
    </w:p>
    <w:p>
      <w:pPr>
        <w:ind w:left="1660" w:right="23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years ended December 31, 2022, there were no exercises of stock options, and the Company did not realize any tax benefit in connection with any exercises.</w:t>
      </w:r>
    </w:p>
    <w:p>
      <w:pPr>
        <w:spacing w:after="0" w:line="121" w:lineRule="exact"/>
        <w:rPr>
          <w:rFonts w:ascii="Times New Roman" w:cs="Times New Roman" w:eastAsia="Times New Roman" w:hAnsi="Times New Roman"/>
          <w:sz w:val="18"/>
          <w:szCs w:val="18"/>
          <w:color w:val="auto"/>
        </w:rPr>
      </w:pPr>
    </w:p>
    <w:p>
      <w:pPr>
        <w:ind w:left="1660" w:right="7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vesting-date value of equity classified restricted stock vested during 2022 was $0.8 million. As of December 31, 2022, the unrecognized compensation cost related to all unvested equity classified restricted stock of $0.2 million is expected to be recognized as an expense over a weighted-average period of 0.64 years.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680" w:hanging="334"/>
        <w:spacing w:after="0"/>
        <w:tabs>
          <w:tab w:leader="none" w:pos="168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table illustrates the effect of share-based compensation on the statement of operations:</w:t>
      </w:r>
    </w:p>
    <w:p>
      <w:pPr>
        <w:spacing w:after="0" w:line="203"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8"/>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1020" w:hanging="322"/>
        <w:spacing w:after="0"/>
        <w:tabs>
          <w:tab w:leader="none" w:pos="102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Private and 144A Offerings</w:t>
      </w:r>
    </w:p>
    <w:p>
      <w:pPr>
        <w:spacing w:after="0" w:line="188" w:lineRule="exact"/>
        <w:rPr>
          <w:rFonts w:ascii="Times New Roman" w:cs="Times New Roman" w:eastAsia="Times New Roman" w:hAnsi="Times New Roman"/>
          <w:sz w:val="18"/>
          <w:szCs w:val="18"/>
          <w:b w:val="1"/>
          <w:bCs w:val="1"/>
          <w:color w:val="auto"/>
        </w:rPr>
      </w:pPr>
    </w:p>
    <w:p>
      <w:pPr>
        <w:ind w:left="1020" w:right="59"/>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18, 2020, the Company completed a private placement (the “2020 Offering”) to certain existing and new institutional and other accredited investors in reliance on the exemption from registration set forth in Section 4(2) of the U.S. Securities Act of 1933, as amended (the “Securities Act”). The Company sold approximately 17.6 million unregistered shares of Common Stock in the 2020 Offering at a price per share of $2.485. The Company generated gross proceeds equal to approximately $43.7 million in the Private Placement; net proceeds generated from the private placement were approximately $41.3 million, after deducting advisory fees and other estimated offering expenses. Each share of Common Stock issued was accompanied by a warrant to purchase one share of Common Stock at an exercise price equal to $2.36. The warrants were exercisable commencing six months following their issuance for a period of five years from the date of issuance. For accounting purposes, the warrants are classified as equity considering the warrants’ terms.</w:t>
      </w:r>
    </w:p>
    <w:p>
      <w:pPr>
        <w:spacing w:after="0" w:line="151" w:lineRule="exact"/>
        <w:rPr>
          <w:rFonts w:ascii="Times New Roman" w:cs="Times New Roman" w:eastAsia="Times New Roman" w:hAnsi="Times New Roman"/>
          <w:sz w:val="18"/>
          <w:szCs w:val="18"/>
          <w:b w:val="1"/>
          <w:bCs w:val="1"/>
          <w:color w:val="auto"/>
        </w:rPr>
      </w:pPr>
    </w:p>
    <w:p>
      <w:pPr>
        <w:ind w:left="1020" w:right="29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 ended December 31, 2020, the Company issued 200,000 shares of Common Stock in connection with the cash exercise of a warrant issued in the 2020 Offering and generated proceeds equal to $472,000 from such exercise.</w:t>
      </w:r>
    </w:p>
    <w:p>
      <w:pPr>
        <w:spacing w:after="0" w:line="148" w:lineRule="exact"/>
        <w:rPr>
          <w:rFonts w:ascii="Times New Roman" w:cs="Times New Roman" w:eastAsia="Times New Roman" w:hAnsi="Times New Roman"/>
          <w:sz w:val="18"/>
          <w:szCs w:val="18"/>
          <w:b w:val="1"/>
          <w:bCs w:val="1"/>
          <w:color w:val="auto"/>
        </w:rPr>
      </w:pPr>
    </w:p>
    <w:p>
      <w:pPr>
        <w:ind w:left="1020" w:right="49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June 7, 2021, the Company issued 173,816 shares of Common Stock in connection with the cashless exercise of a warrant to purchase 2,816,901 shares of Common Stock issued in the 2020 Offering. The Company did not generate any proceeds from the cashless exercise.</w:t>
      </w:r>
    </w:p>
    <w:p>
      <w:pPr>
        <w:spacing w:after="0" w:line="135" w:lineRule="exact"/>
        <w:rPr>
          <w:rFonts w:ascii="Times New Roman" w:cs="Times New Roman" w:eastAsia="Times New Roman" w:hAnsi="Times New Roman"/>
          <w:sz w:val="18"/>
          <w:szCs w:val="18"/>
          <w:b w:val="1"/>
          <w:bCs w:val="1"/>
          <w:color w:val="auto"/>
        </w:rPr>
      </w:pPr>
    </w:p>
    <w:p>
      <w:pPr>
        <w:ind w:left="1020" w:right="29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 ended December 31, 2022, the Company issued 1,000 shares of Common Stock in connection with the cash exercise of a warrant issued in the 2020 Offering and generated proceeds equal to $2,360 from such exercise.</w:t>
      </w:r>
    </w:p>
    <w:p>
      <w:pPr>
        <w:spacing w:after="0" w:line="131" w:lineRule="exact"/>
        <w:rPr>
          <w:rFonts w:ascii="Times New Roman" w:cs="Times New Roman" w:eastAsia="Times New Roman" w:hAnsi="Times New Roman"/>
          <w:sz w:val="18"/>
          <w:szCs w:val="18"/>
          <w:b w:val="1"/>
          <w:bCs w:val="1"/>
          <w:color w:val="auto"/>
        </w:rPr>
      </w:pPr>
    </w:p>
    <w:p>
      <w:pPr>
        <w:ind w:left="1000" w:hanging="302"/>
        <w:spacing w:after="0"/>
        <w:tabs>
          <w:tab w:leader="none" w:pos="100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At-the-Market (ATM) Offering</w:t>
      </w:r>
    </w:p>
    <w:p>
      <w:pPr>
        <w:spacing w:after="0" w:line="202" w:lineRule="exact"/>
        <w:rPr>
          <w:sz w:val="20"/>
          <w:szCs w:val="20"/>
          <w:color w:val="auto"/>
        </w:rPr>
      </w:pPr>
    </w:p>
    <w:p>
      <w:pPr>
        <w:ind w:left="1020" w:right="179"/>
        <w:spacing w:after="0" w:line="266" w:lineRule="auto"/>
        <w:rPr>
          <w:sz w:val="20"/>
          <w:szCs w:val="20"/>
          <w:color w:val="auto"/>
        </w:rPr>
      </w:pPr>
      <w:r>
        <w:rPr>
          <w:rFonts w:ascii="Times New Roman" w:cs="Times New Roman" w:eastAsia="Times New Roman" w:hAnsi="Times New Roman"/>
          <w:sz w:val="18"/>
          <w:szCs w:val="18"/>
          <w:color w:val="auto"/>
        </w:rPr>
        <w:t>On July 2, 2021, the Company entered into the Sales Agreement with the Agent. Pursuant to the terms of the Sales Agreement, the Company may sell from time to time through the Agent ATM Shares having an aggregate offering price of up to $20.0 million.</w:t>
      </w:r>
    </w:p>
    <w:p>
      <w:pPr>
        <w:spacing w:after="0" w:line="135" w:lineRule="exact"/>
        <w:rPr>
          <w:sz w:val="20"/>
          <w:szCs w:val="20"/>
          <w:color w:val="auto"/>
        </w:rPr>
      </w:pPr>
    </w:p>
    <w:p>
      <w:pPr>
        <w:ind w:left="1020" w:right="199"/>
        <w:spacing w:after="0" w:line="266" w:lineRule="auto"/>
        <w:rPr>
          <w:sz w:val="20"/>
          <w:szCs w:val="20"/>
          <w:color w:val="auto"/>
        </w:rPr>
      </w:pPr>
      <w:r>
        <w:rPr>
          <w:rFonts w:ascii="Times New Roman" w:cs="Times New Roman" w:eastAsia="Times New Roman" w:hAnsi="Times New Roman"/>
          <w:sz w:val="18"/>
          <w:szCs w:val="18"/>
          <w:color w:val="auto"/>
        </w:rPr>
        <w:t>The Company has no obligation to sell any of the Shares, and may at any time suspend sales under the Sales Agreement or terminate the Sales Agreement in accordance with its terms. The Agent is entitled to a commission of up to 3.0% of the aggregate gross proceeds from the ATM Shares sold.</w:t>
      </w:r>
    </w:p>
    <w:p>
      <w:pPr>
        <w:spacing w:after="0" w:line="135" w:lineRule="exact"/>
        <w:rPr>
          <w:sz w:val="20"/>
          <w:szCs w:val="20"/>
          <w:color w:val="auto"/>
        </w:rPr>
      </w:pPr>
    </w:p>
    <w:p>
      <w:pPr>
        <w:jc w:val="both"/>
        <w:ind w:left="1020" w:right="13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2020, the Company sold 1,428,571 shares of Common Stock under the BofA Agreement. The Company generated gross proceeds equal to approximately $5.0 million in connection with such sales.</w:t>
      </w:r>
    </w:p>
    <w:p>
      <w:pPr>
        <w:spacing w:after="0" w:line="149" w:lineRule="exact"/>
        <w:rPr>
          <w:sz w:val="20"/>
          <w:szCs w:val="20"/>
          <w:color w:val="auto"/>
        </w:rPr>
      </w:pPr>
    </w:p>
    <w:p>
      <w:pPr>
        <w:jc w:val="both"/>
        <w:ind w:left="1020" w:right="9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but prior to the termination of the BofA Agreement, the Company sold 1,867,552 shares of Common Stock under the BofA Agreement. The Company generated gross proceeds equal to approximately $8.8 million in connection with such sales.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020" w:right="21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sold 7,473,038 ATM Shares under the Sales Agreement. The Company generated gross proceeds equal to approximately $8.7 million in connection with such sales.</w:t>
      </w:r>
    </w:p>
    <w:p>
      <w:pPr>
        <w:spacing w:after="0" w:line="131" w:lineRule="exact"/>
        <w:rPr>
          <w:sz w:val="20"/>
          <w:szCs w:val="20"/>
          <w:color w:val="auto"/>
        </w:rPr>
      </w:pPr>
    </w:p>
    <w:p>
      <w:pPr>
        <w:ind w:left="980" w:hanging="282"/>
        <w:spacing w:after="0"/>
        <w:tabs>
          <w:tab w:leader="none" w:pos="98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Public Offering</w:t>
      </w:r>
    </w:p>
    <w:p>
      <w:pPr>
        <w:spacing w:after="0" w:line="189" w:lineRule="exact"/>
        <w:rPr>
          <w:sz w:val="20"/>
          <w:szCs w:val="20"/>
          <w:color w:val="auto"/>
        </w:rPr>
      </w:pPr>
    </w:p>
    <w:p>
      <w:pPr>
        <w:ind w:left="1020" w:right="219"/>
        <w:spacing w:after="0" w:line="258" w:lineRule="auto"/>
        <w:rPr>
          <w:sz w:val="20"/>
          <w:szCs w:val="20"/>
          <w:color w:val="auto"/>
        </w:rPr>
      </w:pPr>
      <w:r>
        <w:rPr>
          <w:rFonts w:ascii="Times New Roman" w:cs="Times New Roman" w:eastAsia="Times New Roman" w:hAnsi="Times New Roman"/>
          <w:sz w:val="18"/>
          <w:szCs w:val="18"/>
          <w:color w:val="auto"/>
        </w:rPr>
        <w:t>On February 17, 2021, the Company issued and sold 8,749,999 shares of Common Stock in an underwritten public offering at a price to the public of $4.60 per share for gross proceeds of approximately $40.2 million before deducting the underwriting discount and estimated expenses of the offering. The above included the exercise of the underwriters’ over-allotment option to purchase 1,141,304 shares of Common Stock. BofA Securities acted as book-running manager for the offering with Oppenheimer &amp; Co. acting as co-manager.</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 CONVERTIBLE NOTES</w:t>
      </w:r>
    </w:p>
    <w:p>
      <w:pPr>
        <w:spacing w:after="0" w:line="189" w:lineRule="exact"/>
        <w:rPr>
          <w:sz w:val="20"/>
          <w:szCs w:val="20"/>
          <w:color w:val="auto"/>
        </w:rPr>
      </w:pPr>
    </w:p>
    <w:p>
      <w:pPr>
        <w:ind w:left="700" w:right="159"/>
        <w:spacing w:after="0" w:line="270" w:lineRule="auto"/>
        <w:rPr>
          <w:sz w:val="20"/>
          <w:szCs w:val="20"/>
          <w:color w:val="auto"/>
        </w:rPr>
      </w:pPr>
      <w:r>
        <w:rPr>
          <w:rFonts w:ascii="Times New Roman" w:cs="Times New Roman" w:eastAsia="Times New Roman" w:hAnsi="Times New Roman"/>
          <w:sz w:val="17"/>
          <w:szCs w:val="17"/>
          <w:color w:val="auto"/>
        </w:rPr>
        <w:t>On August 25, 2021, the Company completed exchanges (the “Exchanges”) of a substantial majority of the Company’s outstanding 2021 Notes with certain institutional note holders. The Exchanges involved the exchange of an aggregate of $54.65 million principal amount of the Company’s outstanding 2021 Notes for an aggregate of $28.75 million principal amount of newly issued 2024 Notes, $25.90 million in cash, and approximately</w:t>
      </w:r>
    </w:p>
    <w:p>
      <w:pPr>
        <w:spacing w:after="0" w:line="3" w:lineRule="exact"/>
        <w:rPr>
          <w:sz w:val="20"/>
          <w:szCs w:val="20"/>
          <w:color w:val="auto"/>
        </w:rPr>
      </w:pPr>
    </w:p>
    <w:p>
      <w:pPr>
        <w:ind w:left="700" w:right="79"/>
        <w:spacing w:after="0" w:line="253" w:lineRule="auto"/>
        <w:rPr>
          <w:sz w:val="20"/>
          <w:szCs w:val="20"/>
          <w:color w:val="auto"/>
        </w:rPr>
      </w:pPr>
      <w:r>
        <w:rPr>
          <w:rFonts w:ascii="Times New Roman" w:cs="Times New Roman" w:eastAsia="Times New Roman" w:hAnsi="Times New Roman"/>
          <w:sz w:val="18"/>
          <w:szCs w:val="18"/>
          <w:color w:val="auto"/>
        </w:rPr>
        <w:t>$1.1 million in cash representing accrued and unpaid interest through the issue date. The initial conversion rate for the 2024 Notes is 563.2216 shares of Common Stock for each $1,000 principal amount of 2024 Notes (equivalent to an initial conversion price of approximately $1.7755 per share of the Common Stock), subject to adjustment in certain circumstances, which is based on a 32.5% premium to the closing price of the Common Stock on the NYSE American at the close of trading on August 13, 2021, the exchange date.</w:t>
      </w:r>
    </w:p>
    <w:p>
      <w:pPr>
        <w:spacing w:after="0" w:line="142" w:lineRule="exact"/>
        <w:rPr>
          <w:sz w:val="20"/>
          <w:szCs w:val="20"/>
          <w:color w:val="auto"/>
        </w:rPr>
      </w:pPr>
    </w:p>
    <w:p>
      <w:pPr>
        <w:ind w:left="1020" w:hanging="322"/>
        <w:spacing w:after="0"/>
        <w:tabs>
          <w:tab w:leader="none" w:pos="102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7.5% Convertible Notes Due 2021</w:t>
      </w:r>
    </w:p>
    <w:p>
      <w:pPr>
        <w:spacing w:after="0" w:line="202" w:lineRule="exact"/>
        <w:rPr>
          <w:rFonts w:ascii="Times New Roman" w:cs="Times New Roman" w:eastAsia="Times New Roman" w:hAnsi="Times New Roman"/>
          <w:sz w:val="18"/>
          <w:szCs w:val="18"/>
          <w:b w:val="1"/>
          <w:bCs w:val="1"/>
          <w:color w:val="auto"/>
        </w:rPr>
      </w:pPr>
    </w:p>
    <w:p>
      <w:pPr>
        <w:ind w:left="1020" w:right="47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1, 2016, the Company entered into a note purchase agreement with institutional investors, which held part of the 2018 Notes (the “2016 Purchasers”), relating to the sale by the Company of</w:t>
      </w:r>
    </w:p>
    <w:p>
      <w:pPr>
        <w:ind w:left="1020" w:right="119"/>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$22.5 million aggregate principal amount of 7.50% Senior Secured Convertible Notes due 2021 in a private placement pursuant to Section 4(a)(2) under the Securities Act. Concurrently with the consummation of the private placement of the 2021 Notes, the Company entered into a privately negotiated exchange agreement (the “2016 Exchange Agreement”) with certain existing note holders identified therein to exchange $54.1 million aggregate principal amount of the Company’s outstanding 2018 Notes for (i) $40.186 million aggregate principal amount of 2021 Notes, (ii) 2,384,673 shares of Common Stock and (iii) cash, equal to the accrued and unpaid interest on the 2018 Notes and any fractional shares. The closing date of the purchase agreement and the 2016 Exchange Agreement was December 7, 2016. The issuance of the 2021 Notes and shares in the exchange and the private placement were made in reliance on the exemption from the registration requirements of the Securities Act pursuant to Section 4(a)(2) thereof. The net proceeds from the private placement were $19.7 million, after deducting the placement agent’s fees and the Company’s estimated offering expenses.</w:t>
      </w:r>
    </w:p>
    <w:p>
      <w:pPr>
        <w:spacing w:after="0" w:line="151" w:lineRule="exact"/>
        <w:rPr>
          <w:rFonts w:ascii="Times New Roman" w:cs="Times New Roman" w:eastAsia="Times New Roman" w:hAnsi="Times New Roman"/>
          <w:sz w:val="18"/>
          <w:szCs w:val="18"/>
          <w:b w:val="1"/>
          <w:bCs w:val="1"/>
          <w:color w:val="auto"/>
        </w:rPr>
      </w:pPr>
    </w:p>
    <w:p>
      <w:pPr>
        <w:ind w:left="1020" w:right="59"/>
        <w:spacing w:after="0" w:line="258"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In connection with the completion of the exchange and the private placement, the Company entered into the </w:t>
      </w:r>
      <w:hyperlink r:id="rId163">
        <w:r>
          <w:rPr>
            <w:rFonts w:ascii="Times New Roman" w:cs="Times New Roman" w:eastAsia="Times New Roman" w:hAnsi="Times New Roman"/>
            <w:sz w:val="18"/>
            <w:szCs w:val="18"/>
            <w:u w:val="single" w:color="auto"/>
            <w:color w:val="0000EE"/>
          </w:rPr>
          <w:t>Indenture, dated as of December 7, 2016, with the guarantors party thereto, The Bank of New York Mellon</w:t>
        </w:r>
      </w:hyperlink>
      <w:r>
        <w:rPr>
          <w:rFonts w:ascii="Times New Roman" w:cs="Times New Roman" w:eastAsia="Times New Roman" w:hAnsi="Times New Roman"/>
          <w:sz w:val="18"/>
          <w:szCs w:val="18"/>
          <w:u w:val="single" w:color="auto"/>
          <w:color w:val="0000EE"/>
        </w:rPr>
        <w:t xml:space="preserve"> </w:t>
      </w:r>
      <w:hyperlink r:id="rId163">
        <w:r>
          <w:rPr>
            <w:rFonts w:ascii="Times New Roman" w:cs="Times New Roman" w:eastAsia="Times New Roman" w:hAnsi="Times New Roman"/>
            <w:sz w:val="18"/>
            <w:szCs w:val="18"/>
            <w:u w:val="single" w:color="auto"/>
            <w:color w:val="0000EE"/>
          </w:rPr>
          <w:t>Trust Company, N.A., as trustee and Wilmington Savings Fund Society, FSB, as collateral agent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“2016</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Indenture”). The 2021 Notes accrued interest at a rate of 7.50% per year. A portion of the interest payable was allowed to be made in shares of Common Stock at the Company’s election.</w:t>
      </w:r>
    </w:p>
    <w:p>
      <w:pPr>
        <w:spacing w:after="0" w:line="142" w:lineRule="exact"/>
        <w:rPr>
          <w:rFonts w:ascii="Times New Roman" w:cs="Times New Roman" w:eastAsia="Times New Roman" w:hAnsi="Times New Roman"/>
          <w:sz w:val="18"/>
          <w:szCs w:val="18"/>
          <w:color w:val="0000EE"/>
        </w:rPr>
      </w:pPr>
    </w:p>
    <w:p>
      <w:pPr>
        <w:ind w:left="1020" w:right="79"/>
        <w:spacing w:after="0" w:line="261"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On July 24, 2017, the Company entered into another note purchase agreement with certain institutional investors relating to the private issuance and sale by the Company of $10.0 million in aggregate principal amount of its 2021 Notes. The 2021 Notes were issued pursuant to the 2016 Indenture. The net proceeds from this purchase agreement were $9.5 million, after deducting the Company’s offering expenses.</w:t>
      </w:r>
    </w:p>
    <w:p>
      <w:pPr>
        <w:spacing w:after="0" w:line="396" w:lineRule="exact"/>
        <w:rPr>
          <w:rFonts w:ascii="Times New Roman" w:cs="Times New Roman" w:eastAsia="Times New Roman" w:hAnsi="Times New Roman"/>
          <w:sz w:val="18"/>
          <w:szCs w:val="18"/>
          <w:b w:val="1"/>
          <w:bCs w:val="1"/>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020" w:right="459"/>
        <w:spacing w:after="0" w:line="282" w:lineRule="auto"/>
        <w:rPr>
          <w:sz w:val="20"/>
          <w:szCs w:val="20"/>
          <w:color w:val="auto"/>
        </w:rPr>
      </w:pPr>
      <w:r>
        <w:rPr>
          <w:rFonts w:ascii="Times New Roman" w:cs="Times New Roman" w:eastAsia="Times New Roman" w:hAnsi="Times New Roman"/>
          <w:sz w:val="18"/>
          <w:szCs w:val="18"/>
          <w:color w:val="auto"/>
        </w:rPr>
        <w:t>On November 15, 2021, all the then outstanding 2021 Notes matured and were paid in full, and the 2016 Indenture expired.</w:t>
      </w:r>
    </w:p>
    <w:p>
      <w:pPr>
        <w:spacing w:after="0" w:line="1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sets forth total interest expense recognized related to the 2021 Notes:</w:t>
      </w:r>
    </w:p>
    <w:p>
      <w:pPr>
        <w:spacing w:after="0" w:line="273"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10"/>
        </w:trPr>
        <w:tc>
          <w:tcPr>
            <w:tcW w:w="51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Debt discount amortization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extinguishment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9,114</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4" w:lineRule="exact"/>
        <w:rPr>
          <w:sz w:val="20"/>
          <w:szCs w:val="20"/>
          <w:color w:val="auto"/>
        </w:rPr>
      </w:pPr>
    </w:p>
    <w:p>
      <w:pPr>
        <w:ind w:left="1020" w:hanging="322"/>
        <w:spacing w:after="0"/>
        <w:tabs>
          <w:tab w:leader="none" w:pos="102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7.5% Convertible Notes Due 2024</w:t>
      </w:r>
    </w:p>
    <w:p>
      <w:pPr>
        <w:spacing w:after="0" w:line="202" w:lineRule="exact"/>
        <w:rPr>
          <w:rFonts w:ascii="Times New Roman" w:cs="Times New Roman" w:eastAsia="Times New Roman" w:hAnsi="Times New Roman"/>
          <w:sz w:val="18"/>
          <w:szCs w:val="18"/>
          <w:b w:val="1"/>
          <w:bCs w:val="1"/>
          <w:color w:val="auto"/>
        </w:rPr>
      </w:pPr>
    </w:p>
    <w:p>
      <w:pPr>
        <w:ind w:left="1020" w:right="99"/>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2024 Notes were issued pursuant to an indenture entered into between the Company, the guarantors party thereto, The Bank of New York Mellon Trust Company, N.A., as trustee and Wilmington Savings Fund Society, FSB, as collateral agent (the “2024 Indenture”). Interest on the Notes is payable semi-annually at a rate of 7.50% per annum. The Notes mature three years after the issuance thereof, unless earlier purchased, converted, exchanged or redeemed and are guaranteed by the Company’s subsidiaries. The 2024 Notes are secured by perfected liens on all of the assets of the Company and its subsidiaries.</w:t>
      </w:r>
    </w:p>
    <w:p>
      <w:pPr>
        <w:spacing w:after="0" w:line="146" w:lineRule="exact"/>
        <w:rPr>
          <w:rFonts w:ascii="Times New Roman" w:cs="Times New Roman" w:eastAsia="Times New Roman" w:hAnsi="Times New Roman"/>
          <w:sz w:val="18"/>
          <w:szCs w:val="18"/>
          <w:b w:val="1"/>
          <w:bCs w:val="1"/>
          <w:color w:val="auto"/>
        </w:rPr>
      </w:pPr>
    </w:p>
    <w:p>
      <w:pPr>
        <w:ind w:left="1020" w:right="79"/>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accounting purposes, as the terms of the 2021 Notes and the 2024 Notes are substantially different, the Exchanges were considered an extinguishment of debt. The Company allocated the fair value of the consideration transferred to the participating note holders between the 2021 Notes and their equity component based on the fair value of the liability component before the extinguishment, and the remainder was allocated to the equity component. As a result, the Company recognized a loss from extinguishment in the statement of operations equal to $0.8 million due to derecognition of the liability component and a reduction of stockholders’ equity of $12.2 million.</w:t>
      </w:r>
    </w:p>
    <w:p>
      <w:pPr>
        <w:spacing w:after="0" w:line="148" w:lineRule="exact"/>
        <w:rPr>
          <w:rFonts w:ascii="Times New Roman" w:cs="Times New Roman" w:eastAsia="Times New Roman" w:hAnsi="Times New Roman"/>
          <w:sz w:val="18"/>
          <w:szCs w:val="18"/>
          <w:b w:val="1"/>
          <w:bCs w:val="1"/>
          <w:color w:val="auto"/>
        </w:rPr>
      </w:pPr>
    </w:p>
    <w:p>
      <w:pPr>
        <w:ind w:left="1020" w:right="11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accounted for the 2024 Notes as a liability (debt) and equity component (conversion option) as the convertible notes may be settled wholly or partly in cash, at the option of the Company, when converted. The equity component with respect to the cash conversion feature net of transaction costs of approximately $12.0 million was recognized in the Company’s additional paid in capital.</w:t>
      </w:r>
    </w:p>
    <w:p>
      <w:pPr>
        <w:spacing w:after="0" w:line="152" w:lineRule="exact"/>
        <w:rPr>
          <w:rFonts w:ascii="Times New Roman" w:cs="Times New Roman" w:eastAsia="Times New Roman" w:hAnsi="Times New Roman"/>
          <w:sz w:val="18"/>
          <w:szCs w:val="18"/>
          <w:b w:val="1"/>
          <w:bCs w:val="1"/>
          <w:color w:val="auto"/>
        </w:rPr>
      </w:pPr>
    </w:p>
    <w:p>
      <w:pPr>
        <w:ind w:left="1020" w:right="19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Transaction costs in the amount of approximately $869,000 were allocated to the liability and equity component. The debt discount and debt issuance costs regarding the issuance of the 2024 Notes are deferred and amortized over the convertible notes period using the effective interest rate.</w:t>
      </w:r>
    </w:p>
    <w:p>
      <w:pPr>
        <w:spacing w:after="0" w:line="135" w:lineRule="exact"/>
        <w:rPr>
          <w:rFonts w:ascii="Times New Roman" w:cs="Times New Roman" w:eastAsia="Times New Roman" w:hAnsi="Times New Roman"/>
          <w:sz w:val="18"/>
          <w:szCs w:val="18"/>
          <w:b w:val="1"/>
          <w:bCs w:val="1"/>
          <w:color w:val="auto"/>
        </w:rPr>
      </w:pPr>
    </w:p>
    <w:p>
      <w:pPr>
        <w:jc w:val="both"/>
        <w:ind w:left="1020" w:right="11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Holders may convert their 2024 Notes at any time. The initial conversion rate for the 2024 Notes is 563.2216 shares of Common Stock for each $1,000 principal amount of 2024 Notes (equivalent to an initial conversion price of approximately $1.7755 per share of the Common Stock). Upon conversion, the Company may settle the 2024 Notes by paying or delivering, as the case may be, cash, shares of Common Stock or a combination thereof, at the Company’s election.</w:t>
      </w:r>
    </w:p>
    <w:p>
      <w:pPr>
        <w:spacing w:after="0" w:line="142" w:lineRule="exact"/>
        <w:rPr>
          <w:rFonts w:ascii="Times New Roman" w:cs="Times New Roman" w:eastAsia="Times New Roman" w:hAnsi="Times New Roman"/>
          <w:sz w:val="18"/>
          <w:szCs w:val="18"/>
          <w:b w:val="1"/>
          <w:bCs w:val="1"/>
          <w:color w:val="auto"/>
        </w:rPr>
      </w:pPr>
    </w:p>
    <w:p>
      <w:pPr>
        <w:ind w:left="1020" w:right="43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date, there has been no conversion of 2024 Notes. As of December 31, 2022, a total of $28.75 million aggregate principal amount of the 2024 Notes were outstanding.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Prior to the maturity date, the Company may redeem in cash:</w:t>
      </w:r>
    </w:p>
    <w:p>
      <w:pPr>
        <w:spacing w:after="0" w:line="185" w:lineRule="exact"/>
        <w:rPr>
          <w:sz w:val="20"/>
          <w:szCs w:val="20"/>
          <w:color w:val="auto"/>
        </w:rPr>
      </w:pPr>
    </w:p>
    <w:p>
      <w:pPr>
        <w:ind w:left="1020" w:right="319" w:firstLine="2"/>
        <w:spacing w:after="0" w:line="266" w:lineRule="auto"/>
        <w:tabs>
          <w:tab w:leader="none" w:pos="134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 all of the 2024 Notes if, on or after March 31, 2023, the last reported sale price of the Common Stock for at least 20 trading days (whether or not consecutive) during the period of 30 consecutive trading days exceeds 130% of the conversion price on each applicable trading day, or</w:t>
      </w:r>
    </w:p>
    <w:p>
      <w:pPr>
        <w:spacing w:after="0" w:line="135" w:lineRule="exact"/>
        <w:rPr>
          <w:rFonts w:ascii="Times New Roman" w:cs="Times New Roman" w:eastAsia="Times New Roman" w:hAnsi="Times New Roman"/>
          <w:sz w:val="18"/>
          <w:szCs w:val="18"/>
          <w:color w:val="auto"/>
        </w:rPr>
      </w:pPr>
    </w:p>
    <w:p>
      <w:pPr>
        <w:ind w:left="1020" w:right="579" w:firstLine="2"/>
        <w:spacing w:after="0" w:line="282" w:lineRule="auto"/>
        <w:tabs>
          <w:tab w:leader="none" w:pos="134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2024 Notes then outstanding if the aggregate principal amount of the 2024 Notes then outstanding is less than 15% of the aggregate principal amount of the notes issued on August 25, 2021.</w:t>
      </w:r>
    </w:p>
    <w:p>
      <w:pPr>
        <w:spacing w:after="0" w:line="13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To date, there has been no redemption of 2024 Notes.</w:t>
      </w:r>
    </w:p>
    <w:p>
      <w:pPr>
        <w:spacing w:after="0" w:line="185" w:lineRule="exact"/>
        <w:rPr>
          <w:sz w:val="20"/>
          <w:szCs w:val="20"/>
          <w:color w:val="auto"/>
        </w:rPr>
      </w:pPr>
    </w:p>
    <w:p>
      <w:pPr>
        <w:ind w:left="1020" w:right="139"/>
        <w:spacing w:after="0" w:line="252" w:lineRule="auto"/>
        <w:rPr>
          <w:sz w:val="20"/>
          <w:szCs w:val="20"/>
          <w:color w:val="auto"/>
        </w:rPr>
      </w:pPr>
      <w:r>
        <w:rPr>
          <w:rFonts w:ascii="Times New Roman" w:cs="Times New Roman" w:eastAsia="Times New Roman" w:hAnsi="Times New Roman"/>
          <w:sz w:val="18"/>
          <w:szCs w:val="18"/>
          <w:color w:val="auto"/>
        </w:rPr>
        <w:t>The 2024 Notes are guaranteed by the Restricted Subsidiaries (as defined in the 2024 Indenture) and are secured by a first-priority security interest in all of the present and after-acquired assets of the Company and each of the Restricted Subsidiaries (the “Collateral”), including, but not limited to, (i) 100% of the capital stock of the Guarantors (as defined in the 2024 Indenture) and each Restricted Subsidiary of the Company that is held by the Company or any Restricted Subsidiary, (ii) intellectual property, including all copyrights, copyright licenses, patents, patent licenses, software, trademarks, trademark licenses and trade secrets and other proprietary information, including, but not limited to, domain names, (iii) all cash, deposit accounts, securities accounts, commodities accounts and contract rights, (iv) all real property and leased property, subject to applicable minimum thresholds, as set forth in the 2024 Indenture, and (v) all other tangible and intangibles of the Company and the Guarantors. In connection with the grant of such liens, the Company entered into certain agreements with both Wilmington Savings Fund Society, FSB, as collateral agent in the United States, and with Altshuler Shaham Trusts Ltd., as security trustee in Israel. The 2024 Indenture restricts the ability of the Company, the Subsidiaries and any future subsidiaries to make certain investments, including transfers of the Company’s assets that constitute collateral securing the 2024 Notes, in its existing and future foreign subsidiaries, subject to certain exceptions.</w:t>
      </w:r>
    </w:p>
    <w:p>
      <w:pPr>
        <w:spacing w:after="0" w:line="155" w:lineRule="exact"/>
        <w:rPr>
          <w:sz w:val="20"/>
          <w:szCs w:val="20"/>
          <w:color w:val="auto"/>
        </w:rPr>
      </w:pPr>
    </w:p>
    <w:p>
      <w:pPr>
        <w:ind w:left="1020" w:right="219"/>
        <w:spacing w:after="0" w:line="255" w:lineRule="auto"/>
        <w:rPr>
          <w:sz w:val="20"/>
          <w:szCs w:val="20"/>
          <w:color w:val="auto"/>
        </w:rPr>
      </w:pPr>
      <w:r>
        <w:rPr>
          <w:rFonts w:ascii="Times New Roman" w:cs="Times New Roman" w:eastAsia="Times New Roman" w:hAnsi="Times New Roman"/>
          <w:sz w:val="18"/>
          <w:szCs w:val="18"/>
          <w:color w:val="auto"/>
        </w:rPr>
        <w:t>Upon (i) the occurrence of a fundamental change (as defined in the 2024 Indenture) or (ii) if the Company calls the 2024 Notes for redemption as described below (either event, a “make-whole fundamental change”) and a holder elects to convert its 2024 Notes in connection with such make-whole fundamental change, the Company will, in certain circumstances, increase the conversion rate by a number of additional shares (the “Additional Shares”). In no event will the conversion rate exceed the maximum conversion rate, which is 746.2686 shares per $1,000 principal amount of 2024 Notes, which amount is inclusive of repayment of the principal of the 2024 Notes.</w:t>
      </w:r>
    </w:p>
    <w:p>
      <w:pPr>
        <w:spacing w:after="0" w:line="162" w:lineRule="exact"/>
        <w:rPr>
          <w:sz w:val="20"/>
          <w:szCs w:val="20"/>
          <w:color w:val="auto"/>
        </w:rPr>
      </w:pPr>
    </w:p>
    <w:p>
      <w:pPr>
        <w:ind w:left="1020" w:right="139"/>
        <w:spacing w:after="0" w:line="253" w:lineRule="auto"/>
        <w:rPr>
          <w:sz w:val="20"/>
          <w:szCs w:val="20"/>
          <w:color w:val="auto"/>
        </w:rPr>
      </w:pPr>
      <w:r>
        <w:rPr>
          <w:rFonts w:ascii="Times New Roman" w:cs="Times New Roman" w:eastAsia="Times New Roman" w:hAnsi="Times New Roman"/>
          <w:sz w:val="18"/>
          <w:szCs w:val="18"/>
          <w:color w:val="auto"/>
        </w:rPr>
        <w:t xml:space="preserve">If a fundamental change occurs at any time, holders will have the right, at their option, to require the Company to purchase for cash any or all of the 2024 Notes, or any portion of the principal amount thereof, that is equal to $1,000 or an integral multiple of $1,000 in excess thereof, on a date of the Company’s choosing that is not less than 20 calendar days nor more than 35 calendar days after the date of the applicable fundamental change company notice. The price the Company is required to pay for a 2024 Note is equal to 100% of the principal amount of such 2024 Note plus accrued and unpaid interest, if any, to, but excluding, the fundamental change purchase date. Under the terms of the 2024 Indenture, the Company is required to </w:t>
      </w:r>
      <w:r>
        <w:rPr>
          <w:rFonts w:ascii="Times New Roman" w:cs="Times New Roman" w:eastAsia="Times New Roman" w:hAnsi="Times New Roman"/>
          <w:sz w:val="18"/>
          <w:szCs w:val="18"/>
          <w:color w:val="222222"/>
        </w:rPr>
        <w:t xml:space="preserve">meet certain covenants including the requirement to </w:t>
      </w:r>
      <w:r>
        <w:rPr>
          <w:rFonts w:ascii="Times New Roman" w:cs="Times New Roman" w:eastAsia="Times New Roman" w:hAnsi="Times New Roman"/>
          <w:sz w:val="18"/>
          <w:szCs w:val="18"/>
          <w:color w:val="000000"/>
        </w:rPr>
        <w:t>maintain a minimum cash balance of at least</w:t>
      </w:r>
    </w:p>
    <w:p>
      <w:pPr>
        <w:spacing w:after="0" w:line="1" w:lineRule="exact"/>
        <w:rPr>
          <w:sz w:val="20"/>
          <w:szCs w:val="20"/>
          <w:color w:val="auto"/>
        </w:rPr>
      </w:pPr>
    </w:p>
    <w:p>
      <w:pPr>
        <w:jc w:val="both"/>
        <w:ind w:left="1020" w:right="139"/>
        <w:spacing w:after="0" w:line="255" w:lineRule="auto"/>
        <w:rPr>
          <w:sz w:val="20"/>
          <w:szCs w:val="20"/>
          <w:color w:val="auto"/>
        </w:rPr>
      </w:pPr>
      <w:r>
        <w:rPr>
          <w:rFonts w:ascii="Times New Roman" w:cs="Times New Roman" w:eastAsia="Times New Roman" w:hAnsi="Times New Roman"/>
          <w:sz w:val="18"/>
          <w:szCs w:val="18"/>
          <w:color w:val="auto"/>
        </w:rPr>
        <w:t>$7.5 million. Failure to meet covenants can be considered an event of default and, accordingly, may result in the acceleration of the payment of the notes or in additional interest payments. As of December 31, 2022, the Company was in compliance with all covenants.</w:t>
      </w:r>
    </w:p>
    <w:p>
      <w:pPr>
        <w:spacing w:after="0" w:line="145" w:lineRule="exact"/>
        <w:rPr>
          <w:sz w:val="20"/>
          <w:szCs w:val="20"/>
          <w:color w:val="auto"/>
        </w:rPr>
      </w:pPr>
    </w:p>
    <w:p>
      <w:pPr>
        <w:ind w:left="1020" w:right="219"/>
        <w:spacing w:after="0" w:line="266" w:lineRule="auto"/>
        <w:rPr>
          <w:sz w:val="20"/>
          <w:szCs w:val="20"/>
          <w:color w:val="auto"/>
        </w:rPr>
      </w:pPr>
      <w:r>
        <w:rPr>
          <w:rFonts w:ascii="Times New Roman" w:cs="Times New Roman" w:eastAsia="Times New Roman" w:hAnsi="Times New Roman"/>
          <w:sz w:val="18"/>
          <w:szCs w:val="18"/>
          <w:color w:val="auto"/>
        </w:rPr>
        <w:t>The Company prepared a valuation of the fair value of the 2024 Notes and 2021 Notes (a Level 3 valuation) as of August 25, 2021. The value was estimated by implementing the binomial model. The liability component was valued based on the Income Approach. The following parameters were used: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4"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8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2021 Notes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 Notes</w:t>
            </w:r>
          </w:p>
        </w:tc>
        <w:tc>
          <w:tcPr>
            <w:tcW w:w="16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 (USD)</w:t>
            </w:r>
          </w:p>
        </w:tc>
        <w:tc>
          <w:tcPr>
            <w:tcW w:w="20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2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0.05 %</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2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78.95 %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91.35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Yield</w:t>
            </w:r>
          </w:p>
        </w:tc>
        <w:tc>
          <w:tcPr>
            <w:tcW w:w="2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7.87 %</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1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sets forth total interest expense recognized related to the 2024 Notes:</w:t>
      </w:r>
    </w:p>
    <w:p>
      <w:pPr>
        <w:spacing w:after="0" w:line="273"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09"/>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Amortization of debt issuance costs and debt discount</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 FAIR VALUE MEASUREMENT</w:t>
      </w:r>
    </w:p>
    <w:p>
      <w:pPr>
        <w:spacing w:after="0" w:line="189" w:lineRule="exact"/>
        <w:rPr>
          <w:sz w:val="20"/>
          <w:szCs w:val="20"/>
          <w:color w:val="auto"/>
        </w:rPr>
      </w:pPr>
    </w:p>
    <w:p>
      <w:pPr>
        <w:ind w:left="680" w:right="59"/>
        <w:spacing w:after="0" w:line="266" w:lineRule="auto"/>
        <w:rPr>
          <w:sz w:val="20"/>
          <w:szCs w:val="20"/>
          <w:color w:val="auto"/>
        </w:rPr>
      </w:pPr>
      <w:r>
        <w:rPr>
          <w:rFonts w:ascii="Times New Roman" w:cs="Times New Roman" w:eastAsia="Times New Roman" w:hAnsi="Times New Roman"/>
          <w:sz w:val="18"/>
          <w:szCs w:val="18"/>
          <w:color w:val="auto"/>
        </w:rPr>
        <w:t>The Company discloses fair value measurements for financial assets and liabilities. Fair value is based on the price that would be received from the sale of an asset, or paid to transfer a liability, in an orderly transaction between market participants at the measurement date.</w:t>
      </w:r>
    </w:p>
    <w:p>
      <w:pPr>
        <w:spacing w:after="0" w:line="149" w:lineRule="exact"/>
        <w:rPr>
          <w:sz w:val="20"/>
          <w:szCs w:val="20"/>
          <w:color w:val="auto"/>
        </w:rPr>
      </w:pPr>
    </w:p>
    <w:p>
      <w:pPr>
        <w:ind w:left="680" w:right="79"/>
        <w:spacing w:after="0" w:line="282" w:lineRule="auto"/>
        <w:rPr>
          <w:sz w:val="20"/>
          <w:szCs w:val="20"/>
          <w:color w:val="auto"/>
        </w:rPr>
      </w:pPr>
      <w:r>
        <w:rPr>
          <w:rFonts w:ascii="Times New Roman" w:cs="Times New Roman" w:eastAsia="Times New Roman" w:hAnsi="Times New Roman"/>
          <w:sz w:val="18"/>
          <w:szCs w:val="18"/>
          <w:color w:val="auto"/>
        </w:rPr>
        <w:t>The accounting standard establishes a fair value hierarchy that prioritizes observable and unobservable inputs used to measure fair value into three broad levels, which are described below:</w:t>
      </w:r>
    </w:p>
    <w:p>
      <w:pPr>
        <w:spacing w:after="0" w:line="121" w:lineRule="exact"/>
        <w:rPr>
          <w:sz w:val="20"/>
          <w:szCs w:val="20"/>
          <w:color w:val="auto"/>
        </w:rPr>
      </w:pPr>
    </w:p>
    <w:p>
      <w:pPr>
        <w:ind w:left="680" w:right="419"/>
        <w:spacing w:after="0" w:line="282" w:lineRule="auto"/>
        <w:rPr>
          <w:sz w:val="20"/>
          <w:szCs w:val="20"/>
          <w:color w:val="auto"/>
        </w:rPr>
      </w:pPr>
      <w:r>
        <w:rPr>
          <w:rFonts w:ascii="Times New Roman" w:cs="Times New Roman" w:eastAsia="Times New Roman" w:hAnsi="Times New Roman"/>
          <w:sz w:val="18"/>
          <w:szCs w:val="18"/>
          <w:color w:val="auto"/>
        </w:rPr>
        <w:t>Level 1: Quoted prices (unadjusted) in active markets that are accessible at the measurement date for assets or liabilities. The fair value hierarchy gives the highest priority to Level 1 inputs.</w:t>
      </w:r>
    </w:p>
    <w:p>
      <w:pPr>
        <w:spacing w:after="0" w:line="1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Level 2: Observable prices that are based on inputs not quoted on active markets, but corroborated by market data.</w:t>
      </w:r>
    </w:p>
    <w:p>
      <w:pPr>
        <w:spacing w:after="0" w:line="198" w:lineRule="exact"/>
        <w:rPr>
          <w:sz w:val="20"/>
          <w:szCs w:val="20"/>
          <w:color w:val="auto"/>
        </w:rPr>
      </w:pPr>
    </w:p>
    <w:p>
      <w:pPr>
        <w:ind w:left="680" w:right="79"/>
        <w:spacing w:after="0" w:line="282" w:lineRule="auto"/>
        <w:rPr>
          <w:sz w:val="20"/>
          <w:szCs w:val="20"/>
          <w:color w:val="auto"/>
        </w:rPr>
      </w:pPr>
      <w:r>
        <w:rPr>
          <w:rFonts w:ascii="Times New Roman" w:cs="Times New Roman" w:eastAsia="Times New Roman" w:hAnsi="Times New Roman"/>
          <w:sz w:val="18"/>
          <w:szCs w:val="18"/>
          <w:color w:val="auto"/>
        </w:rPr>
        <w:t>Level 3: Unobservable inputs are used when little or no market data is available. The fair value hierarchy gives the lowest priority to Level 3 inputs.</w:t>
      </w:r>
    </w:p>
    <w:p>
      <w:pPr>
        <w:spacing w:after="0" w:line="121" w:lineRule="exact"/>
        <w:rPr>
          <w:sz w:val="20"/>
          <w:szCs w:val="20"/>
          <w:color w:val="auto"/>
        </w:rPr>
      </w:pPr>
    </w:p>
    <w:p>
      <w:pPr>
        <w:ind w:left="680" w:right="259"/>
        <w:spacing w:after="0" w:line="266"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and considers counterparty credit risk in its assessment of fair value.</w:t>
      </w:r>
    </w:p>
    <w:p>
      <w:pPr>
        <w:spacing w:after="0" w:line="135" w:lineRule="exact"/>
        <w:rPr>
          <w:sz w:val="20"/>
          <w:szCs w:val="20"/>
          <w:color w:val="auto"/>
        </w:rPr>
      </w:pPr>
    </w:p>
    <w:p>
      <w:pPr>
        <w:ind w:left="680" w:right="219"/>
        <w:spacing w:after="0" w:line="282" w:lineRule="auto"/>
        <w:rPr>
          <w:sz w:val="20"/>
          <w:szCs w:val="20"/>
          <w:color w:val="auto"/>
        </w:rPr>
      </w:pPr>
      <w:r>
        <w:rPr>
          <w:rFonts w:ascii="Times New Roman" w:cs="Times New Roman" w:eastAsia="Times New Roman" w:hAnsi="Times New Roman"/>
          <w:sz w:val="18"/>
          <w:szCs w:val="18"/>
          <w:color w:val="auto"/>
        </w:rPr>
        <w:t>The fair value of the financial instruments included in the working capital of the Company is usually identical or close to their carrying value.</w:t>
      </w:r>
    </w:p>
    <w:p>
      <w:pPr>
        <w:spacing w:after="0" w:line="135" w:lineRule="exact"/>
        <w:rPr>
          <w:sz w:val="20"/>
          <w:szCs w:val="20"/>
          <w:color w:val="auto"/>
        </w:rPr>
      </w:pPr>
    </w:p>
    <w:p>
      <w:pPr>
        <w:ind w:left="680" w:right="899"/>
        <w:spacing w:after="0" w:line="282" w:lineRule="auto"/>
        <w:rPr>
          <w:sz w:val="20"/>
          <w:szCs w:val="20"/>
          <w:color w:val="auto"/>
        </w:rPr>
      </w:pPr>
      <w:r>
        <w:rPr>
          <w:rFonts w:ascii="Times New Roman" w:cs="Times New Roman" w:eastAsia="Times New Roman" w:hAnsi="Times New Roman"/>
          <w:sz w:val="18"/>
          <w:szCs w:val="18"/>
          <w:color w:val="auto"/>
        </w:rPr>
        <w:t>The fair value of the outstanding $28.75 million 2024 Notes as of December 31, 2022 is approximately $34.6 million based on a level 3 measurement.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left="680" w:right="139"/>
        <w:spacing w:after="0" w:line="266" w:lineRule="auto"/>
        <w:rPr>
          <w:sz w:val="20"/>
          <w:szCs w:val="20"/>
          <w:color w:val="auto"/>
        </w:rPr>
      </w:pPr>
      <w:r>
        <w:rPr>
          <w:rFonts w:ascii="Times New Roman" w:cs="Times New Roman" w:eastAsia="Times New Roman" w:hAnsi="Times New Roman"/>
          <w:sz w:val="18"/>
          <w:szCs w:val="18"/>
          <w:color w:val="auto"/>
        </w:rPr>
        <w:t>The Company prepared the valuation of the fair value of the 2024 Notes (a Level 3 valuation) as of December 31, 2022. The value of these notes were estimated by implementing the binomial model. The liability component was valued based on the Income Approach. The following parameters were used:</w:t>
      </w:r>
    </w:p>
    <w:p>
      <w:pPr>
        <w:spacing w:after="0" w:line="210"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3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 Notes</w:t>
            </w:r>
          </w:p>
        </w:tc>
        <w:tc>
          <w:tcPr>
            <w:tcW w:w="16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 (USD)</w:t>
            </w:r>
          </w:p>
        </w:tc>
        <w:tc>
          <w:tcPr>
            <w:tcW w:w="24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3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3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3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Yield</w:t>
            </w:r>
          </w:p>
        </w:tc>
        <w:tc>
          <w:tcPr>
            <w:tcW w:w="3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12.75 %</w:t>
            </w: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 TAXES ON INCOME</w:t>
      </w:r>
    </w:p>
    <w:p>
      <w:pPr>
        <w:spacing w:after="0" w:line="185" w:lineRule="exact"/>
        <w:rPr>
          <w:sz w:val="20"/>
          <w:szCs w:val="20"/>
          <w:color w:val="auto"/>
        </w:rPr>
      </w:pPr>
    </w:p>
    <w:p>
      <w:pPr>
        <w:ind w:left="1040" w:hanging="315"/>
        <w:spacing w:after="0"/>
        <w:tabs>
          <w:tab w:leader="none" w:pos="104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Company</w:t>
      </w:r>
    </w:p>
    <w:p>
      <w:pPr>
        <w:spacing w:after="0" w:line="202" w:lineRule="exact"/>
        <w:rPr>
          <w:sz w:val="20"/>
          <w:szCs w:val="20"/>
          <w:color w:val="auto"/>
        </w:rPr>
      </w:pPr>
    </w:p>
    <w:p>
      <w:pPr>
        <w:ind w:left="1020" w:right="419"/>
        <w:spacing w:after="0" w:line="282" w:lineRule="auto"/>
        <w:rPr>
          <w:sz w:val="20"/>
          <w:szCs w:val="20"/>
          <w:color w:val="auto"/>
        </w:rPr>
      </w:pPr>
      <w:r>
        <w:rPr>
          <w:rFonts w:ascii="Times New Roman" w:cs="Times New Roman" w:eastAsia="Times New Roman" w:hAnsi="Times New Roman"/>
          <w:sz w:val="18"/>
          <w:szCs w:val="18"/>
          <w:color w:val="auto"/>
        </w:rPr>
        <w:t>Protalix BioTherapeutics, Inc. is taxed according to U.S. tax laws. The Company’s income is taxed in the United States at the rate of up to 21%.</w:t>
      </w:r>
    </w:p>
    <w:p>
      <w:pPr>
        <w:spacing w:after="0" w:line="121" w:lineRule="exact"/>
        <w:rPr>
          <w:sz w:val="20"/>
          <w:szCs w:val="20"/>
          <w:color w:val="auto"/>
        </w:rPr>
      </w:pPr>
    </w:p>
    <w:p>
      <w:pPr>
        <w:ind w:left="1020" w:right="59"/>
        <w:spacing w:after="0" w:line="253" w:lineRule="auto"/>
        <w:rPr>
          <w:sz w:val="20"/>
          <w:szCs w:val="20"/>
          <w:color w:val="auto"/>
        </w:rPr>
      </w:pPr>
      <w:r>
        <w:rPr>
          <w:rFonts w:ascii="Times New Roman" w:cs="Times New Roman" w:eastAsia="Times New Roman" w:hAnsi="Times New Roman"/>
          <w:sz w:val="18"/>
          <w:szCs w:val="18"/>
          <w:color w:val="auto"/>
        </w:rPr>
        <w:t>On December 22, 2017, the Tax Cuts and Jobs Act (the “Act”) was enacted into law. The new legislation represents fundamental and dramatic modifications to the U.S. tax system. The Act contained several key tax provisions that impacted the Company including the reduction of the maximum U.S. federal corporate income tax rate from 35% to 21%, effective January 1, 2018. Other significant changes under the Act included, among others, a one-time repatriation tax on accumulated foreign earnings, a limitation of net operating loss (“NOL”) deduction to 80% of taxable income, and indefinite carryover of post-2017 NOLs. The Act also repealed the corporate alternative minimum tax for tax years beginning after December 31, 2017. Losses generated prior to January 1, 2018 will still be subject to the 20-year carryforward limitation and the alternative minimum tax. Other impacts due to the Act included the repeal of the domestic manufacturing deduction, modification of taxation of controlled foreign corporations, a base erosion anti-abuse tax, modification of interest expense limitation rules, modification of limitation on deductibility of excessive executive compensation, and taxation of global intangible low-taxed income.</w:t>
      </w:r>
    </w:p>
    <w:p>
      <w:pPr>
        <w:spacing w:after="0" w:line="149" w:lineRule="exact"/>
        <w:rPr>
          <w:sz w:val="20"/>
          <w:szCs w:val="20"/>
          <w:color w:val="auto"/>
        </w:rPr>
      </w:pPr>
    </w:p>
    <w:p>
      <w:pPr>
        <w:ind w:left="1020" w:right="99"/>
        <w:spacing w:after="0" w:line="281" w:lineRule="auto"/>
        <w:rPr>
          <w:sz w:val="20"/>
          <w:szCs w:val="20"/>
          <w:color w:val="auto"/>
        </w:rPr>
      </w:pPr>
      <w:r>
        <w:rPr>
          <w:rFonts w:ascii="Times New Roman" w:cs="Times New Roman" w:eastAsia="Times New Roman" w:hAnsi="Times New Roman"/>
          <w:sz w:val="17"/>
          <w:szCs w:val="17"/>
          <w:color w:val="auto"/>
        </w:rPr>
        <w:t>Modification of interest expense limitation rules under the Act provides generally that for taxable years 2019-2022 interest expense deduction shall be limited to 30% of the EBITDA and for taxable years 2022 onwards to 30% of EBIT. Disallowed interest deduction may be carried forward indefinitely. The Company believes that any potential impact (if applicable) of this limitation will be offset by utilization of available NOLs.</w:t>
      </w:r>
    </w:p>
    <w:p>
      <w:pPr>
        <w:spacing w:after="0" w:line="137" w:lineRule="exact"/>
        <w:rPr>
          <w:sz w:val="20"/>
          <w:szCs w:val="20"/>
          <w:color w:val="auto"/>
        </w:rPr>
      </w:pPr>
    </w:p>
    <w:p>
      <w:pPr>
        <w:ind w:left="1020" w:right="239"/>
        <w:spacing w:after="0" w:line="256" w:lineRule="auto"/>
        <w:rPr>
          <w:sz w:val="20"/>
          <w:szCs w:val="20"/>
          <w:color w:val="auto"/>
        </w:rPr>
      </w:pPr>
      <w:r>
        <w:rPr>
          <w:rFonts w:ascii="Times New Roman" w:cs="Times New Roman" w:eastAsia="Times New Roman" w:hAnsi="Times New Roman"/>
          <w:sz w:val="18"/>
          <w:szCs w:val="18"/>
          <w:color w:val="auto"/>
        </w:rPr>
        <w:t>Section 174 of the Act requires taxpayers to capitalize and amortize research and development expenses for tax years beginning after December 31, 2021. This rule became effective for the Company during the year ended December 31, 2022, and resulted in the capitalization of research and development costs of approximately $28.5 million. The Company will amortize these costs for tax purposes over 15 years for research and development performed outside the United States. In the year ended December 31, 2022, the Company recorded income taxes of approximately $530,000.</w:t>
      </w:r>
    </w:p>
    <w:p>
      <w:pPr>
        <w:spacing w:after="0" w:line="147" w:lineRule="exact"/>
        <w:rPr>
          <w:sz w:val="20"/>
          <w:szCs w:val="20"/>
          <w:color w:val="auto"/>
        </w:rPr>
      </w:pPr>
    </w:p>
    <w:p>
      <w:pPr>
        <w:ind w:left="1020" w:right="59"/>
        <w:spacing w:after="0" w:line="261" w:lineRule="auto"/>
        <w:rPr>
          <w:sz w:val="20"/>
          <w:szCs w:val="20"/>
          <w:color w:val="auto"/>
        </w:rPr>
      </w:pPr>
      <w:r>
        <w:rPr>
          <w:rFonts w:ascii="Times New Roman" w:cs="Times New Roman" w:eastAsia="Times New Roman" w:hAnsi="Times New Roman"/>
          <w:sz w:val="18"/>
          <w:szCs w:val="18"/>
          <w:color w:val="auto"/>
        </w:rPr>
        <w:t>The Company believes that all future profits of its subsidiaries will be indefinitely reinvested or that there is no expectation to distribute any taxable dividends from these subsidiaries. The determination of the amount of the unrecognized deferred tax liability related to the undistributed earnings is estimated as an immaterial amount.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020" w:hanging="322"/>
        <w:spacing w:after="0"/>
        <w:tabs>
          <w:tab w:leader="none" w:pos="102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Protalix Ltd.</w:t>
      </w:r>
    </w:p>
    <w:p>
      <w:pPr>
        <w:spacing w:after="0" w:line="188" w:lineRule="exact"/>
        <w:rPr>
          <w:rFonts w:ascii="Times New Roman" w:cs="Times New Roman" w:eastAsia="Times New Roman" w:hAnsi="Times New Roman"/>
          <w:sz w:val="18"/>
          <w:szCs w:val="18"/>
          <w:b w:val="1"/>
          <w:bCs w:val="1"/>
          <w:color w:val="auto"/>
        </w:rPr>
      </w:pPr>
    </w:p>
    <w:p>
      <w:pPr>
        <w:ind w:left="1020" w:right="7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as a “foreign-investment company” measures its results for tax purposes in dollar based on Income Tax Regulations (Bookkeeping Principles of Foreign Invested Companies and of Certain Partnerships and the Determination of Their Taxable Income), 1986. The Israeli Subsidiary is taxed according to Israeli tax laws:</w:t>
      </w:r>
    </w:p>
    <w:p>
      <w:pPr>
        <w:spacing w:after="0" w:line="135" w:lineRule="exact"/>
        <w:rPr>
          <w:rFonts w:ascii="Times New Roman" w:cs="Times New Roman" w:eastAsia="Times New Roman" w:hAnsi="Times New Roman"/>
          <w:sz w:val="18"/>
          <w:szCs w:val="18"/>
          <w:b w:val="1"/>
          <w:bCs w:val="1"/>
          <w:color w:val="auto"/>
        </w:rPr>
      </w:pPr>
    </w:p>
    <w:p>
      <w:pPr>
        <w:ind w:left="1380" w:hanging="331"/>
        <w:spacing w:after="0"/>
        <w:tabs>
          <w:tab w:leader="none" w:pos="13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rates</w:t>
      </w:r>
    </w:p>
    <w:p>
      <w:pPr>
        <w:spacing w:after="0" w:line="202" w:lineRule="exact"/>
        <w:rPr>
          <w:sz w:val="20"/>
          <w:szCs w:val="20"/>
          <w:color w:val="auto"/>
        </w:rPr>
      </w:pPr>
    </w:p>
    <w:p>
      <w:pPr>
        <w:ind w:left="1340" w:right="219"/>
        <w:spacing w:after="0" w:line="282" w:lineRule="auto"/>
        <w:rPr>
          <w:sz w:val="20"/>
          <w:szCs w:val="20"/>
          <w:color w:val="auto"/>
        </w:rPr>
      </w:pPr>
      <w:r>
        <w:rPr>
          <w:rFonts w:ascii="Times New Roman" w:cs="Times New Roman" w:eastAsia="Times New Roman" w:hAnsi="Times New Roman"/>
          <w:sz w:val="18"/>
          <w:szCs w:val="18"/>
          <w:color w:val="auto"/>
        </w:rPr>
        <w:t>The income of the Israeli Subsidiary, other than income from “Approved Enterprises,” is taxed in Israel at the regular corporate tax rates.</w:t>
      </w:r>
    </w:p>
    <w:p>
      <w:pPr>
        <w:spacing w:after="0" w:line="12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The corporate tax rate was 23% for 2018 and thereafter.</w:t>
      </w:r>
    </w:p>
    <w:p>
      <w:pPr>
        <w:spacing w:after="0" w:line="185" w:lineRule="exact"/>
        <w:rPr>
          <w:sz w:val="20"/>
          <w:szCs w:val="20"/>
          <w:color w:val="auto"/>
        </w:rPr>
      </w:pPr>
    </w:p>
    <w:p>
      <w:pPr>
        <w:ind w:left="1340" w:right="79"/>
        <w:spacing w:after="0" w:line="282" w:lineRule="auto"/>
        <w:rPr>
          <w:sz w:val="20"/>
          <w:szCs w:val="20"/>
          <w:color w:val="auto"/>
        </w:rPr>
      </w:pPr>
      <w:r>
        <w:rPr>
          <w:rFonts w:ascii="Times New Roman" w:cs="Times New Roman" w:eastAsia="Times New Roman" w:hAnsi="Times New Roman"/>
          <w:sz w:val="18"/>
          <w:szCs w:val="18"/>
          <w:color w:val="auto"/>
        </w:rPr>
        <w:t>Capital gain on a sale of assets is subject to capital gain tax according to the corporate tax rate in effect in the year during which the assets are sold.</w:t>
      </w:r>
    </w:p>
    <w:p>
      <w:pPr>
        <w:spacing w:after="0" w:line="131" w:lineRule="exact"/>
        <w:rPr>
          <w:sz w:val="20"/>
          <w:szCs w:val="20"/>
          <w:color w:val="auto"/>
        </w:rPr>
      </w:pPr>
    </w:p>
    <w:p>
      <w:pPr>
        <w:ind w:left="1380" w:right="399" w:hanging="331"/>
        <w:spacing w:after="0" w:line="286" w:lineRule="auto"/>
        <w:tabs>
          <w:tab w:leader="none" w:pos="13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Law for the Encouragement of Capital Investments, 1959 (the “Encouragement of Capital Investments Law”)</w:t>
      </w:r>
    </w:p>
    <w:p>
      <w:pPr>
        <w:spacing w:after="0" w:line="118" w:lineRule="exact"/>
        <w:rPr>
          <w:sz w:val="20"/>
          <w:szCs w:val="20"/>
          <w:color w:val="auto"/>
        </w:rPr>
      </w:pPr>
    </w:p>
    <w:p>
      <w:pPr>
        <w:ind w:left="1340" w:right="359"/>
        <w:spacing w:after="0" w:line="261" w:lineRule="auto"/>
        <w:rPr>
          <w:sz w:val="20"/>
          <w:szCs w:val="20"/>
          <w:color w:val="auto"/>
        </w:rPr>
      </w:pPr>
      <w:r>
        <w:rPr>
          <w:rFonts w:ascii="Times New Roman" w:cs="Times New Roman" w:eastAsia="Times New Roman" w:hAnsi="Times New Roman"/>
          <w:sz w:val="18"/>
          <w:szCs w:val="18"/>
          <w:color w:val="auto"/>
        </w:rPr>
        <w:t>Under the Encouragement of Capital Investments Law, including Amendment No. 60 to the Encouragement of Capital Investments Law as published in April 2005, by virtue of the “Approved Enterprise” or “Benefited Enterprise” status the Israeli Subsidiary is entitled to various tax benefits as follows:</w:t>
      </w:r>
    </w:p>
    <w:p>
      <w:pPr>
        <w:spacing w:after="0" w:line="135" w:lineRule="exact"/>
        <w:rPr>
          <w:sz w:val="20"/>
          <w:szCs w:val="20"/>
          <w:color w:val="auto"/>
        </w:rPr>
      </w:pPr>
    </w:p>
    <w:p>
      <w:pPr>
        <w:ind w:left="1660" w:hanging="314"/>
        <w:spacing w:after="0"/>
        <w:tabs>
          <w:tab w:leader="none" w:pos="1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Reduced tax rates</w:t>
      </w:r>
    </w:p>
    <w:p>
      <w:pPr>
        <w:spacing w:after="0" w:line="202" w:lineRule="exact"/>
        <w:rPr>
          <w:rFonts w:ascii="Times New Roman" w:cs="Times New Roman" w:eastAsia="Times New Roman" w:hAnsi="Times New Roman"/>
          <w:sz w:val="18"/>
          <w:szCs w:val="18"/>
          <w:color w:val="auto"/>
        </w:rPr>
      </w:pPr>
    </w:p>
    <w:p>
      <w:pPr>
        <w:ind w:left="1680" w:right="9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derived from the Approved Enterprise during a 10-year period commencing upon the year in which the enterprise first realizes taxable income is tax exempt, provided that the maximum period to which it is restricted by the Encouragement of Capital Investments Law has not elapsed.</w:t>
      </w:r>
    </w:p>
    <w:p>
      <w:pPr>
        <w:spacing w:after="0" w:line="135" w:lineRule="exact"/>
        <w:rPr>
          <w:rFonts w:ascii="Times New Roman" w:cs="Times New Roman" w:eastAsia="Times New Roman" w:hAnsi="Times New Roman"/>
          <w:sz w:val="18"/>
          <w:szCs w:val="18"/>
          <w:color w:val="auto"/>
        </w:rPr>
      </w:pPr>
    </w:p>
    <w:p>
      <w:pPr>
        <w:ind w:left="1680" w:right="13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Israeli Subsidiary has an “Approved Enterprise” plan since 2004 and “Benefited Enterprise” plan since 2009. The period of benefits in respect of the main enterprise of the Company has not yet commenced. The period during which the Company is entitled to benefits in connection with the Benefited Enterprise expired in 2022.</w:t>
      </w:r>
    </w:p>
    <w:p>
      <w:pPr>
        <w:spacing w:after="0" w:line="139" w:lineRule="exact"/>
        <w:rPr>
          <w:rFonts w:ascii="Times New Roman" w:cs="Times New Roman" w:eastAsia="Times New Roman" w:hAnsi="Times New Roman"/>
          <w:sz w:val="18"/>
          <w:szCs w:val="18"/>
          <w:color w:val="auto"/>
        </w:rPr>
      </w:pPr>
    </w:p>
    <w:p>
      <w:pPr>
        <w:ind w:left="1680" w:right="5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Israeli Subsidiary subsequently pays a dividend out of income derived from the “Approved Enterprise” or “Benefited Enterprise” during the tax exemption period, it will be subject to tax on the gross amount distributed (including the company tax on these amounts), at the rate which would have been applicable if such income not been exempted.</w:t>
      </w:r>
    </w:p>
    <w:p>
      <w:pPr>
        <w:spacing w:after="0" w:line="148" w:lineRule="exact"/>
        <w:rPr>
          <w:rFonts w:ascii="Times New Roman" w:cs="Times New Roman" w:eastAsia="Times New Roman" w:hAnsi="Times New Roman"/>
          <w:sz w:val="18"/>
          <w:szCs w:val="18"/>
          <w:color w:val="auto"/>
        </w:rPr>
      </w:pPr>
    </w:p>
    <w:p>
      <w:pPr>
        <w:ind w:left="1660" w:hanging="314"/>
        <w:spacing w:after="0"/>
        <w:tabs>
          <w:tab w:leader="none" w:pos="1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Accelerated depreciation</w:t>
      </w:r>
    </w:p>
    <w:p>
      <w:pPr>
        <w:spacing w:after="0" w:line="188" w:lineRule="exact"/>
        <w:rPr>
          <w:rFonts w:ascii="Times New Roman" w:cs="Times New Roman" w:eastAsia="Times New Roman" w:hAnsi="Times New Roman"/>
          <w:sz w:val="18"/>
          <w:szCs w:val="18"/>
          <w:color w:val="auto"/>
        </w:rPr>
      </w:pPr>
    </w:p>
    <w:p>
      <w:pPr>
        <w:jc w:val="both"/>
        <w:ind w:left="1680" w:right="15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Israeli Subsidiary is entitled to claim accelerated depreciation, as provided by Israeli law, in the first five years of operation of each asset, in respect of buildings, machinery and equipment used by the Approved Enterprise and the Benefited Enterprise.</w:t>
      </w:r>
    </w:p>
    <w:p>
      <w:pPr>
        <w:spacing w:after="0" w:line="131" w:lineRule="exact"/>
        <w:rPr>
          <w:rFonts w:ascii="Times New Roman" w:cs="Times New Roman" w:eastAsia="Times New Roman" w:hAnsi="Times New Roman"/>
          <w:sz w:val="18"/>
          <w:szCs w:val="18"/>
          <w:color w:val="auto"/>
        </w:rPr>
      </w:pPr>
    </w:p>
    <w:p>
      <w:pPr>
        <w:ind w:left="1660" w:hanging="314"/>
        <w:spacing w:after="0"/>
        <w:tabs>
          <w:tab w:leader="none" w:pos="1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Conditions for entitlement to the benefits</w:t>
      </w:r>
    </w:p>
    <w:p>
      <w:pPr>
        <w:spacing w:after="0" w:line="202" w:lineRule="exact"/>
        <w:rPr>
          <w:rFonts w:ascii="Times New Roman" w:cs="Times New Roman" w:eastAsia="Times New Roman" w:hAnsi="Times New Roman"/>
          <w:sz w:val="18"/>
          <w:szCs w:val="18"/>
          <w:color w:val="auto"/>
        </w:rPr>
      </w:pPr>
    </w:p>
    <w:p>
      <w:pPr>
        <w:ind w:left="1680" w:right="23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Israeli Subsidiary’s entitlement to the benefits described above is subject to its fulfillment of conditions stipulated by the law, rules and regulations published thereunder, and the instruments of approval for the specific investment in an approved enterprise. Failure by the Israeli Subsidiary to comply with these conditions may result in the cancellation of the benefits, in whole or in part,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680" w:right="159"/>
        <w:spacing w:after="0" w:line="266" w:lineRule="auto"/>
        <w:rPr>
          <w:sz w:val="20"/>
          <w:szCs w:val="20"/>
          <w:color w:val="auto"/>
        </w:rPr>
      </w:pPr>
      <w:r>
        <w:rPr>
          <w:rFonts w:ascii="Times New Roman" w:cs="Times New Roman" w:eastAsia="Times New Roman" w:hAnsi="Times New Roman"/>
          <w:sz w:val="18"/>
          <w:szCs w:val="18"/>
          <w:color w:val="auto"/>
        </w:rPr>
        <w:t>and the Subsidiary may be required to refund the amount of the benefits with interest. The Israeli Subsidiary received a final implementation approval with respect to its “Approved Enterprise” from the Investment Center.</w:t>
      </w:r>
    </w:p>
    <w:p>
      <w:pPr>
        <w:spacing w:after="0" w:line="131" w:lineRule="exact"/>
        <w:rPr>
          <w:sz w:val="20"/>
          <w:szCs w:val="20"/>
          <w:color w:val="auto"/>
        </w:rPr>
      </w:pPr>
    </w:p>
    <w:p>
      <w:pPr>
        <w:ind w:left="1660" w:hanging="314"/>
        <w:spacing w:after="0"/>
        <w:tabs>
          <w:tab w:leader="none" w:pos="16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 of the Law for the Encouragement of Capital Investments, 1959</w:t>
      </w:r>
    </w:p>
    <w:p>
      <w:pPr>
        <w:spacing w:after="0" w:line="188" w:lineRule="exact"/>
        <w:rPr>
          <w:rFonts w:ascii="Times New Roman" w:cs="Times New Roman" w:eastAsia="Times New Roman" w:hAnsi="Times New Roman"/>
          <w:sz w:val="18"/>
          <w:szCs w:val="18"/>
          <w:color w:val="auto"/>
        </w:rPr>
      </w:pPr>
    </w:p>
    <w:p>
      <w:pPr>
        <w:ind w:left="1680" w:right="23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recent years, several amendments have been made to the Encouragement of Capital Investments Law which have enabled new alternative benefit tracks, subject to certain conditions.</w:t>
      </w:r>
    </w:p>
    <w:p>
      <w:pPr>
        <w:spacing w:after="0" w:line="134" w:lineRule="exact"/>
        <w:rPr>
          <w:rFonts w:ascii="Times New Roman" w:cs="Times New Roman" w:eastAsia="Times New Roman" w:hAnsi="Times New Roman"/>
          <w:sz w:val="18"/>
          <w:szCs w:val="18"/>
          <w:color w:val="auto"/>
        </w:rPr>
      </w:pPr>
    </w:p>
    <w:p>
      <w:pPr>
        <w:ind w:left="1680" w:right="79"/>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Encouragement of Capital Investments Law was amended as part of the Economic Policy Law for the years 2011-2012 (amendment 68 to the Encouragement of Capital Investments Law), which was passed by the Israeli Knesset on December 29, 2010. The amendment sets alternative benefit tracks to those currently in effect under the provisions of the Encouragement of Capital Investments Law. On December 29, 2016, Amendment 73 to the Encouragement of Capital Investments Law was published. This amendment sets new benefit tracks, inter alia, “Preferred Technological Enterprise” and “Special Preferred Technological Enterprise” (the “Capital Investments Law Amendment”).</w:t>
      </w:r>
    </w:p>
    <w:p>
      <w:pPr>
        <w:spacing w:after="0" w:line="130" w:lineRule="exact"/>
        <w:rPr>
          <w:rFonts w:ascii="Times New Roman" w:cs="Times New Roman" w:eastAsia="Times New Roman" w:hAnsi="Times New Roman"/>
          <w:sz w:val="18"/>
          <w:szCs w:val="18"/>
          <w:color w:val="auto"/>
        </w:rPr>
      </w:pPr>
    </w:p>
    <w:p>
      <w:pPr>
        <w:ind w:left="1680" w:right="13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date, the Company has elected not to have the Capital Investments Law Amendment apply to the Company.</w:t>
      </w:r>
    </w:p>
    <w:p>
      <w:pPr>
        <w:spacing w:after="0" w:line="117" w:lineRule="exact"/>
        <w:rPr>
          <w:rFonts w:ascii="Times New Roman" w:cs="Times New Roman" w:eastAsia="Times New Roman" w:hAnsi="Times New Roman"/>
          <w:sz w:val="18"/>
          <w:szCs w:val="18"/>
          <w:color w:val="auto"/>
        </w:rPr>
      </w:pPr>
    </w:p>
    <w:p>
      <w:pPr>
        <w:ind w:left="1000" w:hanging="302"/>
        <w:spacing w:after="0"/>
        <w:tabs>
          <w:tab w:leader="none" w:pos="100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losses carried forward to future years</w:t>
      </w:r>
    </w:p>
    <w:p>
      <w:pPr>
        <w:spacing w:after="0" w:line="202" w:lineRule="exact"/>
        <w:rPr>
          <w:sz w:val="20"/>
          <w:szCs w:val="20"/>
          <w:color w:val="auto"/>
        </w:rPr>
      </w:pPr>
    </w:p>
    <w:p>
      <w:pPr>
        <w:jc w:val="both"/>
        <w:ind w:left="1020" w:right="99"/>
        <w:spacing w:after="0" w:line="312" w:lineRule="auto"/>
        <w:rPr>
          <w:sz w:val="20"/>
          <w:szCs w:val="20"/>
          <w:color w:val="auto"/>
        </w:rPr>
      </w:pPr>
      <w:r>
        <w:rPr>
          <w:rFonts w:ascii="Times New Roman" w:cs="Times New Roman" w:eastAsia="Times New Roman" w:hAnsi="Times New Roman"/>
          <w:sz w:val="17"/>
          <w:szCs w:val="17"/>
          <w:color w:val="auto"/>
        </w:rPr>
        <w:t>As of December 31, 2022 and 2021, the Company had aggregate NOL carry-forwards equal to approximately $247.4 million and $247.9 million, respectively, that are available to reduce future taxable income as follows:</w:t>
      </w:r>
    </w:p>
    <w:p>
      <w:pPr>
        <w:spacing w:after="0" w:line="95" w:lineRule="exact"/>
        <w:rPr>
          <w:sz w:val="20"/>
          <w:szCs w:val="20"/>
          <w:color w:val="auto"/>
        </w:rPr>
      </w:pPr>
    </w:p>
    <w:p>
      <w:pPr>
        <w:ind w:left="1380" w:hanging="331"/>
        <w:spacing w:after="0"/>
        <w:tabs>
          <w:tab w:leader="none" w:pos="13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Company</w:t>
      </w:r>
    </w:p>
    <w:p>
      <w:pPr>
        <w:spacing w:after="0" w:line="189" w:lineRule="exact"/>
        <w:rPr>
          <w:sz w:val="20"/>
          <w:szCs w:val="20"/>
          <w:color w:val="auto"/>
        </w:rPr>
      </w:pPr>
    </w:p>
    <w:p>
      <w:pPr>
        <w:ind w:left="1340" w:right="179"/>
        <w:spacing w:after="0" w:line="256" w:lineRule="auto"/>
        <w:rPr>
          <w:sz w:val="20"/>
          <w:szCs w:val="20"/>
          <w:color w:val="auto"/>
        </w:rPr>
      </w:pPr>
      <w:r>
        <w:rPr>
          <w:rFonts w:ascii="Times New Roman" w:cs="Times New Roman" w:eastAsia="Times New Roman" w:hAnsi="Times New Roman"/>
          <w:sz w:val="18"/>
          <w:szCs w:val="18"/>
          <w:color w:val="auto"/>
        </w:rPr>
        <w:t>The Company’s carry-forward NOLs, equal to approximately $26.7 million and $36.1 million as of December 31, 2022 and 2021, respectively, may be restricted under Section 382 of the Internal Revenue Code (“IRC”). IRC Section 382 applies whenever a corporation with NOL experiences an ownership change. As a result of IRC Section 382, the taxable income for any post change year that may be offset by a pre-change NOL may not exceed the general IRC Section 382 limitation, which is the fair market value of the pre-change entity multiplied by the IRC long-term tax exempt rate.</w:t>
      </w:r>
    </w:p>
    <w:p>
      <w:pPr>
        <w:spacing w:after="0" w:line="160" w:lineRule="exact"/>
        <w:rPr>
          <w:sz w:val="20"/>
          <w:szCs w:val="20"/>
          <w:color w:val="auto"/>
        </w:rPr>
      </w:pPr>
    </w:p>
    <w:p>
      <w:pPr>
        <w:ind w:left="1340" w:right="139"/>
        <w:spacing w:after="0" w:line="256" w:lineRule="auto"/>
        <w:rPr>
          <w:sz w:val="20"/>
          <w:szCs w:val="20"/>
          <w:color w:val="auto"/>
        </w:rPr>
      </w:pPr>
      <w:r>
        <w:rPr>
          <w:rFonts w:ascii="Times New Roman" w:cs="Times New Roman" w:eastAsia="Times New Roman" w:hAnsi="Times New Roman"/>
          <w:sz w:val="18"/>
          <w:szCs w:val="18"/>
          <w:color w:val="auto"/>
        </w:rPr>
        <w:t>Significant judgment is required in determining any valuation allowance recorded against deferred tax assets. In assessing the need for a valuation allowance, the Company considered all available evidence, including past operating results, the most recent projections for taxable income, and prudent and feasible tax planning strategies. The Company reassesses its valuation allowance periodically and if future evidence allows for a partial or full release of the valuation allowance, a tax benefit will be recorded accordingly.</w:t>
      </w:r>
    </w:p>
    <w:p>
      <w:pPr>
        <w:spacing w:after="0" w:line="143" w:lineRule="exact"/>
        <w:rPr>
          <w:sz w:val="20"/>
          <w:szCs w:val="20"/>
          <w:color w:val="auto"/>
        </w:rPr>
      </w:pPr>
    </w:p>
    <w:p>
      <w:pPr>
        <w:ind w:left="1380" w:hanging="331"/>
        <w:spacing w:after="0"/>
        <w:tabs>
          <w:tab w:leader="none" w:pos="13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Protalix Ltd.</w:t>
      </w:r>
    </w:p>
    <w:p>
      <w:pPr>
        <w:spacing w:after="0" w:line="18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At December 31, 2022 and 2021, the Israeli Subsidiary had approximately $220.7 million and</w:t>
      </w:r>
    </w:p>
    <w:p>
      <w:pPr>
        <w:spacing w:after="0" w:line="27" w:lineRule="exact"/>
        <w:rPr>
          <w:sz w:val="20"/>
          <w:szCs w:val="20"/>
          <w:color w:val="auto"/>
        </w:rPr>
      </w:pPr>
    </w:p>
    <w:p>
      <w:pPr>
        <w:ind w:left="1340" w:right="299"/>
        <w:spacing w:after="0" w:line="260" w:lineRule="auto"/>
        <w:rPr>
          <w:sz w:val="20"/>
          <w:szCs w:val="20"/>
          <w:color w:val="auto"/>
        </w:rPr>
      </w:pPr>
      <w:r>
        <w:rPr>
          <w:rFonts w:ascii="Times New Roman" w:cs="Times New Roman" w:eastAsia="Times New Roman" w:hAnsi="Times New Roman"/>
          <w:sz w:val="18"/>
          <w:szCs w:val="18"/>
          <w:color w:val="auto"/>
        </w:rPr>
        <w:t>$211.8 million, respectively, of carry-forward NOLs that are available to reduce future taxable income with no limited period of use.</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020" w:hanging="322"/>
        <w:spacing w:after="0"/>
        <w:tabs>
          <w:tab w:leader="none" w:pos="102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income taxes:</w:t>
      </w:r>
    </w:p>
    <w:p>
      <w:pPr>
        <w:spacing w:after="0" w:line="188" w:lineRule="exact"/>
        <w:rPr>
          <w:rFonts w:ascii="Times New Roman" w:cs="Times New Roman" w:eastAsia="Times New Roman" w:hAnsi="Times New Roman"/>
          <w:sz w:val="18"/>
          <w:szCs w:val="18"/>
          <w:b w:val="1"/>
          <w:bCs w:val="1"/>
          <w:color w:val="auto"/>
        </w:rPr>
      </w:pPr>
    </w:p>
    <w:p>
      <w:pPr>
        <w:ind w:left="1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the Company’s net deferred tax assets at December 31, 2021 and 2022 were as follows:</w:t>
      </w:r>
    </w:p>
    <w:p>
      <w:pPr>
        <w:spacing w:after="0" w:line="19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66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920" w:type="dxa"/>
            <w:vAlign w:val="bottom"/>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 respect of:</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7,217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9,548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timing differences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56,292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(63,810)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4060190</wp:posOffset>
            </wp:positionH>
            <wp:positionV relativeFrom="paragraph">
              <wp:posOffset>-10795</wp:posOffset>
            </wp:positionV>
            <wp:extent cx="10629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ind w:left="1020"/>
        <w:spacing w:after="0"/>
        <w:rPr>
          <w:sz w:val="20"/>
          <w:szCs w:val="20"/>
          <w:color w:val="auto"/>
        </w:rPr>
      </w:pPr>
      <w:r>
        <w:rPr>
          <w:rFonts w:ascii="Times New Roman" w:cs="Times New Roman" w:eastAsia="Times New Roman" w:hAnsi="Times New Roman"/>
          <w:sz w:val="18"/>
          <w:szCs w:val="18"/>
          <w:color w:val="auto"/>
        </w:rPr>
        <w:t>Deferred taxes are computed using the tax rates expected to be in effect when those differences reverse.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4060190</wp:posOffset>
            </wp:positionH>
            <wp:positionV relativeFrom="paragraph">
              <wp:posOffset>-127635</wp:posOffset>
            </wp:positionV>
            <wp:extent cx="10629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2">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174" w:lineRule="exact"/>
        <w:rPr>
          <w:sz w:val="20"/>
          <w:szCs w:val="20"/>
          <w:color w:val="auto"/>
        </w:rPr>
      </w:pPr>
    </w:p>
    <w:p>
      <w:pPr>
        <w:ind w:left="1000" w:hanging="302"/>
        <w:spacing w:after="0"/>
        <w:tabs>
          <w:tab w:leader="none" w:pos="100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Reconciliation of the theoretical tax expense to actual tax expense</w:t>
      </w:r>
    </w:p>
    <w:p>
      <w:pPr>
        <w:spacing w:after="0" w:line="188" w:lineRule="exact"/>
        <w:rPr>
          <w:rFonts w:ascii="Times New Roman" w:cs="Times New Roman" w:eastAsia="Times New Roman" w:hAnsi="Times New Roman"/>
          <w:sz w:val="18"/>
          <w:szCs w:val="18"/>
          <w:b w:val="1"/>
          <w:bCs w:val="1"/>
          <w:color w:val="auto"/>
        </w:rPr>
      </w:pPr>
    </w:p>
    <w:p>
      <w:pPr>
        <w:ind w:left="1020" w:right="41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main reconciling item between the statutory tax rate of the Company and the effective rate is the provision for a full valuation allowance in respect of tax benefits from carry forward tax losses due to the uncertainty of the realization of such tax benefits (see above).</w:t>
      </w:r>
    </w:p>
    <w:p>
      <w:pPr>
        <w:spacing w:after="0" w:line="131" w:lineRule="exact"/>
        <w:rPr>
          <w:rFonts w:ascii="Times New Roman" w:cs="Times New Roman" w:eastAsia="Times New Roman" w:hAnsi="Times New Roman"/>
          <w:sz w:val="18"/>
          <w:szCs w:val="18"/>
          <w:b w:val="1"/>
          <w:bCs w:val="1"/>
          <w:color w:val="auto"/>
        </w:rPr>
      </w:pPr>
    </w:p>
    <w:p>
      <w:pPr>
        <w:ind w:left="980" w:hanging="282"/>
        <w:spacing w:after="0"/>
        <w:tabs>
          <w:tab w:leader="none" w:pos="98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assessments</w:t>
      </w:r>
    </w:p>
    <w:p>
      <w:pPr>
        <w:spacing w:after="0" w:line="202" w:lineRule="exact"/>
        <w:rPr>
          <w:sz w:val="20"/>
          <w:szCs w:val="20"/>
          <w:color w:val="auto"/>
        </w:rPr>
      </w:pPr>
    </w:p>
    <w:p>
      <w:pPr>
        <w:ind w:left="1020" w:right="979"/>
        <w:spacing w:after="0" w:line="282" w:lineRule="auto"/>
        <w:rPr>
          <w:sz w:val="20"/>
          <w:szCs w:val="20"/>
          <w:color w:val="auto"/>
        </w:rPr>
      </w:pPr>
      <w:r>
        <w:rPr>
          <w:rFonts w:ascii="Times New Roman" w:cs="Times New Roman" w:eastAsia="Times New Roman" w:hAnsi="Times New Roman"/>
          <w:sz w:val="18"/>
          <w:szCs w:val="18"/>
          <w:color w:val="auto"/>
        </w:rPr>
        <w:t>In accordance with the Income Tax Ordinance, as of December 31, 2022, all of Protalix Ltd.’s tax assessments through tax year 2017 are considered final.</w:t>
      </w:r>
    </w:p>
    <w:p>
      <w:pPr>
        <w:spacing w:after="0" w:line="1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 summary of open tax years by major jurisdiction is presented below:</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2840" w:type="dxa"/>
            <w:vAlign w:val="bottom"/>
            <w:tcBorders>
              <w:bottom w:val="single" w:sz="8" w:color="auto"/>
            </w:tcBorders>
          </w:tcPr>
          <w:p>
            <w:pPr>
              <w:jc w:val="center"/>
              <w:ind w:left="492"/>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60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120" w:type="dxa"/>
            <w:vAlign w:val="bottom"/>
            <w:tcBorders>
              <w:bottom w:val="single" w:sz="8" w:color="auto"/>
            </w:tcBorders>
            <w:gridSpan w:val="3"/>
          </w:tcPr>
          <w:p>
            <w:pPr>
              <w:jc w:val="center"/>
              <w:ind w:left="1219"/>
              <w:spacing w:after="0"/>
              <w:rPr>
                <w:sz w:val="20"/>
                <w:szCs w:val="20"/>
                <w:color w:val="auto"/>
              </w:rPr>
            </w:pPr>
            <w:r>
              <w:rPr>
                <w:rFonts w:ascii="Times New Roman" w:cs="Times New Roman" w:eastAsia="Times New Roman" w:hAnsi="Times New Roman"/>
                <w:sz w:val="14"/>
                <w:szCs w:val="14"/>
                <w:b w:val="1"/>
                <w:bCs w:val="1"/>
                <w:color w:val="auto"/>
                <w:w w:val="95"/>
              </w:rPr>
              <w:t>Years:</w:t>
            </w: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840" w:type="dxa"/>
            <w:vAlign w:val="bottom"/>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color w:val="auto"/>
                <w:w w:val="99"/>
              </w:rPr>
              <w:t>Israel</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20" w:type="dxa"/>
            <w:vAlign w:val="bottom"/>
            <w:gridSpan w:val="3"/>
            <w:shd w:val="clear" w:color="auto" w:fill="CCEEFF"/>
          </w:tcPr>
          <w:p>
            <w:pPr>
              <w:jc w:val="center"/>
              <w:ind w:left="1219"/>
              <w:spacing w:after="0"/>
              <w:rPr>
                <w:sz w:val="20"/>
                <w:szCs w:val="20"/>
                <w:color w:val="auto"/>
              </w:rPr>
            </w:pPr>
            <w:r>
              <w:rPr>
                <w:rFonts w:ascii="Times New Roman" w:cs="Times New Roman" w:eastAsia="Times New Roman" w:hAnsi="Times New Roman"/>
                <w:sz w:val="18"/>
                <w:szCs w:val="18"/>
                <w:color w:val="auto"/>
                <w:w w:val="99"/>
              </w:rPr>
              <w:t>2019-2022</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2840" w:type="dxa"/>
            <w:vAlign w:val="bottom"/>
          </w:tcPr>
          <w:p>
            <w:pPr>
              <w:jc w:val="center"/>
              <w:ind w:left="492"/>
              <w:spacing w:after="0"/>
              <w:rPr>
                <w:sz w:val="20"/>
                <w:szCs w:val="20"/>
                <w:color w:val="auto"/>
              </w:rPr>
            </w:pPr>
            <w:r>
              <w:rPr>
                <w:rFonts w:ascii="Times New Roman" w:cs="Times New Roman" w:eastAsia="Times New Roman" w:hAnsi="Times New Roman"/>
                <w:sz w:val="18"/>
                <w:szCs w:val="18"/>
                <w:color w:val="auto"/>
                <w:w w:val="99"/>
              </w:rPr>
              <w:t>United States (*)</w:t>
            </w:r>
          </w:p>
        </w:tc>
        <w:tc>
          <w:tcPr>
            <w:tcW w:w="2940" w:type="dxa"/>
            <w:vAlign w:val="bottom"/>
            <w:gridSpan w:val="5"/>
          </w:tcPr>
          <w:p>
            <w:pPr>
              <w:jc w:val="center"/>
              <w:ind w:left="2030"/>
              <w:spacing w:after="0"/>
              <w:rPr>
                <w:sz w:val="20"/>
                <w:szCs w:val="20"/>
                <w:color w:val="auto"/>
              </w:rPr>
            </w:pPr>
            <w:r>
              <w:rPr>
                <w:rFonts w:ascii="Times New Roman" w:cs="Times New Roman" w:eastAsia="Times New Roman" w:hAnsi="Times New Roman"/>
                <w:sz w:val="18"/>
                <w:szCs w:val="18"/>
                <w:color w:val="auto"/>
                <w:w w:val="99"/>
              </w:rPr>
              <w:t>2019-2022</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7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 Includes federal, state and local (or similar provincial jurisdictions) tax positions.</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0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NOTE 13 - SUPPLEMENTARY FINANCIAL STATEMENT INFORMATION</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20" w:type="dxa"/>
            <w:vAlign w:val="bottom"/>
          </w:tcPr>
          <w:p>
            <w:pPr>
              <w:spacing w:after="0"/>
              <w:rPr>
                <w:sz w:val="24"/>
                <w:szCs w:val="24"/>
                <w:color w:val="auto"/>
              </w:rPr>
            </w:pPr>
          </w:p>
        </w:tc>
        <w:tc>
          <w:tcPr>
            <w:tcW w:w="28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3760" w:type="dxa"/>
            <w:vAlign w:val="bottom"/>
            <w:gridSpan w:val="2"/>
            <w:vMerge w:val="restart"/>
          </w:tcPr>
          <w:p>
            <w:pPr>
              <w:ind w:left="9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r>
              <w:rPr>
                <w:rFonts w:ascii="Times New Roman" w:cs="Times New Roman" w:eastAsia="Times New Roman" w:hAnsi="Times New Roman"/>
                <w:sz w:val="14"/>
                <w:szCs w:val="14"/>
                <w:color w:val="auto"/>
              </w:rPr>
              <w:t>)</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76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   Other assets:</w:t>
            </w: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Institutions</w:t>
            </w:r>
          </w:p>
        </w:tc>
        <w:tc>
          <w:tcPr>
            <w:tcW w:w="2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Sundry</w:t>
            </w:r>
          </w:p>
        </w:tc>
        <w:tc>
          <w:tcPr>
            <w:tcW w:w="6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7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840" w:type="dxa"/>
            <w:vAlign w:val="bottom"/>
            <w:tcBorders>
              <w:bottom w:val="single" w:sz="8" w:color="CCEEFF"/>
            </w:tcBorders>
            <w:shd w:val="clear" w:color="auto" w:fill="CCEEFF"/>
          </w:tcPr>
          <w:p>
            <w:pPr>
              <w:spacing w:after="0"/>
              <w:rPr>
                <w:sz w:val="18"/>
                <w:szCs w:val="18"/>
                <w:color w:val="auto"/>
              </w:rPr>
            </w:pPr>
          </w:p>
        </w:tc>
        <w:tc>
          <w:tcPr>
            <w:tcW w:w="2600" w:type="dxa"/>
            <w:vAlign w:val="bottom"/>
            <w:tcBorders>
              <w:bottom w:val="single" w:sz="8" w:color="CCEEFF"/>
            </w:tcBorders>
            <w:gridSpan w:val="3"/>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9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940" w:type="dxa"/>
            <w:vAlign w:val="bottom"/>
            <w:gridSpan w:val="5"/>
          </w:tcPr>
          <w:p>
            <w:pPr>
              <w:jc w:val="right"/>
              <w:ind w:right="1970"/>
              <w:spacing w:after="0"/>
              <w:rPr>
                <w:sz w:val="20"/>
                <w:szCs w:val="20"/>
                <w:color w:val="auto"/>
              </w:rPr>
            </w:pPr>
            <w:r>
              <w:rPr>
                <w:rFonts w:ascii="Times New Roman" w:cs="Times New Roman" w:eastAsia="Times New Roman" w:hAnsi="Times New Roman"/>
                <w:sz w:val="18"/>
                <w:szCs w:val="18"/>
                <w:color w:val="auto"/>
              </w:rPr>
              <w:t>F-34</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4"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55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r>
              <w:rPr>
                <w:rFonts w:ascii="Times New Roman" w:cs="Times New Roman" w:eastAsia="Times New Roman" w:hAnsi="Times New Roman"/>
                <w:sz w:val="14"/>
                <w:szCs w:val="14"/>
                <w:color w:val="auto"/>
              </w:rPr>
              <w:t>)</w:t>
            </w:r>
          </w:p>
        </w:tc>
        <w:tc>
          <w:tcPr>
            <w:tcW w:w="1540" w:type="dxa"/>
            <w:vAlign w:val="bottom"/>
            <w:tcBorders>
              <w:bottom w:val="single" w:sz="8" w:color="auto"/>
            </w:tcBorders>
            <w:gridSpan w:val="2"/>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57"/>
        </w:trPr>
        <w:tc>
          <w:tcPr>
            <w:tcW w:w="5580" w:type="dxa"/>
            <w:vAlign w:val="bottom"/>
            <w:vMerge w:val="continue"/>
          </w:tcPr>
          <w:p>
            <w:pPr>
              <w:spacing w:after="0"/>
              <w:rPr>
                <w:sz w:val="13"/>
                <w:szCs w:val="13"/>
                <w:color w:val="auto"/>
              </w:rPr>
            </w:pPr>
          </w:p>
        </w:tc>
        <w:tc>
          <w:tcPr>
            <w:tcW w:w="760" w:type="dxa"/>
            <w:vAlign w:val="bottom"/>
          </w:tcPr>
          <w:p>
            <w:pPr>
              <w:jc w:val="right"/>
              <w:ind w:right="188"/>
              <w:spacing w:after="0" w:line="157" w:lineRule="exact"/>
              <w:rPr>
                <w:sz w:val="20"/>
                <w:szCs w:val="20"/>
                <w:color w:val="auto"/>
              </w:rPr>
            </w:pPr>
            <w:r>
              <w:rPr>
                <w:rFonts w:ascii="Times New Roman" w:cs="Times New Roman" w:eastAsia="Times New Roman" w:hAnsi="Times New Roman"/>
                <w:sz w:val="14"/>
                <w:szCs w:val="14"/>
                <w:b w:val="1"/>
                <w:bCs w:val="1"/>
                <w:color w:val="auto"/>
              </w:rPr>
              <w:t>2021</w:t>
            </w:r>
          </w:p>
        </w:tc>
        <w:tc>
          <w:tcPr>
            <w:tcW w:w="780" w:type="dxa"/>
            <w:vAlign w:val="bottom"/>
          </w:tcPr>
          <w:p>
            <w:pPr>
              <w:jc w:val="right"/>
              <w:ind w:right="128"/>
              <w:spacing w:after="0" w:line="157"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-8890</wp:posOffset>
            </wp:positionV>
            <wp:extent cx="4517390" cy="1454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3">
                      <a:extLst>
                        <a:ext uri="{28A0092B-C50C-407E-A947-70E740481C1C}"/>
                      </a:extLst>
                    </a:blip>
                    <a:srcRect/>
                    <a:stretch>
                      <a:fillRect/>
                    </a:stretch>
                  </pic:blipFill>
                  <pic:spPr bwMode="auto">
                    <a:xfrm>
                      <a:off x="0" y="0"/>
                      <a:ext cx="4517390" cy="145415"/>
                    </a:xfrm>
                    <a:prstGeom prst="rect">
                      <a:avLst/>
                    </a:prstGeom>
                    <a:noFill/>
                  </pic:spPr>
                </pic:pic>
              </a:graphicData>
            </a:graphic>
          </wp:anchor>
        </w:drawing>
      </w:r>
    </w:p>
    <w:p>
      <w:pPr>
        <w:ind w:left="1300" w:hanging="353"/>
        <w:spacing w:after="0"/>
        <w:tabs>
          <w:tab w:leader="none" w:pos="130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payable and accruals – other:</w:t>
      </w:r>
    </w:p>
    <w:p>
      <w:pPr>
        <w:spacing w:after="0" w:line="7"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vacation</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Royalties payable</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suppliers</w:t>
            </w:r>
          </w:p>
        </w:tc>
        <w:tc>
          <w:tcPr>
            <w:tcW w:w="1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12,271</w:t>
            </w: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 RELATED PARTY TRANSACTIONS</w:t>
      </w:r>
    </w:p>
    <w:p>
      <w:pPr>
        <w:sectPr>
          <w:pgSz w:w="11900" w:h="16838" w:orient="portrait"/>
          <w:cols w:equalWidth="0" w:num="1">
            <w:col w:w="9019"/>
          </w:cols>
          <w:pgMar w:left="1440" w:top="513" w:right="1440" w:bottom="1440" w:gutter="0" w:footer="0" w:header="0"/>
        </w:sectPr>
      </w:pPr>
    </w:p>
    <w:p>
      <w:pPr>
        <w:spacing w:after="0" w:line="34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dollars in thousands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18415</wp:posOffset>
            </wp:positionV>
            <wp:extent cx="4517390" cy="2832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4">
                      <a:extLst>
                        <a:ext uri="{28A0092B-C50C-407E-A947-70E740481C1C}"/>
                      </a:extLst>
                    </a:blip>
                    <a:srcRect/>
                    <a:stretch>
                      <a:fillRect/>
                    </a:stretch>
                  </pic:blipFill>
                  <pic:spPr bwMode="auto">
                    <a:xfrm>
                      <a:off x="0" y="0"/>
                      <a:ext cx="4517390" cy="283210"/>
                    </a:xfrm>
                    <a:prstGeom prst="rect">
                      <a:avLst/>
                    </a:prstGeom>
                    <a:noFill/>
                  </pic:spPr>
                </pic:pic>
              </a:graphicData>
            </a:graphic>
          </wp:anchor>
        </w:drawing>
      </w:r>
    </w:p>
    <w:p>
      <w:pPr>
        <w:spacing w:after="0" w:line="9" w:lineRule="exact"/>
        <w:rPr>
          <w:sz w:val="20"/>
          <w:szCs w:val="20"/>
          <w:color w:val="auto"/>
        </w:rPr>
      </w:pPr>
    </w:p>
    <w:p>
      <w:pPr>
        <w:ind w:left="940"/>
        <w:spacing w:after="0" w:line="276" w:lineRule="auto"/>
        <w:rPr>
          <w:sz w:val="20"/>
          <w:szCs w:val="20"/>
          <w:color w:val="auto"/>
        </w:rPr>
      </w:pPr>
      <w:r>
        <w:rPr>
          <w:rFonts w:ascii="Times New Roman" w:cs="Times New Roman" w:eastAsia="Times New Roman" w:hAnsi="Times New Roman"/>
          <w:sz w:val="18"/>
          <w:szCs w:val="18"/>
          <w:color w:val="auto"/>
        </w:rPr>
        <w:t>Compensation (including share-based compensation) to the non-executive directors</w:t>
      </w:r>
    </w:p>
    <w:p>
      <w:pPr>
        <w:spacing w:after="0" w:line="2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15 - SUBSEQUENT EVENTS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7620</wp:posOffset>
            </wp:positionV>
            <wp:extent cx="13284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5">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35" w:lineRule="exact"/>
        <w:rPr>
          <w:sz w:val="20"/>
          <w:szCs w:val="20"/>
          <w:color w:val="auto"/>
        </w:rPr>
      </w:pPr>
    </w:p>
    <w:p>
      <w:pPr>
        <w:ind w:left="160"/>
        <w:spacing w:after="0"/>
        <w:tabs>
          <w:tab w:leader="none" w:pos="880" w:val="left"/>
          <w:tab w:leader="none" w:pos="1640" w:val="left"/>
        </w:tabs>
        <w:rPr>
          <w:sz w:val="20"/>
          <w:szCs w:val="20"/>
          <w:color w:val="auto"/>
        </w:rPr>
      </w:pP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2021</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23" w:lineRule="exact"/>
        <w:rPr>
          <w:sz w:val="20"/>
          <w:szCs w:val="20"/>
          <w:color w:val="auto"/>
        </w:rPr>
      </w:pPr>
    </w:p>
    <w:p>
      <w:pPr>
        <w:spacing w:after="0"/>
        <w:tabs>
          <w:tab w:leader="none" w:pos="260" w:val="left"/>
          <w:tab w:leader="none" w:pos="740" w:val="left"/>
          <w:tab w:leader="none" w:pos="1000" w:val="left"/>
          <w:tab w:leader="none" w:pos="1480" w:val="left"/>
          <w:tab w:leader="none" w:pos="1760" w:val="left"/>
        </w:tabs>
        <w:rPr>
          <w:sz w:val="20"/>
          <w:szCs w:val="20"/>
          <w:color w:val="auto"/>
        </w:rPr>
      </w:pPr>
      <w:r>
        <w:rPr>
          <w:rFonts w:ascii="Times New Roman" w:cs="Times New Roman" w:eastAsia="Times New Roman" w:hAnsi="Times New Roman"/>
          <w:sz w:val="18"/>
          <w:szCs w:val="18"/>
          <w:color w:val="auto"/>
        </w:rPr>
        <w:t>$</w:t>
        <w:tab/>
        <w:t>814</w:t>
        <w:tab/>
        <w:t>$</w:t>
        <w:tab/>
        <w:t>475</w:t>
        <w:tab/>
        <w:t>$</w:t>
      </w:r>
      <w:r>
        <w:rPr>
          <w:sz w:val="20"/>
          <w:szCs w:val="20"/>
          <w:color w:val="auto"/>
        </w:rPr>
        <w:tab/>
      </w:r>
      <w:r>
        <w:rPr>
          <w:rFonts w:ascii="Times New Roman" w:cs="Times New Roman" w:eastAsia="Times New Roman" w:hAnsi="Times New Roman"/>
          <w:sz w:val="17"/>
          <w:szCs w:val="17"/>
          <w:color w:val="auto"/>
        </w:rPr>
        <w:t>368</w:t>
      </w:r>
    </w:p>
    <w:p>
      <w:pPr>
        <w:spacing w:after="0" w:line="738" w:lineRule="exact"/>
        <w:rPr>
          <w:sz w:val="20"/>
          <w:szCs w:val="20"/>
          <w:color w:val="auto"/>
        </w:rPr>
      </w:pPr>
    </w:p>
    <w:p>
      <w:pPr>
        <w:sectPr>
          <w:pgSz w:w="11900" w:h="16838" w:orient="portrait"/>
          <w:cols w:equalWidth="0" w:num="2">
            <w:col w:w="5600" w:space="360"/>
            <w:col w:w="3059"/>
          </w:cols>
          <w:pgMar w:left="1440" w:top="513" w:right="1440" w:bottom="1440" w:gutter="0" w:footer="0" w:header="0"/>
          <w:type w:val="continuous"/>
        </w:sectPr>
      </w:pPr>
    </w:p>
    <w:p>
      <w:pPr>
        <w:jc w:val="both"/>
        <w:ind w:left="1040" w:right="259" w:hanging="315"/>
        <w:spacing w:after="0" w:line="282" w:lineRule="auto"/>
        <w:tabs>
          <w:tab w:leader="none" w:pos="10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January and February 2023, the Company sold 3,590,813 ATM Shares under the Sales Agreement. The Company generated gross proceeds equal to approximately $5.5 million in connection with such sales.</w:t>
      </w:r>
    </w:p>
    <w:p>
      <w:pPr>
        <w:spacing w:after="0" w:line="134" w:lineRule="exact"/>
        <w:rPr>
          <w:rFonts w:ascii="Times New Roman" w:cs="Times New Roman" w:eastAsia="Times New Roman" w:hAnsi="Times New Roman"/>
          <w:sz w:val="18"/>
          <w:szCs w:val="18"/>
          <w:color w:val="auto"/>
        </w:rPr>
      </w:pPr>
    </w:p>
    <w:p>
      <w:pPr>
        <w:jc w:val="both"/>
        <w:ind w:left="1040" w:right="299" w:hanging="315"/>
        <w:spacing w:after="0" w:line="261" w:lineRule="auto"/>
        <w:tabs>
          <w:tab w:leader="none" w:pos="10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12, 2023, the Company collected approximately $1.1 million from expense reimbursements in connection with its collaboration with Chiesi. On January 15, 2023, the Company collected approximately $1.1 million from sales to Pfizer. On February 7, 2023, the Company collected approximately $2.3 million from sales of alfataliglicerase to Fiocruz.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7" w:name="page118"/>
    <w:bookmarkEnd w:id="117"/>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4.7</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02"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18"/>
          <w:szCs w:val="18"/>
          <w:color w:val="auto"/>
        </w:rPr>
        <w:t xml:space="preserve">The following summarizes the material terms of the capital stock of Protalix BioTherapeutics, Inc. We are a Delaware corporation. The rights of our stockholders are governed by the Delaware General Corporation Law (the “DGCL”) and by our Certificate of Incorporation, as amended, and our Bylaws, which are exhibits to our Annual Report on Form 10-K filed with the Securities and Exchange Commission (the “Commission”) and available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The following summary is qualified in its entirety by reference to the applicable provisions of the DGCL and our Certificate of Incorporation, as amended, and Bylaws, which are subject to future amendment in accordance with the provisions thereof. Our common stock is the only class of our securities registered under Section 12 of the Securities Exchange Act of 1934, as amended (the “Exchange Act”).</w:t>
      </w:r>
    </w:p>
    <w:p>
      <w:pPr>
        <w:spacing w:after="0" w:line="1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87"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Our charter provides that we may issue up to 144,000,000 shares of common stock, par value $0.001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and 100,000,000 shares of preferred stock, par value $0.0001 per share. The number of shares of our common stock issued and outstanding as of a recent date is set forth on the cover page of our most recent Annual Report on Form 10-K or Quarterly Report on Form 10-Q filed with the Commission. We currently have no outstanding shares of preferred stock.</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87" w:lineRule="exact"/>
        <w:rPr>
          <w:sz w:val="20"/>
          <w:szCs w:val="20"/>
          <w:color w:val="auto"/>
        </w:rPr>
      </w:pPr>
    </w:p>
    <w:p>
      <w:pPr>
        <w:jc w:val="both"/>
        <w:ind w:left="200" w:right="21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Holders of our common stock are entitled to one vote for each share held on all matters submitted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of stockholders and do not have cumulative voting rights. Accordingly, holders of a majority of the shares of common stock entitled to vote in any election of directors may elect all of the directors standing for election.</w:t>
      </w:r>
    </w:p>
    <w:p>
      <w:pPr>
        <w:spacing w:after="0" w:line="133" w:lineRule="exact"/>
        <w:rPr>
          <w:sz w:val="20"/>
          <w:szCs w:val="20"/>
          <w:color w:val="auto"/>
        </w:rPr>
      </w:pPr>
    </w:p>
    <w:p>
      <w:pPr>
        <w:jc w:val="both"/>
        <w:ind w:left="200" w:right="23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Subject to the preferential rights, if any, of the holders of any outstanding series of our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shares of our common stock are entitled to receive dividends when, as and if declared by our Board of Directors (our “Board”) out of funds legally available therefor.</w:t>
      </w:r>
    </w:p>
    <w:p>
      <w:pPr>
        <w:spacing w:after="0" w:line="146"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8"/>
          <w:szCs w:val="18"/>
          <w:i w:val="1"/>
          <w:iCs w:val="1"/>
          <w:color w:val="auto"/>
        </w:rPr>
        <w:t>Dividend Policy</w:t>
      </w:r>
      <w:r>
        <w:rPr>
          <w:rFonts w:ascii="Times New Roman" w:cs="Times New Roman" w:eastAsia="Times New Roman" w:hAnsi="Times New Roman"/>
          <w:sz w:val="18"/>
          <w:szCs w:val="18"/>
          <w:color w:val="auto"/>
        </w:rPr>
        <w:t>. We have never declared or paid any cash dividends on our capital stock. We currently intend to retain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future earnings to finance the growth and development of our business and therefore do not anticipate paying any cash dividends in the foreseeable future. Any future determination to pay cash dividends will be at the discretion of our Board and will depend upon our financial condition, operating results, capital requirements, covenants in our debt instruments (if any), and such other factors as our Board deems relevant.</w:t>
      </w:r>
    </w:p>
    <w:p>
      <w:pPr>
        <w:spacing w:after="0" w:line="143"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In the event of our liquidation, dissolution or winding-up, after payment of all of our debts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holders of our common stock are entitled to share ratably in all remaining assets available for distribution after the payment of debts and liabilities and after provision has been made for each class of stock, if any, having preferences over our common stock. Holders of our common stock, as such, have no preemptive or other rights and there are no redemption provisions applicable to our common stock. All of our outstanding shares of common stock are fully paid and nonassessable. The rights, preferences and privileges of holders of common stock are subject to, and may be adversely affected by, the rights of the holders of shares of any series of preferred stock that we may designate and issue in the future. In accordance with the rules of the Tel Aviv Stock Exchange, we are allowed to issue securities with preferential rights relating to dividends, but such securities may not have voting rights.</w:t>
      </w:r>
    </w:p>
    <w:p>
      <w:pPr>
        <w:spacing w:after="0" w:line="148" w:lineRule="exact"/>
        <w:rPr>
          <w:sz w:val="20"/>
          <w:szCs w:val="20"/>
          <w:color w:val="auto"/>
        </w:rPr>
      </w:pPr>
    </w:p>
    <w:p>
      <w:pPr>
        <w:jc w:val="both"/>
        <w:ind w:left="200" w:right="2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Rights. </w:t>
      </w:r>
      <w:r>
        <w:rPr>
          <w:rFonts w:ascii="Times New Roman" w:cs="Times New Roman" w:eastAsia="Times New Roman" w:hAnsi="Times New Roman"/>
          <w:sz w:val="18"/>
          <w:szCs w:val="18"/>
          <w:color w:val="auto"/>
        </w:rPr>
        <w:t>The holders of our common stock have no preemptive rights and no rights to convert their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into any other securities, and our common stock is not subject to any redemption or sinking fund provisions.</w:t>
      </w:r>
    </w:p>
    <w:p>
      <w:pPr>
        <w:spacing w:after="0" w:line="1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89" w:lineRule="exact"/>
        <w:rPr>
          <w:sz w:val="20"/>
          <w:szCs w:val="20"/>
          <w:color w:val="auto"/>
        </w:rPr>
      </w:pPr>
    </w:p>
    <w:p>
      <w:pPr>
        <w:jc w:val="both"/>
        <w:ind w:left="200" w:right="219"/>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as amended, authorizes the issuance of up to 100,000,000 shares of preferred stock with such voting rights, rights of redemption and other relative rights and preferences as may be determined from time to time by our Board. Accordingly, our Board is empowered, without stockholder approval, to issue preferred stock with dividend, liquidation, conversion, voting or other rights which could adversely affect the voting power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331470</wp:posOffset>
            </wp:positionV>
            <wp:extent cx="545211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8" w:name="page119"/>
    <w:bookmarkEnd w:id="118"/>
    <w:p>
      <w:pPr>
        <w:jc w:val="both"/>
        <w:ind w:left="200" w:right="239"/>
        <w:spacing w:after="0" w:line="282" w:lineRule="auto"/>
        <w:rPr>
          <w:sz w:val="20"/>
          <w:szCs w:val="20"/>
          <w:color w:val="auto"/>
        </w:rPr>
      </w:pPr>
      <w:r>
        <w:rPr>
          <w:rFonts w:ascii="Times New Roman" w:cs="Times New Roman" w:eastAsia="Times New Roman" w:hAnsi="Times New Roman"/>
          <w:sz w:val="18"/>
          <w:szCs w:val="18"/>
          <w:color w:val="auto"/>
        </w:rPr>
        <w:t>rights of the holders of our common stock. The preferred stock could be utilized, under certain circumstances, as a method of discouraging, delaying or preventing a change in control of our company.</w:t>
      </w:r>
    </w:p>
    <w:p>
      <w:pPr>
        <w:spacing w:after="0" w:line="117" w:lineRule="exact"/>
        <w:rPr>
          <w:sz w:val="20"/>
          <w:szCs w:val="20"/>
          <w:color w:val="auto"/>
        </w:rPr>
      </w:pPr>
    </w:p>
    <w:p>
      <w:pPr>
        <w:jc w:val="both"/>
        <w:ind w:left="200" w:right="219"/>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Effects of Provisions of Delaware Law, Our Certificate of Incorporation, as Amended, and Our By-laws</w:t>
      </w:r>
    </w:p>
    <w:p>
      <w:pPr>
        <w:spacing w:after="0" w:line="132" w:lineRule="exact"/>
        <w:rPr>
          <w:sz w:val="20"/>
          <w:szCs w:val="20"/>
          <w:color w:val="auto"/>
        </w:rPr>
      </w:pPr>
    </w:p>
    <w:p>
      <w:pPr>
        <w:jc w:val="both"/>
        <w:ind w:left="200" w:right="219"/>
        <w:spacing w:after="0" w:line="253" w:lineRule="auto"/>
        <w:rPr>
          <w:sz w:val="20"/>
          <w:szCs w:val="20"/>
          <w:color w:val="auto"/>
        </w:rPr>
      </w:pPr>
      <w:r>
        <w:rPr>
          <w:rFonts w:ascii="Times New Roman" w:cs="Times New Roman" w:eastAsia="Times New Roman" w:hAnsi="Times New Roman"/>
          <w:sz w:val="18"/>
          <w:szCs w:val="18"/>
          <w:color w:val="auto"/>
        </w:rPr>
        <w:t>Delaware statutory law, our Certificate of Incorporation, as amended, and our Bylaws contain provisions that could make acquisition of our Company by means of a tender offer, a proxy contest or otherwise more difficult. These provisions are intended to discourage certain types of coercive takeover practices and takeover bids that our Board may consider inadequate and to encourage persons seeking to acquire control of us to first negotiate with our Board. We believe that the benefits of increased protection of our ability to negotiate with the proponent of an unfriendly or unsolicited proposal to acquire or restructure us outweigh the disadvantages of discouraging takeover or acquisition proposals because, among other things, negotiation of these proposals could result in an improvement of their terms. The description of our Certificate of Incorporation, as amended, and our Bylaws set forth below is only a summary and is qualified in its entirety by reference to our amended and restated certificate of incorporation and amended and restated Bylaws, which are exhibits to our most recent Annual Report on Form 10-K.</w:t>
      </w:r>
    </w:p>
    <w:p>
      <w:pPr>
        <w:spacing w:after="0" w:line="152" w:lineRule="exact"/>
        <w:rPr>
          <w:sz w:val="20"/>
          <w:szCs w:val="20"/>
          <w:color w:val="auto"/>
        </w:rPr>
      </w:pPr>
    </w:p>
    <w:p>
      <w:pPr>
        <w:jc w:val="both"/>
        <w:ind w:left="200" w:right="21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Blank Check Preferred Stock. </w:t>
      </w:r>
      <w:r>
        <w:rPr>
          <w:rFonts w:ascii="Times New Roman" w:cs="Times New Roman" w:eastAsia="Times New Roman" w:hAnsi="Times New Roman"/>
          <w:sz w:val="18"/>
          <w:szCs w:val="18"/>
          <w:color w:val="auto"/>
        </w:rPr>
        <w:t>Our amended and restated certificate of incorporation permits us to issue, without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vote or action by the stockholders, up to 100,000,000 shares of preferred stock in one or more series and, with respect to each such series, to fix the number of shares constituting the series and the designation of the series, the voting powers (if any) of the shares of the series, and the preferences and relative, participating, optional and other rights, if any, and any qualifications, limitations or restrictions, of the shares of such series. The ability to issue such preferred stock could discourage potential acquisition proposals and could delay or prevent a change in control.</w:t>
      </w:r>
    </w:p>
    <w:p>
      <w:pPr>
        <w:spacing w:after="0" w:line="142" w:lineRule="exact"/>
        <w:rPr>
          <w:sz w:val="20"/>
          <w:szCs w:val="20"/>
          <w:color w:val="auto"/>
        </w:rPr>
      </w:pPr>
    </w:p>
    <w:p>
      <w:pPr>
        <w:jc w:val="both"/>
        <w:ind w:left="200" w:right="21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Number of Directors; Filling Vacancies; Removal. </w:t>
      </w:r>
      <w:r>
        <w:rPr>
          <w:rFonts w:ascii="Times New Roman" w:cs="Times New Roman" w:eastAsia="Times New Roman" w:hAnsi="Times New Roman"/>
          <w:sz w:val="18"/>
          <w:szCs w:val="18"/>
          <w:color w:val="auto"/>
        </w:rPr>
        <w:t>Our Bylaws provide that the number of directors which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constitute the whole of the Board shall be fixed from time to time by resolution of the Board. Directors shall be elected by a plurality vote of the shares represented in person or by proxy at the annual meeting of stockholders in each year and entitled to vote on the election of directors. Elected directors shall hold office until the next annual meeting and until their successors shall be duly elected and qualified. Directors need not be stockholders. If, for any cause, the Board shall not have been elected at an annual meeting, they may be elected as soon thereafter as convenient at a special meeting of stockholders called for that purpose in the manner provided in our Bylaws. In addition, our amended and restated certificate of incorporation and amended and restated Bylaws provide that a Board vacancy resulting from the death, removal or resignation of a director, as well as a vacancy resulting from an increase in the number of directors or if the stockholders fail at any meeting of stockholders at which directors are to be elected to elect the number of directors then constituting the whole Board, may be filled solely by the affirmative vote of a majority of the remaining directors then in office even though that may be less than a quorum of the Board.</w:t>
      </w:r>
    </w:p>
    <w:p>
      <w:pPr>
        <w:spacing w:after="0" w:line="163"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Special Meetings. </w:t>
      </w:r>
      <w:r>
        <w:rPr>
          <w:rFonts w:ascii="Times New Roman" w:cs="Times New Roman" w:eastAsia="Times New Roman" w:hAnsi="Times New Roman"/>
          <w:sz w:val="18"/>
          <w:szCs w:val="18"/>
          <w:color w:val="auto"/>
        </w:rPr>
        <w:t>Special Meetings of our stockholders may be called, for any purpose or purposes, by the Chairman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Board or the President or the Board of Directors at any time. Upon written request of any stockholder or stockholders holding in the aggregate not less than 10% of all of the votes entitled to be cast on any issue proposed to be considered at the Special Meeting signed, dated and delivered in person or sent by registered mail to the Chairman of the Board, President or Secretary of our company, the Secretary shall call a special meeting of stockholders to be held at the principal office of the corporation or at such place and at such time as the Secretary may fix, such meeting to be held not less than 10 nor more than 60 days after the receipt of such request, and if the Secretary shall neglect or refuse to call such meeting within seven days after the receipt of such request, the stockholder making such request may do so.</w:t>
      </w:r>
    </w:p>
    <w:p>
      <w:pPr>
        <w:spacing w:after="0" w:line="148" w:lineRule="exact"/>
        <w:rPr>
          <w:sz w:val="20"/>
          <w:szCs w:val="20"/>
          <w:color w:val="auto"/>
        </w:rPr>
      </w:pPr>
    </w:p>
    <w:p>
      <w:pPr>
        <w:jc w:val="both"/>
        <w:ind w:left="200" w:right="21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 Stockholder Action by Written Consent Unless Approved by the Board. </w:t>
      </w:r>
      <w:r>
        <w:rPr>
          <w:rFonts w:ascii="Times New Roman" w:cs="Times New Roman" w:eastAsia="Times New Roman" w:hAnsi="Times New Roman"/>
          <w:sz w:val="18"/>
          <w:szCs w:val="18"/>
          <w:color w:val="auto"/>
        </w:rPr>
        <w:t>Our Bylaws requires that all actions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taken by stockholders must be taken at a duly called annual or special meeting, and stockholders are not permitted to act by written consent. These provisions will make it more difficult for stockholders to take an action opposed by our Board.</w:t>
      </w:r>
    </w:p>
    <w:p>
      <w:pPr>
        <w:spacing w:after="0" w:line="139"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8"/>
          <w:szCs w:val="18"/>
          <w:i w:val="1"/>
          <w:iCs w:val="1"/>
          <w:color w:val="auto"/>
        </w:rPr>
        <w:t>Section 203 of the Delaware General Corporation Law</w:t>
      </w:r>
      <w:r>
        <w:rPr>
          <w:rFonts w:ascii="Times New Roman" w:cs="Times New Roman" w:eastAsia="Times New Roman" w:hAnsi="Times New Roman"/>
          <w:sz w:val="18"/>
          <w:szCs w:val="18"/>
          <w:color w:val="auto"/>
        </w:rPr>
        <w:t>. Section 203 of the DGCL provides that, subject to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exceptions, a corporation will not engage in any “business combination” with any “interested stockholder” for a three-year period following the time that such stockholder becomes an interested stockholder unless (1) before that time, the board of directors of the corporation approved either the business combination or the transaction which resulted in the stockholder becoming an interested stockholder, (2) upon consummation of the transaction which</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9" w:name="page120"/>
    <w:bookmarkEnd w:id="119"/>
    <w:p>
      <w:pPr>
        <w:jc w:val="both"/>
        <w:ind w:left="200" w:right="219"/>
        <w:spacing w:after="0" w:line="241" w:lineRule="auto"/>
        <w:rPr>
          <w:sz w:val="20"/>
          <w:szCs w:val="20"/>
          <w:color w:val="auto"/>
        </w:rPr>
      </w:pPr>
      <w:r>
        <w:rPr>
          <w:rFonts w:ascii="Times New Roman" w:cs="Times New Roman" w:eastAsia="Times New Roman" w:hAnsi="Times New Roman"/>
          <w:sz w:val="18"/>
          <w:szCs w:val="18"/>
          <w:color w:val="auto"/>
        </w:rPr>
        <w:t>resulted in the stockholder becoming an interested stockholder, the interested stockholder owned at least 85% of the voting stock of the corporation outstanding at the time the transaction commenced (excluding certain shares) or (3) on or after such time, both the board of directors of the corporation and at least 66</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of the outstanding voting stock which is not owned by the interested stockholder approves the business combination. Section 203 of the DGCL generally defines an “interested stockholder” to include (x) any person that owns 15% or more of the outstanding voting stock of the corporation, or is an affiliate or associate of the corporation and owned 15% or more of the outstanding voting stock of the corporation at any time within three years immediately prior to the relevant date and (y) the affiliates and associates of any such person.</w:t>
      </w:r>
    </w:p>
    <w:p>
      <w:pPr>
        <w:spacing w:after="0" w:line="162"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18"/>
          <w:szCs w:val="18"/>
          <w:color w:val="auto"/>
        </w:rPr>
        <w:t>Section 203 of the DGCL generally defines a “business combination” to include (1) any merger or consolidation with an interested stockholder or other entity if the merger or consolidation is caused by the interested stockholder and as a result section (a) of Section 203 is no longer applicable to the surviving entity, (2) sales or other dispositions of 10% or more of the corporation’s assets with or to an interested stockholder, (3) certain transactions resulting in the issuance or transfer to the interested stockholder of any stock of the corporation or its subsidiaries, (4) certain transactions which would increase the proportionate share of the stock of the corporation or its subsidiaries owned by the interested stockholder and (5) receipt by the interested stockholder of the benefit (except proportionately as a stockholder) of any loans, advances, guarantees, pledges, or other financial benefits.</w:t>
      </w:r>
    </w:p>
    <w:p>
      <w:pPr>
        <w:spacing w:after="0" w:line="1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We have elected not to be subject to Section 203 of the DGCL.</w:t>
      </w:r>
    </w:p>
    <w:p>
      <w:pPr>
        <w:spacing w:after="0" w:line="1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American Stock Transfer &amp; Trust Company.</w:t>
      </w:r>
    </w:p>
    <w:p>
      <w:pPr>
        <w:spacing w:after="0" w:line="1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Listing Information</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Our common stock is listed on the NYSE American and the Tel Aviv Stock Exchange under the symbol “PLX.”</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0" w:name="page121"/>
    <w:bookmarkEnd w:id="120"/>
    <w:p>
      <w:pPr>
        <w:ind w:left="8880"/>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-116840</wp:posOffset>
            </wp:positionV>
            <wp:extent cx="1268730" cy="10718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0">
                      <a:extLst>
                        <a:ext uri="{28A0092B-C50C-407E-A947-70E740481C1C}"/>
                      </a:extLst>
                    </a:blip>
                    <a:srcRect/>
                    <a:stretch>
                      <a:fillRect/>
                    </a:stretch>
                  </pic:blipFill>
                  <pic:spPr bwMode="auto">
                    <a:xfrm>
                      <a:off x="0" y="0"/>
                      <a:ext cx="1268730"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ind w:right="120"/>
        <w:spacing w:after="0" w:line="252"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S-3 (No. 333-237736 and 333-264394) and on Form S-8 (No. 333-148983, No. 333-182677, No. 333-203960, No. 333-225526, No. 333 239101 and No. 333-266131) of Protalix BioTherapeutics, Inc. of our report dated February 27, 2023 relating to the financial statements,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900" w:type="dxa"/>
            <w:vAlign w:val="bottom"/>
          </w:tcPr>
          <w:p>
            <w:pPr>
              <w:ind w:left="100"/>
              <w:spacing w:after="0"/>
              <w:rPr>
                <w:sz w:val="20"/>
                <w:szCs w:val="20"/>
                <w:color w:val="auto"/>
              </w:rPr>
            </w:pPr>
            <w:r>
              <w:rPr>
                <w:rFonts w:ascii="Georgia" w:cs="Georgia" w:eastAsia="Georgia" w:hAnsi="Georgia"/>
                <w:sz w:val="18"/>
                <w:szCs w:val="18"/>
                <w:color w:val="auto"/>
              </w:rPr>
              <w:t>Tel-Aviv, Israel</w:t>
            </w:r>
          </w:p>
        </w:tc>
        <w:tc>
          <w:tcPr>
            <w:tcW w:w="7020" w:type="dxa"/>
            <w:vAlign w:val="bottom"/>
          </w:tcPr>
          <w:p>
            <w:pPr>
              <w:ind w:left="1320"/>
              <w:spacing w:after="0"/>
              <w:rPr>
                <w:sz w:val="20"/>
                <w:szCs w:val="20"/>
                <w:color w:val="auto"/>
              </w:rPr>
            </w:pPr>
            <w:r>
              <w:rPr>
                <w:rFonts w:ascii="Georgia" w:cs="Georgia" w:eastAsia="Georgia" w:hAnsi="Georgia"/>
                <w:sz w:val="18"/>
                <w:szCs w:val="18"/>
                <w:color w:val="auto"/>
              </w:rPr>
              <w:t>/s/ Kesselman &amp; Kesselman</w:t>
            </w:r>
          </w:p>
        </w:tc>
      </w:tr>
      <w:tr>
        <w:trPr>
          <w:trHeight w:val="203"/>
        </w:trPr>
        <w:tc>
          <w:tcPr>
            <w:tcW w:w="2900" w:type="dxa"/>
            <w:vAlign w:val="bottom"/>
          </w:tcPr>
          <w:p>
            <w:pPr>
              <w:ind w:left="100"/>
              <w:spacing w:after="0" w:line="202" w:lineRule="exact"/>
              <w:rPr>
                <w:sz w:val="20"/>
                <w:szCs w:val="20"/>
                <w:color w:val="auto"/>
              </w:rPr>
            </w:pPr>
            <w:r>
              <w:rPr>
                <w:rFonts w:ascii="Georgia" w:cs="Georgia" w:eastAsia="Georgia" w:hAnsi="Georgia"/>
                <w:sz w:val="18"/>
                <w:szCs w:val="18"/>
                <w:color w:val="auto"/>
              </w:rPr>
              <w:t>February 27, 2023</w:t>
            </w:r>
          </w:p>
        </w:tc>
        <w:tc>
          <w:tcPr>
            <w:tcW w:w="7020" w:type="dxa"/>
            <w:vAlign w:val="bottom"/>
          </w:tcPr>
          <w:p>
            <w:pPr>
              <w:ind w:left="1320"/>
              <w:spacing w:after="0" w:line="202" w:lineRule="exact"/>
              <w:rPr>
                <w:sz w:val="20"/>
                <w:szCs w:val="20"/>
                <w:color w:val="auto"/>
              </w:rPr>
            </w:pPr>
            <w:r>
              <w:rPr>
                <w:rFonts w:ascii="Georgia" w:cs="Georgia" w:eastAsia="Georgia" w:hAnsi="Georgia"/>
                <w:sz w:val="18"/>
                <w:szCs w:val="18"/>
                <w:color w:val="auto"/>
              </w:rPr>
              <w:t>Certified Public Accountants (lsr.)</w:t>
            </w:r>
          </w:p>
        </w:tc>
      </w:tr>
      <w:tr>
        <w:trPr>
          <w:trHeight w:val="203"/>
        </w:trPr>
        <w:tc>
          <w:tcPr>
            <w:tcW w:w="2900" w:type="dxa"/>
            <w:vAlign w:val="bottom"/>
          </w:tcPr>
          <w:p>
            <w:pPr>
              <w:spacing w:after="0"/>
              <w:rPr>
                <w:sz w:val="17"/>
                <w:szCs w:val="17"/>
                <w:color w:val="auto"/>
              </w:rPr>
            </w:pPr>
          </w:p>
        </w:tc>
        <w:tc>
          <w:tcPr>
            <w:tcW w:w="7020" w:type="dxa"/>
            <w:vAlign w:val="bottom"/>
          </w:tcPr>
          <w:p>
            <w:pPr>
              <w:ind w:left="1320"/>
              <w:spacing w:after="0" w:line="202" w:lineRule="exact"/>
              <w:rPr>
                <w:sz w:val="20"/>
                <w:szCs w:val="20"/>
                <w:color w:val="auto"/>
              </w:rPr>
            </w:pPr>
            <w:r>
              <w:rPr>
                <w:rFonts w:ascii="Georgia" w:cs="Georgia" w:eastAsia="Georgia" w:hAnsi="Georgia"/>
                <w:sz w:val="18"/>
                <w:szCs w:val="18"/>
                <w:color w:val="auto"/>
              </w:rPr>
              <w:t>A member firm of PricewaterhouseCoopers</w:t>
            </w:r>
          </w:p>
        </w:tc>
      </w:tr>
      <w:tr>
        <w:trPr>
          <w:trHeight w:val="203"/>
        </w:trPr>
        <w:tc>
          <w:tcPr>
            <w:tcW w:w="2900" w:type="dxa"/>
            <w:vAlign w:val="bottom"/>
          </w:tcPr>
          <w:p>
            <w:pPr>
              <w:spacing w:after="0"/>
              <w:rPr>
                <w:sz w:val="17"/>
                <w:szCs w:val="17"/>
                <w:color w:val="auto"/>
              </w:rPr>
            </w:pPr>
          </w:p>
        </w:tc>
        <w:tc>
          <w:tcPr>
            <w:tcW w:w="7020" w:type="dxa"/>
            <w:vAlign w:val="bottom"/>
          </w:tcPr>
          <w:p>
            <w:pPr>
              <w:ind w:left="1320"/>
              <w:spacing w:after="0" w:line="203" w:lineRule="exact"/>
              <w:rPr>
                <w:sz w:val="20"/>
                <w:szCs w:val="20"/>
                <w:color w:val="auto"/>
              </w:rPr>
            </w:pPr>
            <w:r>
              <w:rPr>
                <w:rFonts w:ascii="Georgia" w:cs="Georgia" w:eastAsia="Georgia" w:hAnsi="Georgia"/>
                <w:sz w:val="18"/>
                <w:szCs w:val="18"/>
                <w:color w:val="auto"/>
              </w:rPr>
              <w:t>International Limited</w:t>
            </w:r>
          </w:p>
        </w:tc>
      </w:tr>
      <w:tr>
        <w:trPr>
          <w:trHeight w:val="1305"/>
        </w:trPr>
        <w:tc>
          <w:tcPr>
            <w:tcW w:w="290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31" w:right="99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Dror Bashan, certify that:</w:t>
      </w:r>
    </w:p>
    <w:p>
      <w:pPr>
        <w:spacing w:after="0" w:line="225" w:lineRule="exact"/>
        <w:rPr>
          <w:sz w:val="20"/>
          <w:szCs w:val="20"/>
          <w:color w:val="auto"/>
        </w:rPr>
      </w:pPr>
    </w:p>
    <w:p>
      <w:pPr>
        <w:ind w:left="320" w:hanging="312"/>
        <w:spacing w:after="0"/>
        <w:tabs>
          <w:tab w:leader="none" w:pos="3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Protalix BioTherapeutics, Inc.;</w:t>
      </w:r>
    </w:p>
    <w:p>
      <w:pPr>
        <w:spacing w:after="0" w:line="225"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3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7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302"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644"/>
        <w:spacing w:after="0" w:line="289" w:lineRule="auto"/>
        <w:tabs>
          <w:tab w:leader="none" w:pos="1312" w:val="left"/>
        </w:tabs>
        <w:numPr>
          <w:ilvl w:val="2"/>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302"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80" w:hanging="644"/>
        <w:spacing w:after="0" w:line="261" w:lineRule="auto"/>
        <w:tabs>
          <w:tab w:leader="none" w:pos="1312"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340" w:right="220" w:hanging="332"/>
        <w:spacing w:after="0" w:line="266" w:lineRule="auto"/>
        <w:tabs>
          <w:tab w:leader="none" w:pos="32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6"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6"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27, 2023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Dror Bashan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Eyal Rubin, certify that:</w:t>
      </w:r>
    </w:p>
    <w:p>
      <w:pPr>
        <w:spacing w:after="0" w:line="225" w:lineRule="exact"/>
        <w:rPr>
          <w:sz w:val="20"/>
          <w:szCs w:val="20"/>
          <w:color w:val="auto"/>
        </w:rPr>
      </w:pPr>
    </w:p>
    <w:p>
      <w:pPr>
        <w:ind w:left="360" w:hanging="352"/>
        <w:spacing w:after="0"/>
        <w:tabs>
          <w:tab w:leader="none" w:pos="3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Protalix BioTherapeutics, Inc.;</w:t>
      </w:r>
    </w:p>
    <w:p>
      <w:pPr>
        <w:spacing w:after="0" w:line="225" w:lineRule="exact"/>
        <w:rPr>
          <w:rFonts w:ascii="Times New Roman" w:cs="Times New Roman" w:eastAsia="Times New Roman" w:hAnsi="Times New Roman"/>
          <w:sz w:val="18"/>
          <w:szCs w:val="18"/>
          <w:color w:val="auto"/>
        </w:rPr>
      </w:pPr>
    </w:p>
    <w:p>
      <w:pPr>
        <w:ind w:left="340" w:right="160" w:hanging="332"/>
        <w:spacing w:after="0" w:line="266" w:lineRule="auto"/>
        <w:tabs>
          <w:tab w:leader="none" w:pos="37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3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7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302"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644"/>
        <w:spacing w:after="0" w:line="289" w:lineRule="auto"/>
        <w:tabs>
          <w:tab w:leader="none" w:pos="1312" w:val="left"/>
        </w:tabs>
        <w:numPr>
          <w:ilvl w:val="2"/>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302"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80" w:hanging="644"/>
        <w:spacing w:after="0" w:line="261" w:lineRule="auto"/>
        <w:tabs>
          <w:tab w:leader="none" w:pos="1312"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340" w:right="220" w:hanging="332"/>
        <w:spacing w:after="0" w:line="266" w:lineRule="auto"/>
        <w:tabs>
          <w:tab w:leader="none" w:pos="32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6"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6"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27,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Eyal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Eyal Rubin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 Vice President, Chief Financial Officer,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Annual Report of Protalix BioTherapeutics, Inc. (the “Company”) on Form 10-K for the period ended</w:t>
      </w:r>
    </w:p>
    <w:p>
      <w:pPr>
        <w:spacing w:after="0" w:line="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December 31, 2022 as filed with the Securities and Exchange Commission (the “Report”), I, Dror Bashan, President and Chief Executive Officer of the Company, hereby certify as of the date hereof, solely for purposes of Title 18, Chapter 63, Section 1350 of the United States Code, that to my knowledge:</w:t>
      </w:r>
    </w:p>
    <w:p>
      <w:pPr>
        <w:spacing w:after="0" w:line="186" w:lineRule="exact"/>
        <w:rPr>
          <w:sz w:val="20"/>
          <w:szCs w:val="20"/>
          <w:color w:val="auto"/>
        </w:rPr>
      </w:pPr>
    </w:p>
    <w:p>
      <w:pPr>
        <w:ind w:left="440" w:right="400" w:firstLine="8"/>
        <w:spacing w:after="0" w:line="282" w:lineRule="auto"/>
        <w:tabs>
          <w:tab w:leader="none" w:pos="69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61" w:lineRule="exact"/>
        <w:rPr>
          <w:rFonts w:ascii="Times New Roman" w:cs="Times New Roman" w:eastAsia="Times New Roman" w:hAnsi="Times New Roman"/>
          <w:sz w:val="18"/>
          <w:szCs w:val="18"/>
          <w:color w:val="auto"/>
        </w:rPr>
      </w:pPr>
    </w:p>
    <w:p>
      <w:pPr>
        <w:ind w:left="440" w:right="80" w:firstLine="8"/>
        <w:spacing w:after="0" w:line="282" w:lineRule="auto"/>
        <w:tabs>
          <w:tab w:leader="none" w:pos="69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Certificate is being furnished to the Securities and Exchange Commission as an exhibit to the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27, 2023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Dror Bashan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Protalix BioTherapeutics, Inc. (the “Company”) on Form 10-K for the period ended December 31, 2022 as filed with the Securities and Exchange Commission (the “Report”), I, Eyal Rubin, Sr. Vice President and Chief Financial Officer of the Company, hereby certify as of the date hereof, solely for the purposes of Title 18, Chapter 63, Section 1350 of the United States Code, that to my knowledge:</w:t>
      </w:r>
    </w:p>
    <w:p>
      <w:pPr>
        <w:spacing w:after="0" w:line="180" w:lineRule="exact"/>
        <w:rPr>
          <w:sz w:val="20"/>
          <w:szCs w:val="20"/>
          <w:color w:val="auto"/>
        </w:rPr>
      </w:pPr>
    </w:p>
    <w:p>
      <w:pPr>
        <w:ind w:left="440" w:right="400" w:firstLine="8"/>
        <w:spacing w:after="0" w:line="282" w:lineRule="auto"/>
        <w:tabs>
          <w:tab w:leader="none" w:pos="69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61" w:lineRule="exact"/>
        <w:rPr>
          <w:rFonts w:ascii="Times New Roman" w:cs="Times New Roman" w:eastAsia="Times New Roman" w:hAnsi="Times New Roman"/>
          <w:sz w:val="18"/>
          <w:szCs w:val="18"/>
          <w:color w:val="auto"/>
        </w:rPr>
      </w:pPr>
    </w:p>
    <w:p>
      <w:pPr>
        <w:ind w:left="440" w:right="80" w:firstLine="8"/>
        <w:spacing w:after="0" w:line="282" w:lineRule="auto"/>
        <w:tabs>
          <w:tab w:leader="none" w:pos="69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Certificate is being furnished to the Securities and Exchange Commission as an exhibit to the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27,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Eyal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Eyal Rubin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1"/>
      <w:numFmt w:val="upperLetter"/>
      <w:start w:val="6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a"/>
      <w:numFmt w:val="bullet"/>
      <w:start w:val="1"/>
    </w:lvl>
  </w:abstractNum>
  <w:abstractNum w:abstractNumId="11">
    <w:nsid w:val="39386575"/>
    <w:multiLevelType w:val="hybridMultilevel"/>
    <w:lvl w:ilvl="0">
      <w:lvlJc w:val="left"/>
      <w:lvlText w:val="(%1)"/>
      <w:numFmt w:val="decimal"/>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
      <w:numFmt w:val="bullet"/>
      <w:start w:val="1"/>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
      <w:numFmt w:val="bullet"/>
      <w:start w:val="1"/>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
      <w:numFmt w:val="bullet"/>
      <w:start w:val="1"/>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
      <w:numFmt w:val="bullet"/>
      <w:start w:val="1"/>
    </w:lvl>
  </w:abstractNum>
  <w:abstractNum w:abstractNumId="31">
    <w:nsid w:val="4AD084E9"/>
    <w:multiLevelType w:val="hybridMultilevel"/>
    <w:lvl w:ilvl="0">
      <w:lvlJc w:val="left"/>
      <w:lvlText w:val="●"/>
      <w:numFmt w:val="bullet"/>
      <w:start w:val="1"/>
    </w:lvl>
  </w:abstractNum>
  <w:abstractNum w:abstractNumId="32">
    <w:nsid w:val="1F48EAA1"/>
    <w:multiLevelType w:val="hybridMultilevel"/>
    <w:lvl w:ilvl="0">
      <w:lvlJc w:val="left"/>
      <w:lvlText w:val="●"/>
      <w:numFmt w:val="bullet"/>
      <w:start w:val="1"/>
    </w:lvl>
  </w:abstractNum>
  <w:abstractNum w:abstractNumId="33">
    <w:nsid w:val="1381823A"/>
    <w:multiLevelType w:val="hybridMultilevel"/>
    <w:lvl w:ilvl="0">
      <w:lvlJc w:val="left"/>
      <w:lvlText w:val="●"/>
      <w:numFmt w:val="bullet"/>
      <w:start w:val="1"/>
    </w:lvl>
  </w:abstractNum>
  <w:abstractNum w:abstractNumId="34">
    <w:nsid w:val="5DB70AE5"/>
    <w:multiLevelType w:val="hybridMultilevel"/>
    <w:lvl w:ilvl="0">
      <w:lvlJc w:val="left"/>
      <w:lvlText w:val="●"/>
      <w:numFmt w:val="bullet"/>
      <w:start w:val="1"/>
    </w:lvl>
  </w:abstractNum>
  <w:abstractNum w:abstractNumId="35">
    <w:nsid w:val="100F8FCA"/>
    <w:multiLevelType w:val="hybridMultilevel"/>
    <w:lvl w:ilvl="0">
      <w:lvlJc w:val="left"/>
      <w:lvlText w:val="●"/>
      <w:numFmt w:val="bullet"/>
      <w:start w:val="1"/>
    </w:lvl>
  </w:abstractNum>
  <w:abstractNum w:abstractNumId="36">
    <w:nsid w:val="6590700B"/>
    <w:multiLevelType w:val="hybridMultilevel"/>
    <w:lvl w:ilvl="0">
      <w:lvlJc w:val="left"/>
      <w:lvlText w:val="●"/>
      <w:numFmt w:val="bullet"/>
      <w:start w:val="1"/>
    </w:lvl>
  </w:abstractNum>
  <w:abstractNum w:abstractNumId="37">
    <w:nsid w:val="15014ACB"/>
    <w:multiLevelType w:val="hybridMultilevel"/>
    <w:lvl w:ilvl="0">
      <w:lvlJc w:val="left"/>
      <w:lvlText w:val="●"/>
      <w:numFmt w:val="bullet"/>
      <w:start w:val="1"/>
    </w:lvl>
  </w:abstractNum>
  <w:abstractNum w:abstractNumId="38">
    <w:nsid w:val="5F5E7FD0"/>
    <w:multiLevelType w:val="hybridMultilevel"/>
    <w:lvl w:ilvl="0">
      <w:lvlJc w:val="left"/>
      <w:lvlText w:val="●"/>
      <w:numFmt w:val="bullet"/>
      <w:start w:val="1"/>
    </w:lvl>
  </w:abstractNum>
  <w:abstractNum w:abstractNumId="39">
    <w:nsid w:val="98A3148"/>
    <w:multiLevelType w:val="hybridMultilevel"/>
    <w:lvl w:ilvl="0">
      <w:lvlJc w:val="left"/>
      <w:lvlText w:val="●"/>
      <w:numFmt w:val="bullet"/>
      <w:start w:val="1"/>
    </w:lvl>
  </w:abstractNum>
  <w:abstractNum w:abstractNumId="40">
    <w:nsid w:val="799D0247"/>
    <w:multiLevelType w:val="hybridMultilevel"/>
    <w:lvl w:ilvl="0">
      <w:lvlJc w:val="left"/>
      <w:lvlText w:val="(%1)"/>
      <w:numFmt w:val="decimal"/>
      <w:start w:val="1"/>
    </w:lvl>
  </w:abstractNum>
  <w:abstractNum w:abstractNumId="41">
    <w:nsid w:val="6B94764"/>
    <w:multiLevelType w:val="hybridMultilevel"/>
    <w:lvl w:ilvl="0">
      <w:lvlJc w:val="left"/>
      <w:lvlText w:val="●"/>
      <w:numFmt w:val="bullet"/>
      <w:start w:val="1"/>
    </w:lvl>
  </w:abstractNum>
  <w:abstractNum w:abstractNumId="42">
    <w:nsid w:val="42C296BD"/>
    <w:multiLevelType w:val="hybridMultilevel"/>
    <w:lvl w:ilvl="0">
      <w:lvlJc w:val="left"/>
      <w:lvlText w:val="(%1)"/>
      <w:numFmt w:val="lowerRoman"/>
      <w:start w:val="4"/>
    </w:lvl>
  </w:abstractNum>
  <w:abstractNum w:abstractNumId="43">
    <w:nsid w:val="168E121F"/>
    <w:multiLevelType w:val="hybridMultilevel"/>
    <w:lvl w:ilvl="0">
      <w:lvlJc w:val="left"/>
      <w:lvlText w:val="●"/>
      <w:numFmt w:val="bullet"/>
      <w:start w:val="1"/>
    </w:lvl>
  </w:abstractNum>
  <w:abstractNum w:abstractNumId="44">
    <w:nsid w:val="1EBA5D23"/>
    <w:multiLevelType w:val="hybridMultilevel"/>
    <w:lvl w:ilvl="0">
      <w:lvlJc w:val="left"/>
      <w:lvlText w:val="●"/>
      <w:numFmt w:val="bullet"/>
      <w:start w:val="1"/>
    </w:lvl>
  </w:abstractNum>
  <w:abstractNum w:abstractNumId="45">
    <w:nsid w:val="661E3F1E"/>
    <w:multiLevelType w:val="hybridMultilevel"/>
    <w:lvl w:ilvl="0">
      <w:lvlJc w:val="left"/>
      <w:lvlText w:val="%1."/>
      <w:numFmt w:val="decimal"/>
      <w:start w:val="1"/>
    </w:lvl>
  </w:abstractNum>
  <w:abstractNum w:abstractNumId="46">
    <w:nsid w:val="5DC79EA8"/>
    <w:multiLevelType w:val="hybridMultilevel"/>
    <w:lvl w:ilvl="0">
      <w:lvlJc w:val="left"/>
      <w:lvlText w:val="%1."/>
      <w:numFmt w:val="decimal"/>
      <w:start w:val="2"/>
    </w:lvl>
  </w:abstractNum>
  <w:abstractNum w:abstractNumId="47">
    <w:nsid w:val="540A471C"/>
    <w:multiLevelType w:val="hybridMultilevel"/>
    <w:lvl w:ilvl="0">
      <w:lvlJc w:val="left"/>
      <w:lvlText w:val="†"/>
      <w:numFmt w:val="bullet"/>
      <w:start w:val="1"/>
    </w:lvl>
  </w:abstractNum>
  <w:abstractNum w:abstractNumId="48">
    <w:nsid w:val="7BD3EE7B"/>
    <w:multiLevelType w:val="hybridMultilevel"/>
    <w:lvl w:ilvl="0">
      <w:lvlJc w:val="left"/>
      <w:lvlText w:val="††"/>
      <w:numFmt w:val="bullet"/>
      <w:start w:val="1"/>
    </w:lvl>
  </w:abstractNum>
  <w:abstractNum w:abstractNumId="49">
    <w:nsid w:val="51D9C564"/>
    <w:multiLevelType w:val="hybridMultilevel"/>
    <w:lvl w:ilvl="0">
      <w:lvlJc w:val="left"/>
      <w:lvlText w:val="%1."/>
      <w:numFmt w:val="lowerLetter"/>
      <w:start w:val="1"/>
    </w:lvl>
  </w:abstractNum>
  <w:abstractNum w:abstractNumId="50">
    <w:nsid w:val="613EFDC5"/>
    <w:multiLevelType w:val="hybridMultilevel"/>
    <w:lvl w:ilvl="0">
      <w:lvlJc w:val="left"/>
      <w:lvlText w:val="(%1)"/>
      <w:numFmt w:val="decimal"/>
      <w:start w:val="1"/>
    </w:lvl>
  </w:abstractNum>
  <w:abstractNum w:abstractNumId="51">
    <w:nsid w:val="BF72B14"/>
    <w:multiLevelType w:val="hybridMultilevel"/>
    <w:lvl w:ilvl="0">
      <w:lvlJc w:val="left"/>
      <w:lvlText w:val="%1."/>
      <w:numFmt w:val="lowerLetter"/>
      <w:start w:val="2"/>
    </w:lvl>
  </w:abstractNum>
  <w:abstractNum w:abstractNumId="52">
    <w:nsid w:val="11447B73"/>
    <w:multiLevelType w:val="hybridMultilevel"/>
    <w:lvl w:ilvl="0">
      <w:lvlJc w:val="left"/>
      <w:lvlText w:val="%1."/>
      <w:numFmt w:val="lowerLetter"/>
      <w:start w:val="7"/>
    </w:lvl>
  </w:abstractNum>
  <w:abstractNum w:abstractNumId="53">
    <w:nsid w:val="42963E5A"/>
    <w:multiLevelType w:val="hybridMultilevel"/>
    <w:lvl w:ilvl="0">
      <w:lvlJc w:val="left"/>
      <w:lvlText w:val="%1."/>
      <w:numFmt w:val="lowerLetter"/>
      <w:start w:val="8"/>
    </w:lvl>
    <w:lvl w:ilvl="1">
      <w:lvlJc w:val="left"/>
      <w:lvlText w:val="%2."/>
      <w:numFmt w:val="decimal"/>
      <w:start w:val="1"/>
    </w:lvl>
  </w:abstractNum>
  <w:abstractNum w:abstractNumId="54">
    <w:nsid w:val="A0382C5"/>
    <w:multiLevelType w:val="hybridMultilevel"/>
    <w:lvl w:ilvl="0">
      <w:lvlJc w:val="left"/>
      <w:lvlText w:val="%1."/>
      <w:numFmt w:val="lowerRoman"/>
      <w:start w:val="1"/>
    </w:lvl>
  </w:abstractNum>
  <w:abstractNum w:abstractNumId="55">
    <w:nsid w:val="8F2B15E"/>
    <w:multiLevelType w:val="hybridMultilevel"/>
    <w:lvl w:ilvl="0">
      <w:lvlJc w:val="left"/>
      <w:lvlText w:val="%1."/>
      <w:numFmt w:val="lowerLetter"/>
      <w:start w:val="10"/>
    </w:lvl>
    <w:lvl w:ilvl="1">
      <w:lvlJc w:val="left"/>
      <w:lvlText w:val="%2."/>
      <w:numFmt w:val="decimal"/>
      <w:start w:val="1"/>
    </w:lvl>
  </w:abstractNum>
  <w:abstractNum w:abstractNumId="56">
    <w:nsid w:val="1A32234B"/>
    <w:multiLevelType w:val="hybridMultilevel"/>
    <w:lvl w:ilvl="0">
      <w:lvlJc w:val="left"/>
      <w:lvlText w:val="%1."/>
      <w:numFmt w:val="lowerLetter"/>
      <w:start w:val="11"/>
    </w:lvl>
    <w:lvl w:ilvl="1">
      <w:lvlJc w:val="left"/>
      <w:lvlText w:val="%2."/>
      <w:numFmt w:val="decimal"/>
      <w:start w:val="1"/>
    </w:lvl>
  </w:abstractNum>
  <w:abstractNum w:abstractNumId="57">
    <w:nsid w:val="3B0FD379"/>
    <w:multiLevelType w:val="hybridMultilevel"/>
    <w:lvl w:ilvl="0">
      <w:lvlJc w:val="left"/>
      <w:lvlText w:val="%1"/>
      <w:numFmt w:val="lowerLetter"/>
      <w:start w:val="1"/>
    </w:lvl>
    <w:lvl w:ilvl="1">
      <w:lvlJc w:val="left"/>
      <w:lvlText w:val="%2."/>
      <w:numFmt w:val="decimal"/>
      <w:start w:val="3"/>
    </w:lvl>
  </w:abstractNum>
  <w:abstractNum w:abstractNumId="58">
    <w:nsid w:val="68EB2F63"/>
    <w:multiLevelType w:val="hybridMultilevel"/>
    <w:lvl w:ilvl="0">
      <w:lvlJc w:val="left"/>
      <w:lvlText w:val="%1."/>
      <w:numFmt w:val="lowerLetter"/>
      <w:start w:val="12"/>
    </w:lvl>
    <w:lvl w:ilvl="1">
      <w:lvlJc w:val="left"/>
      <w:lvlText w:val="%2"/>
      <w:numFmt w:val="decimal"/>
      <w:start w:val="1"/>
    </w:lvl>
  </w:abstractNum>
  <w:abstractNum w:abstractNumId="59">
    <w:nsid w:val="4962813B"/>
    <w:multiLevelType w:val="hybridMultilevel"/>
    <w:lvl w:ilvl="0">
      <w:lvlJc w:val="left"/>
      <w:lvlText w:val="%1."/>
      <w:numFmt w:val="lowerLetter"/>
      <w:start w:val="14"/>
    </w:lvl>
  </w:abstractNum>
  <w:abstractNum w:abstractNumId="60">
    <w:nsid w:val="60B6DF70"/>
    <w:multiLevelType w:val="hybridMultilevel"/>
    <w:lvl w:ilvl="0">
      <w:lvlJc w:val="left"/>
      <w:lvlText w:val="%1."/>
      <w:numFmt w:val="lowerLetter"/>
      <w:start w:val="16"/>
    </w:lvl>
  </w:abstractNum>
  <w:abstractNum w:abstractNumId="61">
    <w:nsid w:val="6A5EE64"/>
    <w:multiLevelType w:val="hybridMultilevel"/>
    <w:lvl w:ilvl="0">
      <w:lvlJc w:val="left"/>
      <w:lvlText w:val="%1."/>
      <w:numFmt w:val="lowerLetter"/>
      <w:start w:val="18"/>
    </w:lvl>
  </w:abstractNum>
  <w:abstractNum w:abstractNumId="62">
    <w:nsid w:val="14330624"/>
    <w:multiLevelType w:val="hybridMultilevel"/>
    <w:lvl w:ilvl="0">
      <w:lvlJc w:val="left"/>
      <w:lvlText w:val="%1."/>
      <w:numFmt w:val="lowerLetter"/>
      <w:start w:val="1"/>
    </w:lvl>
    <w:lvl w:ilvl="1">
      <w:lvlJc w:val="left"/>
      <w:lvlText w:val="%2."/>
      <w:numFmt w:val="decimal"/>
      <w:start w:val="1"/>
    </w:lvl>
  </w:abstractNum>
  <w:abstractNum w:abstractNumId="63">
    <w:nsid w:val="7FFFCA11"/>
    <w:multiLevelType w:val="hybridMultilevel"/>
    <w:lvl w:ilvl="0">
      <w:lvlJc w:val="left"/>
      <w:lvlText w:val="%1."/>
      <w:numFmt w:val="lowerLetter"/>
      <w:start w:val="2"/>
    </w:lvl>
    <w:lvl w:ilvl="1">
      <w:lvlJc w:val="left"/>
      <w:lvlText w:val="%2."/>
      <w:numFmt w:val="decimal"/>
      <w:start w:val="1"/>
    </w:lvl>
  </w:abstractNum>
  <w:abstractNum w:abstractNumId="64">
    <w:nsid w:val="1A27709E"/>
    <w:multiLevelType w:val="hybridMultilevel"/>
    <w:lvl w:ilvl="0">
      <w:lvlJc w:val="left"/>
      <w:lvlText w:val="%1."/>
      <w:numFmt w:val="decimal"/>
      <w:start w:val="1"/>
    </w:lvl>
  </w:abstractNum>
  <w:abstractNum w:abstractNumId="65">
    <w:nsid w:val="71EA1109"/>
    <w:multiLevelType w:val="hybridMultilevel"/>
    <w:lvl w:ilvl="0">
      <w:lvlJc w:val="left"/>
      <w:lvlText w:val="%1."/>
      <w:numFmt w:val="decimal"/>
      <w:start w:val="1"/>
    </w:lvl>
  </w:abstractNum>
  <w:abstractNum w:abstractNumId="66">
    <w:nsid w:val="100F59DC"/>
    <w:multiLevelType w:val="hybridMultilevel"/>
    <w:lvl w:ilvl="0">
      <w:lvlJc w:val="left"/>
      <w:lvlText w:val="%1."/>
      <w:numFmt w:val="lowerLetter"/>
      <w:start w:val="3"/>
    </w:lvl>
  </w:abstractNum>
  <w:abstractNum w:abstractNumId="67">
    <w:nsid w:val="7FB7E0AA"/>
    <w:multiLevelType w:val="hybridMultilevel"/>
    <w:lvl w:ilvl="0">
      <w:lvlJc w:val="left"/>
      <w:lvlText w:val="%1."/>
      <w:numFmt w:val="lowerLetter"/>
      <w:start w:val="1"/>
    </w:lvl>
  </w:abstractNum>
  <w:abstractNum w:abstractNumId="68">
    <w:nsid w:val="6EB5BD4"/>
    <w:multiLevelType w:val="hybridMultilevel"/>
    <w:lvl w:ilvl="0">
      <w:lvlJc w:val="left"/>
      <w:lvlText w:val="%1."/>
      <w:numFmt w:val="lowerLetter"/>
      <w:start w:val="2"/>
    </w:lvl>
  </w:abstractNum>
  <w:abstractNum w:abstractNumId="69">
    <w:nsid w:val="6F6DD9AC"/>
    <w:multiLevelType w:val="hybridMultilevel"/>
    <w:lvl w:ilvl="0">
      <w:lvlJc w:val="left"/>
      <w:lvlText w:val="%1."/>
      <w:numFmt w:val="lowerLetter"/>
      <w:start w:val="1"/>
    </w:lvl>
  </w:abstractNum>
  <w:abstractNum w:abstractNumId="70">
    <w:nsid w:val="94211F2"/>
    <w:multiLevelType w:val="hybridMultilevel"/>
    <w:lvl w:ilvl="0">
      <w:lvlJc w:val="left"/>
      <w:lvlText w:val="%1."/>
      <w:numFmt w:val="lowerLetter"/>
      <w:start w:val="2"/>
    </w:lvl>
  </w:abstractNum>
  <w:abstractNum w:abstractNumId="71">
    <w:nsid w:val="885E1B"/>
    <w:multiLevelType w:val="hybridMultilevel"/>
    <w:lvl w:ilvl="0">
      <w:lvlJc w:val="left"/>
      <w:lvlText w:val="%1."/>
      <w:numFmt w:val="lowerLetter"/>
      <w:start w:val="1"/>
    </w:lvl>
  </w:abstractNum>
  <w:abstractNum w:abstractNumId="72">
    <w:nsid w:val="76272110"/>
    <w:multiLevelType w:val="hybridMultilevel"/>
    <w:lvl w:ilvl="0">
      <w:lvlJc w:val="left"/>
      <w:lvlText w:val="%1."/>
      <w:numFmt w:val="lowerLetter"/>
      <w:start w:val="3"/>
    </w:lvl>
  </w:abstractNum>
  <w:abstractNum w:abstractNumId="73">
    <w:nsid w:val="4C04A8AF"/>
    <w:multiLevelType w:val="hybridMultilevel"/>
    <w:lvl w:ilvl="0">
      <w:lvlJc w:val="left"/>
      <w:lvlText w:val="%1."/>
      <w:numFmt w:val="lowerLetter"/>
      <w:start w:val="1"/>
    </w:lvl>
  </w:abstractNum>
  <w:abstractNum w:abstractNumId="74">
    <w:nsid w:val="1716703B"/>
    <w:multiLevelType w:val="hybridMultilevel"/>
    <w:lvl w:ilvl="0">
      <w:lvlJc w:val="left"/>
      <w:lvlText w:val="%1."/>
      <w:numFmt w:val="decimal"/>
      <w:start w:val="1"/>
    </w:lvl>
  </w:abstractNum>
  <w:abstractNum w:abstractNumId="75">
    <w:nsid w:val="14E17E33"/>
    <w:multiLevelType w:val="hybridMultilevel"/>
    <w:lvl w:ilvl="0">
      <w:lvlJc w:val="left"/>
      <w:lvlText w:val="%1)"/>
      <w:numFmt w:val="lowerLetter"/>
      <w:start w:val="1"/>
    </w:lvl>
  </w:abstractNum>
  <w:abstractNum w:abstractNumId="76">
    <w:nsid w:val="3222E7CD"/>
    <w:multiLevelType w:val="hybridMultilevel"/>
    <w:lvl w:ilvl="0">
      <w:lvlJc w:val="left"/>
      <w:lvlText w:val="%1)"/>
      <w:numFmt w:val="lowerLetter"/>
      <w:start w:val="3"/>
    </w:lvl>
  </w:abstractNum>
  <w:abstractNum w:abstractNumId="77">
    <w:nsid w:val="74DE0EE3"/>
    <w:multiLevelType w:val="hybridMultilevel"/>
    <w:lvl w:ilvl="0">
      <w:lvlJc w:val="left"/>
      <w:lvlText w:val="*"/>
      <w:numFmt w:val="bullet"/>
      <w:start w:val="1"/>
    </w:lvl>
    <w:lvl w:ilvl="1">
      <w:lvlJc w:val="left"/>
      <w:lvlText w:val="%2)"/>
      <w:numFmt w:val="lowerLetter"/>
      <w:start w:val="4"/>
    </w:lvl>
  </w:abstractNum>
  <w:abstractNum w:abstractNumId="78">
    <w:nsid w:val="68EBC550"/>
    <w:multiLevelType w:val="hybridMultilevel"/>
    <w:lvl w:ilvl="0">
      <w:lvlJc w:val="left"/>
      <w:lvlText w:val="%1)"/>
      <w:numFmt w:val="lowerLetter"/>
      <w:start w:val="5"/>
    </w:lvl>
  </w:abstractNum>
  <w:abstractNum w:abstractNumId="79">
    <w:nsid w:val="2DF6D648"/>
    <w:multiLevelType w:val="hybridMultilevel"/>
    <w:lvl w:ilvl="0">
      <w:lvlJc w:val="left"/>
      <w:lvlText w:val="%1)"/>
      <w:numFmt w:val="lowerLetter"/>
      <w:start w:val="6"/>
    </w:lvl>
  </w:abstractNum>
  <w:abstractNum w:abstractNumId="80">
    <w:nsid w:val="46B7D447"/>
    <w:multiLevelType w:val="hybridMultilevel"/>
    <w:lvl w:ilvl="0">
      <w:lvlJc w:val="left"/>
      <w:lvlText w:val="%1."/>
      <w:numFmt w:val="lowerLetter"/>
      <w:start w:val="4"/>
    </w:lvl>
  </w:abstractNum>
  <w:abstractNum w:abstractNumId="81">
    <w:nsid w:val="4A2AC315"/>
    <w:multiLevelType w:val="hybridMultilevel"/>
    <w:lvl w:ilvl="0">
      <w:lvlJc w:val="left"/>
      <w:lvlText w:val="%1."/>
      <w:numFmt w:val="lowerLetter"/>
      <w:start w:val="6"/>
    </w:lvl>
  </w:abstractNum>
  <w:abstractNum w:abstractNumId="82">
    <w:nsid w:val="39EE015C"/>
    <w:multiLevelType w:val="hybridMultilevel"/>
    <w:lvl w:ilvl="0">
      <w:lvlJc w:val="left"/>
      <w:lvlText w:val="%1."/>
      <w:numFmt w:val="lowerLetter"/>
      <w:start w:val="1"/>
    </w:lvl>
  </w:abstractNum>
  <w:abstractNum w:abstractNumId="83">
    <w:nsid w:val="57FC4FBB"/>
    <w:multiLevelType w:val="hybridMultilevel"/>
    <w:lvl w:ilvl="0">
      <w:lvlJc w:val="left"/>
      <w:lvlText w:val="%1."/>
      <w:numFmt w:val="lowerLetter"/>
      <w:start w:val="2"/>
    </w:lvl>
  </w:abstractNum>
  <w:abstractNum w:abstractNumId="84">
    <w:nsid w:val="CC1016F"/>
    <w:multiLevelType w:val="hybridMultilevel"/>
    <w:lvl w:ilvl="0">
      <w:lvlJc w:val="left"/>
      <w:lvlText w:val="%1)"/>
      <w:numFmt w:val="lowerLetter"/>
      <w:start w:val="1"/>
    </w:lvl>
  </w:abstractNum>
  <w:abstractNum w:abstractNumId="85">
    <w:nsid w:val="43F18422"/>
    <w:multiLevelType w:val="hybridMultilevel"/>
    <w:lvl w:ilvl="0">
      <w:lvlJc w:val="left"/>
      <w:lvlText w:val="%1."/>
      <w:numFmt w:val="lowerLetter"/>
      <w:start w:val="1"/>
    </w:lvl>
  </w:abstractNum>
  <w:abstractNum w:abstractNumId="86">
    <w:nsid w:val="60EF0119"/>
    <w:multiLevelType w:val="hybridMultilevel"/>
    <w:lvl w:ilvl="0">
      <w:lvlJc w:val="left"/>
      <w:lvlText w:val="%1."/>
      <w:numFmt w:val="lowerLetter"/>
      <w:start w:val="2"/>
    </w:lvl>
    <w:lvl w:ilvl="1">
      <w:lvlJc w:val="left"/>
      <w:lvlText w:val="%2."/>
      <w:numFmt w:val="decimal"/>
      <w:start w:val="1"/>
    </w:lvl>
  </w:abstractNum>
  <w:abstractNum w:abstractNumId="87">
    <w:nsid w:val="26F324BA"/>
    <w:multiLevelType w:val="hybridMultilevel"/>
    <w:lvl w:ilvl="0">
      <w:lvlJc w:val="left"/>
      <w:lvlText w:val="%1."/>
      <w:numFmt w:val="decimal"/>
      <w:start w:val="2"/>
    </w:lvl>
  </w:abstractNum>
  <w:abstractNum w:abstractNumId="88">
    <w:nsid w:val="7F01579B"/>
    <w:multiLevelType w:val="hybridMultilevel"/>
    <w:lvl w:ilvl="0">
      <w:lvlJc w:val="left"/>
      <w:lvlText w:val="%1."/>
      <w:numFmt w:val="lowerLetter"/>
      <w:start w:val="1"/>
    </w:lvl>
  </w:abstractNum>
  <w:abstractNum w:abstractNumId="89">
    <w:nsid w:val="49DA307D"/>
    <w:multiLevelType w:val="hybridMultilevel"/>
    <w:lvl w:ilvl="0">
      <w:lvlJc w:val="left"/>
      <w:lvlText w:val="%1"/>
      <w:numFmt w:val="lowerLetter"/>
      <w:start w:val="1"/>
    </w:lvl>
    <w:lvl w:ilvl="1">
      <w:lvlJc w:val="left"/>
      <w:lvlText w:val="%2."/>
      <w:numFmt w:val="lowerLetter"/>
      <w:start w:val="4"/>
    </w:lvl>
  </w:abstractNum>
  <w:abstractNum w:abstractNumId="90">
    <w:nsid w:val="7055A5F5"/>
    <w:multiLevelType w:val="hybridMultilevel"/>
    <w:lvl w:ilvl="0">
      <w:lvlJc w:val="left"/>
      <w:lvlText w:val="%1."/>
      <w:numFmt w:val="lowerLetter"/>
      <w:start w:val="3"/>
    </w:lvl>
    <w:lvl w:ilvl="1">
      <w:lvlJc w:val="left"/>
      <w:lvlText w:val="%2"/>
      <w:numFmt w:val="lowerLetter"/>
      <w:start w:val="1"/>
    </w:lvl>
  </w:abstractNum>
  <w:abstractNum w:abstractNumId="91">
    <w:nsid w:val="5FB8370B"/>
    <w:multiLevelType w:val="hybridMultilevel"/>
    <w:lvl w:ilvl="0">
      <w:lvlJc w:val="left"/>
      <w:lvlText w:val="%1."/>
      <w:numFmt w:val="decimal"/>
      <w:start w:val="1"/>
    </w:lvl>
  </w:abstractNum>
  <w:abstractNum w:abstractNumId="92">
    <w:nsid w:val="50801EE1"/>
    <w:multiLevelType w:val="hybridMultilevel"/>
    <w:lvl w:ilvl="0">
      <w:lvlJc w:val="left"/>
      <w:lvlText w:val="%1."/>
      <w:numFmt w:val="decimal"/>
      <w:start w:val="2"/>
    </w:lvl>
  </w:abstractNum>
  <w:abstractNum w:abstractNumId="93">
    <w:nsid w:val="488AC1A"/>
    <w:multiLevelType w:val="hybridMultilevel"/>
    <w:lvl w:ilvl="0">
      <w:lvlJc w:val="left"/>
      <w:lvlText w:val="%1."/>
      <w:numFmt w:val="lowerLetter"/>
      <w:start w:val="4"/>
    </w:lvl>
  </w:abstractNum>
  <w:abstractNum w:abstractNumId="94">
    <w:nsid w:val="5FB8011C"/>
    <w:multiLevelType w:val="hybridMultilevel"/>
    <w:lvl w:ilvl="0">
      <w:lvlJc w:val="left"/>
      <w:lvlText w:val="%1."/>
      <w:numFmt w:val="lowerLetter"/>
      <w:start w:val="5"/>
    </w:lvl>
  </w:abstractNum>
  <w:abstractNum w:abstractNumId="95">
    <w:nsid w:val="6AA78F7F"/>
    <w:multiLevelType w:val="hybridMultilevel"/>
    <w:lvl w:ilvl="0">
      <w:lvlJc w:val="left"/>
      <w:lvlText w:val="%1."/>
      <w:numFmt w:val="lowerLetter"/>
      <w:start w:val="2"/>
    </w:lvl>
  </w:abstractNum>
  <w:abstractNum w:abstractNumId="96">
    <w:nsid w:val="7672BD23"/>
    <w:multiLevelType w:val="hybridMultilevel"/>
    <w:lvl w:ilvl="0">
      <w:lvlJc w:val="left"/>
      <w:lvlText w:val="%1."/>
      <w:numFmt w:val="lowerLetter"/>
      <w:start w:val="1"/>
    </w:lvl>
  </w:abstractNum>
  <w:abstractNum w:abstractNumId="97">
    <w:nsid w:val="6FC75AF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98">
    <w:nsid w:val="6A5F702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99">
    <w:nsid w:val="7D5E18F8"/>
    <w:multiLevelType w:val="hybridMultilevel"/>
    <w:lvl w:ilvl="0">
      <w:lvlJc w:val="left"/>
      <w:lvlText w:val="(%1)"/>
      <w:numFmt w:val="decimal"/>
      <w:start w:val="1"/>
    </w:lvl>
  </w:abstractNum>
  <w:abstractNum w:abstractNumId="100">
    <w:nsid w:val="5F3534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jpe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104" Type="http://schemas.openxmlformats.org/officeDocument/2006/relationships/image" Target="media/image88.png"/><Relationship Id="rId117" Type="http://schemas.openxmlformats.org/officeDocument/2006/relationships/image" Target="media/image89.png"/><Relationship Id="rId130" Type="http://schemas.openxmlformats.org/officeDocument/2006/relationships/image" Target="media/image90.png"/><Relationship Id="rId131" Type="http://schemas.openxmlformats.org/officeDocument/2006/relationships/image" Target="media/image91.png"/><Relationship Id="rId132" Type="http://schemas.openxmlformats.org/officeDocument/2006/relationships/image" Target="media/image92.png"/><Relationship Id="rId133" Type="http://schemas.openxmlformats.org/officeDocument/2006/relationships/image" Target="media/image93.png"/><Relationship Id="rId134" Type="http://schemas.openxmlformats.org/officeDocument/2006/relationships/image" Target="media/image94.png"/><Relationship Id="rId135" Type="http://schemas.openxmlformats.org/officeDocument/2006/relationships/image" Target="media/image95.png"/><Relationship Id="rId136" Type="http://schemas.openxmlformats.org/officeDocument/2006/relationships/image" Target="media/image96.png"/><Relationship Id="rId137" Type="http://schemas.openxmlformats.org/officeDocument/2006/relationships/image" Target="media/image97.jpeg"/><Relationship Id="rId138" Type="http://schemas.openxmlformats.org/officeDocument/2006/relationships/image" Target="media/image98.png"/><Relationship Id="rId139" Type="http://schemas.openxmlformats.org/officeDocument/2006/relationships/image" Target="media/image99.jpeg"/><Relationship Id="rId140" Type="http://schemas.openxmlformats.org/officeDocument/2006/relationships/image" Target="media/image100.png"/><Relationship Id="rId141" Type="http://schemas.openxmlformats.org/officeDocument/2006/relationships/image" Target="media/image101.png"/><Relationship Id="rId142" Type="http://schemas.openxmlformats.org/officeDocument/2006/relationships/image" Target="media/image102.png"/><Relationship Id="rId143" Type="http://schemas.openxmlformats.org/officeDocument/2006/relationships/image" Target="media/image103.png"/><Relationship Id="rId144" Type="http://schemas.openxmlformats.org/officeDocument/2006/relationships/image" Target="media/image104.png"/><Relationship Id="rId145" Type="http://schemas.openxmlformats.org/officeDocument/2006/relationships/image" Target="media/image105.png"/><Relationship Id="rId146" Type="http://schemas.openxmlformats.org/officeDocument/2006/relationships/image" Target="media/image106.png"/><Relationship Id="rId147" Type="http://schemas.openxmlformats.org/officeDocument/2006/relationships/image" Target="media/image107.png"/><Relationship Id="rId148" Type="http://schemas.openxmlformats.org/officeDocument/2006/relationships/image" Target="media/image108.png"/><Relationship Id="rId149" Type="http://schemas.openxmlformats.org/officeDocument/2006/relationships/image" Target="media/image109.png"/><Relationship Id="rId150" Type="http://schemas.openxmlformats.org/officeDocument/2006/relationships/image" Target="media/image110.png"/><Relationship Id="rId151" Type="http://schemas.openxmlformats.org/officeDocument/2006/relationships/image" Target="media/image111.png"/><Relationship Id="rId152" Type="http://schemas.openxmlformats.org/officeDocument/2006/relationships/image" Target="media/image112.png"/><Relationship Id="rId153" Type="http://schemas.openxmlformats.org/officeDocument/2006/relationships/image" Target="media/image113.png"/><Relationship Id="rId154" Type="http://schemas.openxmlformats.org/officeDocument/2006/relationships/image" Target="media/image114.png"/><Relationship Id="rId155" Type="http://schemas.openxmlformats.org/officeDocument/2006/relationships/image" Target="media/image115.png"/><Relationship Id="rId156" Type="http://schemas.openxmlformats.org/officeDocument/2006/relationships/image" Target="media/image116.png"/><Relationship Id="rId157" Type="http://schemas.openxmlformats.org/officeDocument/2006/relationships/image" Target="media/image117.png"/><Relationship Id="rId158" Type="http://schemas.openxmlformats.org/officeDocument/2006/relationships/image" Target="media/image118.png"/><Relationship Id="rId159" Type="http://schemas.openxmlformats.org/officeDocument/2006/relationships/image" Target="media/image119.png"/><Relationship Id="rId160" Type="http://schemas.openxmlformats.org/officeDocument/2006/relationships/image" Target="media/image120.png"/><Relationship Id="rId161" Type="http://schemas.openxmlformats.org/officeDocument/2006/relationships/image" Target="media/image121.png"/><Relationship Id="rId162" Type="http://schemas.openxmlformats.org/officeDocument/2006/relationships/image" Target="media/image122.png"/><Relationship Id="rId164" Type="http://schemas.openxmlformats.org/officeDocument/2006/relationships/image" Target="media/image123.png"/><Relationship Id="rId165" Type="http://schemas.openxmlformats.org/officeDocument/2006/relationships/image" Target="media/image124.png"/><Relationship Id="rId166" Type="http://schemas.openxmlformats.org/officeDocument/2006/relationships/image" Target="media/image125.png"/><Relationship Id="rId167" Type="http://schemas.openxmlformats.org/officeDocument/2006/relationships/image" Target="media/image126.png"/><Relationship Id="rId168" Type="http://schemas.openxmlformats.org/officeDocument/2006/relationships/image" Target="media/image127.png"/><Relationship Id="rId169" Type="http://schemas.openxmlformats.org/officeDocument/2006/relationships/image" Target="media/image128.png"/><Relationship Id="rId170" Type="http://schemas.openxmlformats.org/officeDocument/2006/relationships/image" Target="media/image129.png"/><Relationship Id="rId171" Type="http://schemas.openxmlformats.org/officeDocument/2006/relationships/image" Target="media/image130.png"/><Relationship Id="rId172" Type="http://schemas.openxmlformats.org/officeDocument/2006/relationships/image" Target="media/image131.png"/><Relationship Id="rId173" Type="http://schemas.openxmlformats.org/officeDocument/2006/relationships/image" Target="media/image132.png"/><Relationship Id="rId174" Type="http://schemas.openxmlformats.org/officeDocument/2006/relationships/image" Target="media/image133.png"/><Relationship Id="rId175" Type="http://schemas.openxmlformats.org/officeDocument/2006/relationships/image" Target="media/image134.png"/><Relationship Id="rId176" Type="http://schemas.openxmlformats.org/officeDocument/2006/relationships/image" Target="media/image135.png"/><Relationship Id="rId177" Type="http://schemas.openxmlformats.org/officeDocument/2006/relationships/image" Target="media/image136.png"/><Relationship Id="rId178" Type="http://schemas.openxmlformats.org/officeDocument/2006/relationships/image" Target="media/image137.png"/><Relationship Id="rId179" Type="http://schemas.openxmlformats.org/officeDocument/2006/relationships/image" Target="media/image138.png"/><Relationship Id="rId180" Type="http://schemas.openxmlformats.org/officeDocument/2006/relationships/image" Target="media/image139.jpeg"/><Relationship Id="rId181" Type="http://schemas.openxmlformats.org/officeDocument/2006/relationships/image" Target="media/image140.png"/><Relationship Id="rId182" Type="http://schemas.openxmlformats.org/officeDocument/2006/relationships/image" Target="media/image141.png"/><Relationship Id="rId183" Type="http://schemas.openxmlformats.org/officeDocument/2006/relationships/image" Target="media/image142.png"/><Relationship Id="rId184" Type="http://schemas.openxmlformats.org/officeDocument/2006/relationships/image" Target="media/image143.png"/><Relationship Id="rId185" Type="http://schemas.openxmlformats.org/officeDocument/2006/relationships/image" Target="media/image144.png"/><Relationship Id="rId186" Type="http://schemas.openxmlformats.org/officeDocument/2006/relationships/image" Target="media/image145.png"/><Relationship Id="rId187" Type="http://schemas.openxmlformats.org/officeDocument/2006/relationships/image" Target="media/image146.png"/><Relationship Id="rId188" Type="http://schemas.openxmlformats.org/officeDocument/2006/relationships/image" Target="media/image147.png"/><Relationship Id="rId24" Type="http://schemas.openxmlformats.org/officeDocument/2006/relationships/hyperlink" Target="https://www.sec.gov/Archives/edgar/data/1006281/000110465922079877/tm2221015d1_ex4-1.htm" TargetMode="External"/><Relationship Id="rId96" Type="http://schemas.openxmlformats.org/officeDocument/2006/relationships/hyperlink" Target="https://www.sec.gov/Archives/edgar/data/1006281/000110465921088982/tm2121219d1_ex1-1.htm" TargetMode="External"/><Relationship Id="rId97" Type="http://schemas.openxmlformats.org/officeDocument/2006/relationships/hyperlink" Target="https://www.sec.gov/Archives/edgar/data/1006281/000114420416092335/v435826_ex3-1.htm" TargetMode="External"/><Relationship Id="rId98" Type="http://schemas.openxmlformats.org/officeDocument/2006/relationships/hyperlink" Target="https://www.sec.gov/Archives/edgar/data/1006281/000114420416111273/v443094_def14a.htm" TargetMode="External"/><Relationship Id="rId99" Type="http://schemas.openxmlformats.org/officeDocument/2006/relationships/hyperlink" Target="https://www.sec.gov/Archives/edgar/data/1006281/000114420418054229/tv504383-def14a.htm" TargetMode="External"/><Relationship Id="rId100" Type="http://schemas.openxmlformats.org/officeDocument/2006/relationships/hyperlink" Target="https://www.sec.gov/Archives/edgar/data/1006281/000110465919074602/tm1926620d1_ex3-1.htm" TargetMode="External"/><Relationship Id="rId101" Type="http://schemas.openxmlformats.org/officeDocument/2006/relationships/hyperlink" Target="https://www.sec.gov/Archives/edgar/data/1006281/000155837022013560/plx-20220630xex3d5.htm" TargetMode="External"/><Relationship Id="rId102" Type="http://schemas.openxmlformats.org/officeDocument/2006/relationships/hyperlink" Target="https://www.sec.gov/Archives/edgar/data/1006281/000114420416086642/v432711_ex3-10.htm" TargetMode="External"/><Relationship Id="rId103" Type="http://schemas.openxmlformats.org/officeDocument/2006/relationships/hyperlink" Target="https://www.sec.gov/Archives/edgar/data/1006281/000114420412040015/v318898_ex4-1.htm" TargetMode="External"/><Relationship Id="rId105" Type="http://schemas.openxmlformats.org/officeDocument/2006/relationships/hyperlink" Target="https://www.sec.gov/Archives/edgar/data/1006281/000110465920032169/tm2012488d1_ex4-1.htm" TargetMode="External"/><Relationship Id="rId106" Type="http://schemas.openxmlformats.org/officeDocument/2006/relationships/hyperlink" Target="https://www.sec.gov/Archives/edgar/data/1006281/000110465920092375/plx-20200630xex4d8.htm" TargetMode="External"/><Relationship Id="rId107" Type="http://schemas.openxmlformats.org/officeDocument/2006/relationships/hyperlink" Target="https://www.sec.gov/Archives/edgar/data/1006281/000110465920092375/plx-20200630xex4d9.htm" TargetMode="External"/><Relationship Id="rId108" Type="http://schemas.openxmlformats.org/officeDocument/2006/relationships/hyperlink" Target="https://www.sec.gov/Archives/edgar/data/1006281/000155837021012078/plx-20210824xex4d2.htm" TargetMode="External"/><Relationship Id="rId109" Type="http://schemas.openxmlformats.org/officeDocument/2006/relationships/hyperlink" Target="https://www.sec.gov/Archives/edgar/data/1006281/000155837021012078/plx-20210824xex4d3.htm" TargetMode="External"/><Relationship Id="rId110" Type="http://schemas.openxmlformats.org/officeDocument/2006/relationships/hyperlink" Target="https://www.sec.gov/Archives/edgar/data/1006281/000095014407000141/g04822exv10w9.htm" TargetMode="External"/><Relationship Id="rId111" Type="http://schemas.openxmlformats.org/officeDocument/2006/relationships/hyperlink" Target="https://www.sec.gov/Archives/edgar/data/1006281/000095013608001374/file2.htm" TargetMode="External"/><Relationship Id="rId112" Type="http://schemas.openxmlformats.org/officeDocument/2006/relationships/hyperlink" Target="https://www.sec.gov/Archives/edgar/data/1006281/000155837021007157/plx-20210331xex10d1.htm" TargetMode="External"/><Relationship Id="rId113" Type="http://schemas.openxmlformats.org/officeDocument/2006/relationships/hyperlink" Target="https://www.sec.gov/Archives/edgar/data/1006281/000155837021007157/plx-20210331xex10d2.htm" TargetMode="External"/><Relationship Id="rId114" Type="http://schemas.openxmlformats.org/officeDocument/2006/relationships/hyperlink" Target="https://www.sec.gov/Archives/edgar/data/1006281/000155837021007157/plx-20210331xex10d3.htm" TargetMode="External"/><Relationship Id="rId115" Type="http://schemas.openxmlformats.org/officeDocument/2006/relationships/hyperlink" Target="https://www.sec.gov/Archives/edgar/data/1006281/000114420415070554/v426600_ex10-1.htm" TargetMode="External"/><Relationship Id="rId116" Type="http://schemas.openxmlformats.org/officeDocument/2006/relationships/hyperlink" Target="https://www.sec.gov/Archives/edgar/data/1006281/000114420418013053/tv486893_ex10-16.htm" TargetMode="External"/><Relationship Id="rId118" Type="http://schemas.openxmlformats.org/officeDocument/2006/relationships/hyperlink" Target="https://www.sec.gov/Archives/edgar/data/1006281/000114420418057990/tv505296_ex10-1.htm" TargetMode="External"/><Relationship Id="rId119" Type="http://schemas.openxmlformats.org/officeDocument/2006/relationships/hyperlink" Target="https://www.sec.gov/Archives/edgar/data/1006281/000114420419027423/tv522023_ex10-1.htm" TargetMode="External"/><Relationship Id="rId120" Type="http://schemas.openxmlformats.org/officeDocument/2006/relationships/hyperlink" Target="https://www.sec.gov/Archives/edgar/data/1006281/000114420419036350/tv526084_ex10-1.htm" TargetMode="External"/><Relationship Id="rId121" Type="http://schemas.openxmlformats.org/officeDocument/2006/relationships/hyperlink" Target="https://www.sec.gov/Archives/edgar/data/1006281/000110465920032169/tm2012488d1_ex10-1.htm" TargetMode="External"/><Relationship Id="rId122" Type="http://schemas.openxmlformats.org/officeDocument/2006/relationships/hyperlink" Target="https://www.sec.gov/Archives/edgar/data/1006281/000110465920070904/tm2022015d1_ex10-1.htm" TargetMode="External"/><Relationship Id="rId123" Type="http://schemas.openxmlformats.org/officeDocument/2006/relationships/hyperlink" Target="https://www.sec.gov/Archives/edgar/data/1006281/000155837021011566/plx-20210812xex10d1.htm" TargetMode="External"/><Relationship Id="rId124" Type="http://schemas.openxmlformats.org/officeDocument/2006/relationships/hyperlink" Target="https://www.sec.gov/Archives/edgar/data/1006281/000155837021012078/plx-20210824xex10d1.htm" TargetMode="External"/><Relationship Id="rId125" Type="http://schemas.openxmlformats.org/officeDocument/2006/relationships/hyperlink" Target="https://www.sec.gov/Archives/edgar/data/1006281/000155837021012078/plx-20210824xex10d2.htm" TargetMode="External"/><Relationship Id="rId126" Type="http://schemas.openxmlformats.org/officeDocument/2006/relationships/hyperlink" Target="https://www.sec.gov/Archives/edgar/data/1006281/000155837022017554/plx-20220930xex10d1.htm" TargetMode="External"/><Relationship Id="rId127" Type="http://schemas.openxmlformats.org/officeDocument/2006/relationships/hyperlink" Target="https://www.sec.gov/Archives/edgar/data/1006281/000155837022017554/plx-20220930xex10d2.htm" TargetMode="External"/><Relationship Id="rId128" Type="http://schemas.openxmlformats.org/officeDocument/2006/relationships/hyperlink" Target="https://www.sec.gov/Archives/edgar/data/1006281/000155837022006566/plx-20220502xex1d1.htm" TargetMode="External"/><Relationship Id="rId129" Type="http://schemas.openxmlformats.org/officeDocument/2006/relationships/hyperlink" Target="https://www.sec.gov/Archives/edgar/data/1006281/000095012310017277/y03091exv21w1.htm" TargetMode="External"/><Relationship Id="rId163" Type="http://schemas.openxmlformats.org/officeDocument/2006/relationships/hyperlink" Target="https://www.sec.gov/Archives/edgar/data/1006281/000114420416138423/v454581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2023-02-27T06:38:44Z</dcterms:created>
  <dcterms:modified xsi:type="dcterms:W3CDTF">2023-02-27T06:38:44Z</dcterms:modified>
</cp:coreProperties>
</file>